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AF207" w14:textId="77777777" w:rsidR="001E2566" w:rsidRPr="001E2566" w:rsidRDefault="001E2566" w:rsidP="001E2566">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Verordnung vom 4. August 2021 über die Anforderungen an die Energie- und Umweltleistung von Gebäuden im französischen Mutterland und zur Genehmigung der in Artikel R. 172-6 des Bau- und Wohnungsbaugesetzes vorgesehenen Berechnungsmethode</w:t>
      </w:r>
    </w:p>
    <w:p w14:paraId="65C3B854" w14:textId="77777777" w:rsidR="001E2566" w:rsidRPr="001E2566" w:rsidRDefault="001E2566" w:rsidP="001E2566">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Titel I: Allgemeine Bestimmungen (Artikel 1 bis 7)</w:t>
      </w:r>
    </w:p>
    <w:p w14:paraId="20835ACA" w14:textId="77777777" w:rsidR="001E2566" w:rsidRPr="001E2566" w:rsidRDefault="001E2566" w:rsidP="001E2566">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Titel II: Spezifikationen FÜR DEN AUSDRUCK DER ANFORDERUNGEN AN DIE ENERGIE- UND UMWELTLEISTUNG (Artikel 8 bis 18)</w:t>
      </w:r>
    </w:p>
    <w:p w14:paraId="6A3EBCEA" w14:textId="77777777" w:rsidR="001E2566" w:rsidRPr="001E2566" w:rsidRDefault="001E2566" w:rsidP="001E2566">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TITEL III: ANFORDERUNGEN AN THERMISCHE EIGENSCHAFTEN UND RESSOURCEN (NACH KOMPONENTE) (Artikel 19 bis 40)</w:t>
      </w:r>
    </w:p>
    <w:p w14:paraId="03E24C6E" w14:textId="77777777" w:rsidR="001E2566" w:rsidRPr="001E2566" w:rsidRDefault="001E2566" w:rsidP="001E2566">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Titel IV: VORSCHLAG FÜR VEREINFACHTE ANWENDUNGSMETHODEN FÜR EINZELHÄUSER (Artikel 41 bis 42)</w:t>
      </w:r>
    </w:p>
    <w:p w14:paraId="1B9ACF43" w14:textId="77777777" w:rsidR="001E2566" w:rsidRPr="001E2566" w:rsidRDefault="001E2566" w:rsidP="001E2566">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Kapitel V Besondere FÄLLE (Artikel 43 bis 44)</w:t>
      </w:r>
    </w:p>
    <w:p w14:paraId="1D0DF2C4" w14:textId="77777777" w:rsidR="001E2566" w:rsidRPr="001E2566" w:rsidRDefault="001E2566" w:rsidP="001E2566">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Titel VI: Verschiedene BESTIMMUNGEN (Artikel 45 bis 52)</w:t>
      </w:r>
    </w:p>
    <w:p w14:paraId="3B27103C" w14:textId="77777777" w:rsidR="001E2566" w:rsidRPr="001E2566" w:rsidRDefault="001E2566" w:rsidP="001E2566">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Anhang</w:t>
      </w:r>
    </w:p>
    <w:p w14:paraId="64A6AF20" w14:textId="4529E400" w:rsidR="001E2566" w:rsidRPr="001E2566" w:rsidRDefault="001E2566" w:rsidP="001E2566">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Betroffene Gruppen: Bauherren, Bauunternehmer, Bauherren und Bauträger, Architekten, Heizungs- und Umweltberater, Bauökonomen, technische Inspektoren, Bauunternehmen, Hersteller von Baumaterialien und technischen Gebäudesystemen und Energieversorger im französischen Mutterland, Softwarehersteller. </w:t>
      </w:r>
      <w:r>
        <w:rPr>
          <w:rFonts w:ascii="Times New Roman" w:hAnsi="Times New Roman"/>
          <w:sz w:val="24"/>
        </w:rPr>
        <w:br/>
        <w:t xml:space="preserve">Zweck: für Neubauten und Erweiterungen von Gebäuden im französischen Mutterland, die Anforderungen an ihre Energie- und Umwelteigenschaften festlegen; Spezifikationen für ihre Energie- und Umweltleistung; Bestimmung der Methode zur Berechnung ihrer Energie- und Umweltleistung. </w:t>
      </w:r>
      <w:r>
        <w:rPr>
          <w:rFonts w:ascii="Times New Roman" w:hAnsi="Times New Roman"/>
          <w:sz w:val="24"/>
        </w:rPr>
        <w:br/>
        <w:t xml:space="preserve">Inkrafttreten: Diese Anforderungen und die Berechnungsmethode gelten ab dem 1. Januar 2022 für den Bau von Gebäuden oder Gebäudeteilen, die für Wohnzwecke genutzt werden, und ab dem 1. Juli 2022 für den Bau von Gebäuden oder Gebäudeteilen, die für Bürozwecke oder für den Primar- oder Sekundarschulbereich genutzt werden. Sie gelten auch für provisorische Gebäude und Erweiterungen, die ab dem 1. Januar 2023 für dieselben Zwecke genutzt werden, je nach deren Fläche. Diese Anforderungen gelten auch für Gebäude, die keiner Baugenehmigung oder Voranzeige bedürfen. </w:t>
      </w:r>
      <w:r>
        <w:rPr>
          <w:rFonts w:ascii="Times New Roman" w:hAnsi="Times New Roman"/>
          <w:sz w:val="24"/>
        </w:rPr>
        <w:br/>
        <w:t xml:space="preserve">Hinweis: In dem Erlass werden die Anforderungen an die Ressourcen (oder pro Komponente) festgelegt, die von den vorstehend genannten Gebäuden im französischen Mutterland zu erfüllen sind. Darin wird festgelegt, wie die folgenden fünf (oder Gesamt-) Ergebnisanforderungen festgelegt werden können: 1) Optimierung des Energiekonzepts von Gebäuden, unabhängig von den eingesetzten Energiesystemen; 2) Begrenzung des Primärenergieverbrauchs; 3) Begrenzung der mit diesem Energieverbrauch verbundenen Auswirkungen auf den Klimawandel; 4) Begrenzung der Auswirkungen von Gebäudekomponenten auf den Klimawandel; 5) Begrenzung von temperaturbedingter sommerlicher Unbehaglichkeit in dem Gebäude. Der Erlass legt die Methode fest, nach der die Energie- und Umweltleistung von Wohn-, Büro- oder Primar- oder Sekundarschulgebäuden in Frankreich anhand von drei Anhängen berechnet wird: </w:t>
      </w:r>
      <w:r>
        <w:rPr>
          <w:rFonts w:ascii="Times New Roman" w:hAnsi="Times New Roman"/>
          <w:sz w:val="24"/>
        </w:rPr>
        <w:br/>
        <w:t xml:space="preserve">ANHANG II: Allgemeine Regeln für die Berechnung der Energie- und Umweltleistung; </w:t>
      </w:r>
      <w:r>
        <w:rPr>
          <w:rFonts w:ascii="Times New Roman" w:hAnsi="Times New Roman"/>
          <w:sz w:val="24"/>
        </w:rPr>
        <w:br/>
        <w:t xml:space="preserve">ANHANG III: Berechnungsmethode „Th-EZB 2020“, in der die Regeln für die Berechnung der Gesamtenergieeffizienz näher erläutert werden; </w:t>
      </w:r>
      <w:r>
        <w:rPr>
          <w:rFonts w:ascii="Times New Roman" w:hAnsi="Times New Roman"/>
          <w:sz w:val="24"/>
        </w:rPr>
        <w:br/>
        <w:t xml:space="preserve">ANHANG IV: „Th-Bat 2020“-Regeln, die die Bestimmung von Eingabedaten für die </w:t>
      </w:r>
      <w:r>
        <w:rPr>
          <w:rFonts w:ascii="Times New Roman" w:hAnsi="Times New Roman"/>
          <w:sz w:val="24"/>
        </w:rPr>
        <w:lastRenderedPageBreak/>
        <w:t xml:space="preserve">Berechnung der Gesamtenergieeffizienz ermöglichen. </w:t>
      </w:r>
      <w:r>
        <w:rPr>
          <w:rFonts w:ascii="Times New Roman" w:hAnsi="Times New Roman"/>
          <w:sz w:val="24"/>
        </w:rPr>
        <w:br/>
        <w:t xml:space="preserve">Verweise: Der Wortlaut in seiner durch den vorliegenden Erlass geänderten Fassung kann auf der Website Legifrance (www.legifrance.gouv.fr) eingesehen werden. </w:t>
      </w:r>
    </w:p>
    <w:p w14:paraId="69995CF4" w14:textId="77777777" w:rsidR="001E2566" w:rsidRPr="001E2566" w:rsidRDefault="001E2566" w:rsidP="001E2566">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Der Minister für den ökologischen Wandel, der dem Minister für den ökologischen Wandel beigeordnete Delegierte Minister für Wohnungswesen, gestützt auf die Richtlinie 2010/31/EU des Europäischen Parlaments und des Rates vom 19. Mai 2010 über die Gesamtenergieeffizienz von Gebäuden, geändert durch die Richtlinie 2018/844 des Europäischen Parlaments und des Rates vom 30. Mai 2018, insbesondere auf Artikel 3;</w:t>
      </w:r>
      <w:r>
        <w:rPr>
          <w:rFonts w:ascii="Times New Roman" w:hAnsi="Times New Roman"/>
          <w:sz w:val="24"/>
        </w:rPr>
        <w:br/>
        <w:t>gestützt auf die Richtlinie (EU) 2015/1535 des Europäischen Parlaments und des Rates vom 9. September 2015 über ein Informationsverfahren auf dem Gebiet der technischen Vorschriften und der Vorschriften für die Dienste der Informationsgesellschaft (kodifizierter Text);</w:t>
      </w:r>
      <w:r>
        <w:rPr>
          <w:rFonts w:ascii="Times New Roman" w:hAnsi="Times New Roman"/>
          <w:sz w:val="24"/>
        </w:rPr>
        <w:br/>
        <w:t>gestützt auf das Bau- und Wohnungsgesetzbuch, insbesondere auf die Artikel L. 181-1, R. 172-1 bis R. 172-9 und R. 126-16;</w:t>
      </w:r>
      <w:r>
        <w:rPr>
          <w:rFonts w:ascii="Times New Roman" w:hAnsi="Times New Roman"/>
          <w:sz w:val="24"/>
        </w:rPr>
        <w:br/>
        <w:t>gestützt auf den Energiekodex, insbesondere auf die Artikel R. 241-26 und R. 241-30,</w:t>
      </w:r>
      <w:r>
        <w:rPr>
          <w:rFonts w:ascii="Times New Roman" w:hAnsi="Times New Roman"/>
          <w:sz w:val="24"/>
        </w:rPr>
        <w:br/>
        <w:t>gestützt auf das Städtebaugesetz, insbesondere auf die Artikel L. 151-19, R*. 421-2 und R*. 421-5;</w:t>
      </w:r>
      <w:r>
        <w:rPr>
          <w:rFonts w:ascii="Times New Roman" w:hAnsi="Times New Roman"/>
          <w:sz w:val="24"/>
        </w:rPr>
        <w:br/>
        <w:t>gestützt auf die Verordnung vom 3. Mai 2007 über die wärmetechnischen Eigenschaften und die Gesamtenergieeffizienz bestehender Gebäude [die] alle betroffenen Arbeiten auflistet und die entsprechenden Anforderungen angibt, geändert durch die Verordnung vom 22. März 2017;</w:t>
      </w:r>
      <w:r>
        <w:rPr>
          <w:rFonts w:ascii="Times New Roman" w:hAnsi="Times New Roman"/>
          <w:sz w:val="24"/>
        </w:rPr>
        <w:br/>
        <w:t>gestützt auf die Verordnung vom 13. Juni 2008 über die Gesamtenergieeffizienz bestehender Gebäude mit einer Fläche von mehr als 1 000 m², wenn diese einer größeren Renovierung unterzogen werden;</w:t>
      </w:r>
      <w:r>
        <w:rPr>
          <w:rFonts w:ascii="Times New Roman" w:hAnsi="Times New Roman"/>
          <w:sz w:val="24"/>
        </w:rPr>
        <w:br/>
        <w:t>gestützt auf den Erlass vom 26. Oktober 2010 über die Wärmeeigenschaften und die Anforderungen an die Energieeffizienz von Neubauten und neuen Gebäudeteilen;</w:t>
      </w:r>
      <w:r>
        <w:rPr>
          <w:rFonts w:ascii="Times New Roman" w:hAnsi="Times New Roman"/>
          <w:sz w:val="24"/>
        </w:rPr>
        <w:br/>
        <w:t>gestützt auf den Erlass vom 28. Dezember 2012 über die Wärmeeigenschaften und die Anforderungen an die Energieeffizienz von anderen Neubauten oder neu errichteten Gebäudeteilen als den in Artikel 2 des Dekrets vom 26. Oktober 2010 über die Wärmeeigenschaften und die Energieeffizienz von Bauwerken genannten;</w:t>
      </w:r>
      <w:r>
        <w:rPr>
          <w:rFonts w:ascii="Times New Roman" w:hAnsi="Times New Roman"/>
          <w:sz w:val="24"/>
        </w:rPr>
        <w:br/>
        <w:t>gestützt auf die Stellungnahme des Obersten Energierates (CSE) vom 25. März 2021;</w:t>
      </w:r>
      <w:r>
        <w:rPr>
          <w:rFonts w:ascii="Times New Roman" w:hAnsi="Times New Roman"/>
          <w:sz w:val="24"/>
        </w:rPr>
        <w:br/>
        <w:t>gestützt auf die Stellungnahme des Obersten Rates für Bauwesen und Energieeffizienz (CSCEE) vom 13. April 2021;</w:t>
      </w:r>
      <w:r>
        <w:rPr>
          <w:rFonts w:ascii="Times New Roman" w:hAnsi="Times New Roman"/>
          <w:sz w:val="24"/>
        </w:rPr>
        <w:br/>
        <w:t>gestützt auf die Stellungnahmen des Nationalen Normenbewertungsrats vom 1. April und 6. Mai 2021;</w:t>
      </w:r>
      <w:r>
        <w:rPr>
          <w:rFonts w:ascii="Times New Roman" w:hAnsi="Times New Roman"/>
          <w:sz w:val="24"/>
        </w:rPr>
        <w:br/>
        <w:t>gestützt auf die der Europäischen Kommission am 14. Dezember 2020 übermittelten Anmeldungen Nr. 2020/791/F und Nr. 2020/792/F sowie auf die Antwort der Kommission vom 15. Juni 2021;</w:t>
      </w:r>
      <w:r>
        <w:rPr>
          <w:rFonts w:ascii="Times New Roman" w:hAnsi="Times New Roman"/>
          <w:sz w:val="24"/>
        </w:rPr>
        <w:br/>
        <w:t>gestützt auf die Stellungnahmen, die im Rahmen der vom 23. März 2021 bis zum 13. April 2021 durchgeführten öffentlichen Anhörung gemäß Artikel L123-19-1 des Umweltgesetzbuchs vorgebracht wurden;</w:t>
      </w:r>
      <w:r>
        <w:rPr>
          <w:rFonts w:ascii="Times New Roman" w:hAnsi="Times New Roman"/>
          <w:sz w:val="24"/>
        </w:rPr>
        <w:br/>
        <w:t>erlassen Folgendes:</w:t>
      </w:r>
    </w:p>
    <w:p w14:paraId="3B8FDFEC" w14:textId="77777777" w:rsidR="001E2566" w:rsidRPr="001E2566" w:rsidRDefault="001E2566" w:rsidP="001E256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Titel I: ALLGEMEINE BESTIMMUNGEN (Artikel 1 bis 7)</w:t>
      </w:r>
    </w:p>
    <w:p w14:paraId="198E2E10"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Kapitel I: ANWENDUNGSBEREICH (Artikel 1 bis 2)</w:t>
      </w:r>
    </w:p>
    <w:p w14:paraId="7E89E0AB"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Artikel 1.</w:t>
      </w:r>
    </w:p>
    <w:p w14:paraId="0A7CFD8E"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lastRenderedPageBreak/>
        <w:br/>
        <w:t>Die Bestimmungen des vorliegenden Erlasses gelten ab dem 1. Juli 2021 für den Bau von Gebäuden oder Gebäudeteilen für Wohn- und Bürozwecke sowie Zwecke des Grund- und Oberschulwesens, die unter den Artikel R. 172-1 der Bau- und Wohnungsordnung fallen, sowie für den Bau der zugehörigen Parkplätze.</w:t>
      </w:r>
      <w:r>
        <w:rPr>
          <w:rFonts w:ascii="Times New Roman" w:hAnsi="Times New Roman"/>
          <w:sz w:val="24"/>
        </w:rPr>
        <w:br/>
        <w:t>Sie gelten nicht für Gebäude in Guadeloupe, Guyana, Martinique, Réunion und Mayotte.</w:t>
      </w:r>
    </w:p>
    <w:p w14:paraId="7817E6C2"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Artikel 2.</w:t>
      </w:r>
    </w:p>
    <w:p w14:paraId="47FC86D4"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Ein Gebäudeteil kann, unter Anwendung der damit verbundenen Anforderungen, der Hauptnutzung des Gebäudes gleichgestellt werden, wenn die folgenden kumulativen Bedingungen erfüllt sind:</w:t>
      </w:r>
    </w:p>
    <w:p w14:paraId="3DCD51A7" w14:textId="30AA273B"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die Bezugsfläche des betreffenden Gebäudeteils beträgt weniger als 150 m² und weniger als 10 % der Bezugsfläche der Hauptnutzung des Gebäudes,</w:t>
      </w:r>
      <w:r>
        <w:rPr>
          <w:rFonts w:ascii="Times New Roman" w:hAnsi="Times New Roman"/>
          <w:sz w:val="24"/>
        </w:rPr>
        <w:br/>
        <w:t>der Gebäudeteil, welcher der Hauptnutzung entspricht, fällt unter den vorliegenden Erlass oder den oben genannten Erlass vom 26. Oktober 2010 oder den oben genannten Erlass vom 28. Dezember 2012.</w:t>
      </w:r>
    </w:p>
    <w:p w14:paraId="08C236F5"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Ein als Einfamilienhaus genutzter Gebäudeteil kann keiner anderen Nutzung gleichgestellt werden.</w:t>
      </w:r>
      <w:r>
        <w:rPr>
          <w:rFonts w:ascii="Times New Roman" w:hAnsi="Times New Roman"/>
          <w:sz w:val="24"/>
        </w:rPr>
        <w:br/>
        <w:t>Die Bezugsfläche des Gebäudes – bezeichnet als Sref – ist in Kapitel I X des Anhangs zu Artikel R. 172-4 des Baugesetzbuchs definiert. Wenn nicht anders angegeben, ist dies die in dieser Anordnung verwendete Fläche.</w:t>
      </w:r>
    </w:p>
    <w:p w14:paraId="1DC30CD4"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Kapitel II: VERFAHREN DER VORÜBERGEHENDEN ANWENDUNG (Artikel 3)</w:t>
      </w:r>
    </w:p>
    <w:p w14:paraId="5ECFE0DA"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Artikel 3.</w:t>
      </w:r>
    </w:p>
    <w:p w14:paraId="67F2021B" w14:textId="184333DD"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I. – Gemäß Artikel R. 172-1 II des Bau- und Wohnungsgesetzbuches gelten die Bestimmungen dieser Verordnung erst ab dem 1. Januar 2023 für leichte Erholungswohnungen im Sinne von Artikel R.* 421-2 des Stadtplanungsgesetzes und für temporäre Bauten im Sinne von Artikel R.* 421-5 desselben Kodex.</w:t>
      </w:r>
      <w:r>
        <w:rPr>
          <w:rFonts w:ascii="Times New Roman" w:hAnsi="Times New Roman"/>
          <w:sz w:val="24"/>
        </w:rPr>
        <w:br/>
        <w:t>II. - Gemäß Artikel R. 172-3 des Bau- und Wohnungsbaugesetzes gelten die Bestimmungen dieser Verordnung erst ab dem 1. Januar 2023:</w:t>
      </w:r>
    </w:p>
    <w:p w14:paraId="4A47A9C3" w14:textId="724250CE"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r>
      <w:r w:rsidR="00467D31">
        <w:rPr>
          <w:rFonts w:ascii="Times New Roman" w:hAnsi="Times New Roman"/>
          <w:sz w:val="24"/>
        </w:rPr>
        <w:t xml:space="preserve">- </w:t>
      </w:r>
      <w:r>
        <w:rPr>
          <w:rFonts w:ascii="Times New Roman" w:hAnsi="Times New Roman"/>
          <w:sz w:val="24"/>
        </w:rPr>
        <w:t>Gebäude und Erweiterungen von Gebäuden mit einer Bezugsfläche von weniger als 50 m²,</w:t>
      </w:r>
      <w:r>
        <w:rPr>
          <w:rFonts w:ascii="Times New Roman" w:hAnsi="Times New Roman"/>
          <w:sz w:val="24"/>
        </w:rPr>
        <w:br/>
      </w:r>
      <w:r w:rsidR="00467D31">
        <w:rPr>
          <w:rFonts w:ascii="Times New Roman" w:hAnsi="Times New Roman"/>
          <w:sz w:val="24"/>
        </w:rPr>
        <w:t>-</w:t>
      </w:r>
      <w:r>
        <w:rPr>
          <w:rFonts w:ascii="Times New Roman" w:hAnsi="Times New Roman"/>
          <w:sz w:val="24"/>
        </w:rPr>
        <w:t xml:space="preserve"> Erweiterungen von Einzel- oder Reihenhäusern mit einer Bezugsfläche von 50 m² bis 100 m²;</w:t>
      </w:r>
      <w:r>
        <w:rPr>
          <w:rFonts w:ascii="Times New Roman" w:hAnsi="Times New Roman"/>
          <w:sz w:val="24"/>
        </w:rPr>
        <w:br/>
        <w:t>- Erweiterungen für andere Nutzungen als Einzelhäuser mit einer Bezugsfläche von weniger als 150 m² und 30 % der Bezugsfläche der bestehenden Räume.</w:t>
      </w:r>
    </w:p>
    <w:p w14:paraId="3A488385"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lastRenderedPageBreak/>
        <w:br/>
        <w:t>Für diese Gebäude gelten bis zum 31. Dezember 2022 nur die Bestimmungen des genannten Beschlusses vom 26. Oktober 2010.</w:t>
      </w:r>
    </w:p>
    <w:p w14:paraId="0AEA4B74"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Kapitel III: BEGRIFFSBESTIMMUNGEN (Artikel 4)</w:t>
      </w:r>
    </w:p>
    <w:p w14:paraId="595D5537"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Artikel 4.</w:t>
      </w:r>
    </w:p>
    <w:p w14:paraId="6C9B0209"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Die für das Verständnis dieser Verordnung erforderlichen Begriffe sind in Anhang I definiert. Die Indikatoren Bbio, Cep, Cep, nr, IcEnergie, IcGebäude, DH, IcBau, StockC, IcBau und Icded sowie die Höchstwerte Bbio_max, Cep_max, Cep_max, nr_max, IcEnergie_max, IcBau_max und DH_max, auf die in diesem Erlass Bezug genommen wird, sind in Kapitel I bis IX des Anhangs zu Artikel R. 172-4 des Bau- und Wohnungskodexes definiert.</w:t>
      </w:r>
    </w:p>
    <w:p w14:paraId="11A9F20F"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Kapitel IV: ANFORDERUNGEN AN DIE ENERGIEEFFIZIENZ UND UMWELTVERTRÄGLICHKEIT UND TECHNISCHE MINDESTEIGENSCHAFTEN (Artikel 5 bis 7)</w:t>
      </w:r>
    </w:p>
    <w:p w14:paraId="3FB7D462"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Artikel 5.</w:t>
      </w:r>
    </w:p>
    <w:p w14:paraId="0A5B9084"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Gebäude oder Gebäudeteile, die Gegenstand dieser Anordnung sind, müssen den Anforderungen des Artikels R. 172-4 des Bau- und Wohnungsgesetzbuches entsprechen und nach den im Anhang zu diesem Artikel und in Artikel 8 dieser Verordnung festgelegten Verfahren bestimmt werden.</w:t>
      </w:r>
    </w:p>
    <w:p w14:paraId="75C3D46B"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Artikel 6.</w:t>
      </w:r>
    </w:p>
    <w:p w14:paraId="74B8FD1C"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Die technischen Mindestmerkmale bestimmter Gebäudeteile oder Baugruppen von Bauteilen von Gebäuden, die unter diese Verordnung fallen, müssen den Anforderungen des Titels III dieser Verordnung entsprechen.</w:t>
      </w:r>
    </w:p>
    <w:p w14:paraId="77D31F44"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Artikel 7.</w:t>
      </w:r>
    </w:p>
    <w:p w14:paraId="79637CE5"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Gebäude, deren Eigenschaften mit den vereinfachten Anwendungsmethoden konform sind, die unter den in Titel IV des vorliegenden Erlasses beschriebenen Bedingungen genehmigt werden, gelten als Gebäude, welche die Anforderungen des vorliegenden Erlasses erfüllen.</w:t>
      </w:r>
    </w:p>
    <w:p w14:paraId="78BB4D81" w14:textId="77777777" w:rsidR="001E2566" w:rsidRPr="001E2566" w:rsidRDefault="001E2566" w:rsidP="001E256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Titel II: SPEZIFIKATIONEN FÜR DIE BESCHREIBUNG DER ANFORDERUNGEN AN DIE ENERGIEEFFIZIENZ UND UMWELTVERTRÄGLICHKEIT (Artikel 8 bis 18)</w:t>
      </w:r>
    </w:p>
    <w:p w14:paraId="449958DB"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Kapitel V: BEWERTUNG DER EINHALTUNG DER ANFORDERUNGEN (Artikel 8 bis 17)</w:t>
      </w:r>
    </w:p>
    <w:p w14:paraId="49F2A14D"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lastRenderedPageBreak/>
        <w:t>Artikel 8</w:t>
      </w:r>
    </w:p>
    <w:p w14:paraId="7C22D558"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Die Berechnungsmethode, die den Anhängen II bis IV dieser Verordnung beigefügt ist und in Artikel R. 172-6 des Bau- und Wohnungsgesetzbuches vorgesehen ist, wird genehmigt.</w:t>
      </w:r>
      <w:r>
        <w:rPr>
          <w:rFonts w:ascii="Times New Roman" w:hAnsi="Times New Roman"/>
          <w:sz w:val="24"/>
        </w:rPr>
        <w:br/>
        <w:t>Gemäß Absatz I desselben Artikels wird durch ein Berechnungsverfahren die Energieeffizienz und Umweltverträglichkeit des Gebäudes – insbesondere in Bezug auf die in din Kapitel I bis IX des Anhangs zu Artikel R. 172-4 desselben Codes beschriebenen Indikatoren – anhand der Eigenschaften des Gebäudes und seiner Komponenten ermittelt.</w:t>
      </w:r>
      <w:r>
        <w:rPr>
          <w:rFonts w:ascii="Times New Roman" w:hAnsi="Times New Roman"/>
          <w:sz w:val="24"/>
        </w:rPr>
        <w:br/>
        <w:t>Im Besonderen:</w:t>
      </w:r>
    </w:p>
    <w:p w14:paraId="5F5F9105"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 diese Indikatoren werden insbesondere unter Verwendung konventioneller Klima- und Nutzungsintensitätsdaten berechnet;</w:t>
      </w:r>
      <w:r>
        <w:rPr>
          <w:rFonts w:ascii="Times New Roman" w:hAnsi="Times New Roman"/>
          <w:sz w:val="24"/>
        </w:rPr>
        <w:br/>
        <w:t>die Indikatoren Bbio, Cep,nr und Cep werden über ein Jahr berechnet;</w:t>
      </w:r>
      <w:r>
        <w:rPr>
          <w:rFonts w:ascii="Times New Roman" w:hAnsi="Times New Roman"/>
          <w:sz w:val="24"/>
        </w:rPr>
        <w:br/>
        <w:t>- die Berechnung der Indikatoren für die Auswirkungen des Klimawandels IcEnergie, IcBau und IcGebäude erfolgt insbesondere unter Verwendung der in Artikel 20 angegebenen Koeffizienten und unter Berücksichtigung der Festlegung, dass das Gebäude eine Lebensdauer von 50 Jahren hat;</w:t>
      </w:r>
      <w:r>
        <w:rPr>
          <w:rFonts w:ascii="Times New Roman" w:hAnsi="Times New Roman"/>
          <w:sz w:val="24"/>
        </w:rPr>
        <w:br/>
        <w:t>- bei der Berechnung des Indikators Cep, nr werden die in Artikel 9 Absatz I festgelegten Koeffizienten berücksichtigt;</w:t>
      </w:r>
      <w:r>
        <w:rPr>
          <w:rFonts w:ascii="Times New Roman" w:hAnsi="Times New Roman"/>
          <w:sz w:val="24"/>
        </w:rPr>
        <w:br/>
        <w:t>- bei der Berechnung des Cep-Indikators werden die in Artikel 9 Absatz II festgelegten Koeffizienten berücksichtigt;</w:t>
      </w:r>
      <w:r>
        <w:rPr>
          <w:rFonts w:ascii="Times New Roman" w:hAnsi="Times New Roman"/>
          <w:sz w:val="24"/>
        </w:rPr>
        <w:br/>
        <w:t>- bei der Berechnung des Indikators IcEnergie werden die in Artikel 10 festgelegten Koeffizienten berücksichtigt.</w:t>
      </w:r>
    </w:p>
    <w:p w14:paraId="704B56FD"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Artikel 9</w:t>
      </w:r>
    </w:p>
    <w:p w14:paraId="15551083"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I. - Die Koeffizienten für die Umwandlung der in das Gebäude eintretenden Energie in nicht erneuerbare Primärenergie werden bei der Bestimmung des in dem vorliegenden Erlass beschriebenen Indikators Cep,nr verwendet und haben vereinbarungsgemäß folgende Werte: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23"/>
        <w:gridCol w:w="5133"/>
      </w:tblGrid>
      <w:tr w:rsidR="001E2566" w:rsidRPr="001E2566" w14:paraId="252DFC72"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B673AF1" w14:textId="77777777" w:rsidR="001E2566" w:rsidRPr="001E2566" w:rsidRDefault="001E2566" w:rsidP="001E256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Typ der durch das Gebäude importierten Energie</w:t>
            </w:r>
          </w:p>
        </w:tc>
        <w:tc>
          <w:tcPr>
            <w:tcW w:w="0" w:type="auto"/>
            <w:tcBorders>
              <w:top w:val="outset" w:sz="6" w:space="0" w:color="auto"/>
              <w:left w:val="outset" w:sz="6" w:space="0" w:color="auto"/>
              <w:bottom w:val="outset" w:sz="6" w:space="0" w:color="auto"/>
              <w:right w:val="outset" w:sz="6" w:space="0" w:color="auto"/>
            </w:tcBorders>
            <w:vAlign w:val="center"/>
            <w:hideMark/>
          </w:tcPr>
          <w:p w14:paraId="424D2916" w14:textId="77777777" w:rsidR="001E2566" w:rsidRPr="001E2566" w:rsidRDefault="001E2566" w:rsidP="001E256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Koeffizienten für die Umwandlung der in das Gebäude eintretenden Energie in nicht erneuerbare Primärenergie</w:t>
            </w:r>
          </w:p>
        </w:tc>
      </w:tr>
      <w:tr w:rsidR="001E2566" w:rsidRPr="001E2566" w14:paraId="78DCB2E7"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03A77E1"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Holz</w:t>
            </w:r>
          </w:p>
        </w:tc>
        <w:tc>
          <w:tcPr>
            <w:tcW w:w="0" w:type="auto"/>
            <w:tcBorders>
              <w:top w:val="outset" w:sz="6" w:space="0" w:color="auto"/>
              <w:left w:val="outset" w:sz="6" w:space="0" w:color="auto"/>
              <w:bottom w:val="outset" w:sz="6" w:space="0" w:color="auto"/>
              <w:right w:val="outset" w:sz="6" w:space="0" w:color="auto"/>
            </w:tcBorders>
            <w:vAlign w:val="center"/>
            <w:hideMark/>
          </w:tcPr>
          <w:p w14:paraId="0E15E41C"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w:t>
            </w:r>
          </w:p>
        </w:tc>
      </w:tr>
      <w:tr w:rsidR="001E2566" w:rsidRPr="001E2566" w14:paraId="46845998"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5C8329E"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Strom</w:t>
            </w:r>
          </w:p>
        </w:tc>
        <w:tc>
          <w:tcPr>
            <w:tcW w:w="0" w:type="auto"/>
            <w:tcBorders>
              <w:top w:val="outset" w:sz="6" w:space="0" w:color="auto"/>
              <w:left w:val="outset" w:sz="6" w:space="0" w:color="auto"/>
              <w:bottom w:val="outset" w:sz="6" w:space="0" w:color="auto"/>
              <w:right w:val="outset" w:sz="6" w:space="0" w:color="auto"/>
            </w:tcBorders>
            <w:vAlign w:val="center"/>
            <w:hideMark/>
          </w:tcPr>
          <w:p w14:paraId="2C4AA40D"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2,3</w:t>
            </w:r>
          </w:p>
        </w:tc>
      </w:tr>
      <w:tr w:rsidR="001E2566" w:rsidRPr="001E2566" w14:paraId="462A7B8E"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E6DF203"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Fernwärmenetz (Wärme)</w:t>
            </w:r>
          </w:p>
        </w:tc>
        <w:tc>
          <w:tcPr>
            <w:tcW w:w="0" w:type="auto"/>
            <w:tcBorders>
              <w:top w:val="outset" w:sz="6" w:space="0" w:color="auto"/>
              <w:left w:val="outset" w:sz="6" w:space="0" w:color="auto"/>
              <w:bottom w:val="outset" w:sz="6" w:space="0" w:color="auto"/>
              <w:right w:val="outset" w:sz="6" w:space="0" w:color="auto"/>
            </w:tcBorders>
            <w:vAlign w:val="center"/>
            <w:hideMark/>
          </w:tcPr>
          <w:p w14:paraId="3AEA361B"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1 – Quote der erneuerbaren Energie oder der Rückgewinnung des Netzes (Wärme)</w:t>
            </w:r>
          </w:p>
        </w:tc>
      </w:tr>
      <w:tr w:rsidR="001E2566" w:rsidRPr="001E2566" w14:paraId="517BA7F1"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D2D6F1"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Fernwärmenetz (Kälte)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18CCC05"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r>
      <w:tr w:rsidR="001E2566" w:rsidRPr="001E2566" w14:paraId="516DB2C6"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E6B75F"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Methangas (natürlich) aus Netzen</w:t>
            </w:r>
          </w:p>
        </w:tc>
        <w:tc>
          <w:tcPr>
            <w:tcW w:w="0" w:type="auto"/>
            <w:tcBorders>
              <w:top w:val="outset" w:sz="6" w:space="0" w:color="auto"/>
              <w:left w:val="outset" w:sz="6" w:space="0" w:color="auto"/>
              <w:bottom w:val="outset" w:sz="6" w:space="0" w:color="auto"/>
              <w:right w:val="outset" w:sz="6" w:space="0" w:color="auto"/>
            </w:tcBorders>
            <w:vAlign w:val="center"/>
            <w:hideMark/>
          </w:tcPr>
          <w:p w14:paraId="211583CA"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r>
      <w:tr w:rsidR="001E2566" w:rsidRPr="001E2566" w14:paraId="68F2E975"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8704053"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Erneuerbare Energie, die aus dem Gebäude oder auf dem Grundstück gewonnen wird</w:t>
            </w:r>
          </w:p>
        </w:tc>
        <w:tc>
          <w:tcPr>
            <w:tcW w:w="0" w:type="auto"/>
            <w:tcBorders>
              <w:top w:val="outset" w:sz="6" w:space="0" w:color="auto"/>
              <w:left w:val="outset" w:sz="6" w:space="0" w:color="auto"/>
              <w:bottom w:val="outset" w:sz="6" w:space="0" w:color="auto"/>
              <w:right w:val="outset" w:sz="6" w:space="0" w:color="auto"/>
            </w:tcBorders>
            <w:vAlign w:val="center"/>
            <w:hideMark/>
          </w:tcPr>
          <w:p w14:paraId="0560ADA9"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w:t>
            </w:r>
          </w:p>
        </w:tc>
      </w:tr>
      <w:tr w:rsidR="001E2566" w:rsidRPr="001E2566" w14:paraId="40C6ECE9"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9F32F21"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Sonstige Energien</w:t>
            </w:r>
          </w:p>
        </w:tc>
        <w:tc>
          <w:tcPr>
            <w:tcW w:w="0" w:type="auto"/>
            <w:tcBorders>
              <w:top w:val="outset" w:sz="6" w:space="0" w:color="auto"/>
              <w:left w:val="outset" w:sz="6" w:space="0" w:color="auto"/>
              <w:bottom w:val="outset" w:sz="6" w:space="0" w:color="auto"/>
              <w:right w:val="outset" w:sz="6" w:space="0" w:color="auto"/>
            </w:tcBorders>
            <w:vAlign w:val="center"/>
            <w:hideMark/>
          </w:tcPr>
          <w:p w14:paraId="1163E7F9"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r>
    </w:tbl>
    <w:p w14:paraId="70FE04D8" w14:textId="77777777" w:rsidR="00506C92" w:rsidRDefault="001E2566" w:rsidP="001E2566">
      <w:pPr>
        <w:spacing w:before="100" w:beforeAutospacing="1" w:after="100" w:afterAutospacing="1" w:line="240" w:lineRule="auto"/>
        <w:ind w:left="1050"/>
        <w:rPr>
          <w:rFonts w:ascii="Times New Roman" w:hAnsi="Times New Roman"/>
          <w:sz w:val="24"/>
        </w:rPr>
      </w:pPr>
      <w:r>
        <w:rPr>
          <w:rFonts w:ascii="Times New Roman" w:hAnsi="Times New Roman"/>
          <w:sz w:val="24"/>
        </w:rPr>
        <w:br/>
      </w:r>
    </w:p>
    <w:p w14:paraId="2A7B7BFD" w14:textId="6E73F154"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t>Die Quote der erneuerbaren Energie oder der Rückgewinnung der Fernwärmenetze wird für jede bestehende Infrastruktur durch einen Erlass festgelegt..</w:t>
      </w:r>
      <w:r>
        <w:rPr>
          <w:rFonts w:ascii="Times New Roman" w:hAnsi="Times New Roman"/>
          <w:sz w:val="24"/>
        </w:rPr>
        <w:br/>
        <w:t>II. - Die Koeffizienten für die Umwandlung der in das Gebäude eintretenden Energie in Primärenergie werden bei der Bestimmung des Indikators Cep verwendet und haben vereinbarungsgemäß folgende Werte: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45"/>
        <w:gridCol w:w="4811"/>
      </w:tblGrid>
      <w:tr w:rsidR="001E2566" w:rsidRPr="001E2566" w14:paraId="1748D1DC"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E506E7A" w14:textId="77777777" w:rsidR="001E2566" w:rsidRPr="001E2566" w:rsidRDefault="001E2566" w:rsidP="001E256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Typ der durch das Gebäude importierten Energie</w:t>
            </w:r>
          </w:p>
        </w:tc>
        <w:tc>
          <w:tcPr>
            <w:tcW w:w="0" w:type="auto"/>
            <w:tcBorders>
              <w:top w:val="outset" w:sz="6" w:space="0" w:color="auto"/>
              <w:left w:val="outset" w:sz="6" w:space="0" w:color="auto"/>
              <w:bottom w:val="outset" w:sz="6" w:space="0" w:color="auto"/>
              <w:right w:val="outset" w:sz="6" w:space="0" w:color="auto"/>
            </w:tcBorders>
            <w:vAlign w:val="center"/>
            <w:hideMark/>
          </w:tcPr>
          <w:p w14:paraId="4EAB28CB" w14:textId="77777777" w:rsidR="001E2566" w:rsidRPr="001E2566" w:rsidRDefault="001E2566" w:rsidP="001E256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Koeffizienten für die Umwandlung der in das Gebäude eintretenden Energie in Primärenergie</w:t>
            </w:r>
          </w:p>
        </w:tc>
      </w:tr>
      <w:tr w:rsidR="001E2566" w:rsidRPr="001E2566" w14:paraId="61D64B16"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A79DCA"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Holz</w:t>
            </w:r>
          </w:p>
        </w:tc>
        <w:tc>
          <w:tcPr>
            <w:tcW w:w="0" w:type="auto"/>
            <w:tcBorders>
              <w:top w:val="outset" w:sz="6" w:space="0" w:color="auto"/>
              <w:left w:val="outset" w:sz="6" w:space="0" w:color="auto"/>
              <w:bottom w:val="outset" w:sz="6" w:space="0" w:color="auto"/>
              <w:right w:val="outset" w:sz="6" w:space="0" w:color="auto"/>
            </w:tcBorders>
            <w:vAlign w:val="center"/>
            <w:hideMark/>
          </w:tcPr>
          <w:p w14:paraId="3C5D496A"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r>
      <w:tr w:rsidR="001E2566" w:rsidRPr="001E2566" w14:paraId="5785C4C6"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0B7430"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Strom</w:t>
            </w:r>
          </w:p>
        </w:tc>
        <w:tc>
          <w:tcPr>
            <w:tcW w:w="0" w:type="auto"/>
            <w:tcBorders>
              <w:top w:val="outset" w:sz="6" w:space="0" w:color="auto"/>
              <w:left w:val="outset" w:sz="6" w:space="0" w:color="auto"/>
              <w:bottom w:val="outset" w:sz="6" w:space="0" w:color="auto"/>
              <w:right w:val="outset" w:sz="6" w:space="0" w:color="auto"/>
            </w:tcBorders>
            <w:vAlign w:val="center"/>
            <w:hideMark/>
          </w:tcPr>
          <w:p w14:paraId="5375568A"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2,3</w:t>
            </w:r>
          </w:p>
        </w:tc>
      </w:tr>
      <w:tr w:rsidR="001E2566" w:rsidRPr="001E2566" w14:paraId="31EA9E38"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1DAB533"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Fernwärmenetz (Heizung)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E663420"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r>
      <w:tr w:rsidR="001E2566" w:rsidRPr="001E2566" w14:paraId="7DCEAB16"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C4A815"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Fernwärmenetz (Kälte)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370EA05"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r>
      <w:tr w:rsidR="001E2566" w:rsidRPr="001E2566" w14:paraId="07B20FBB"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C86730F"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Methangas (natürlich) aus Netzen</w:t>
            </w:r>
          </w:p>
        </w:tc>
        <w:tc>
          <w:tcPr>
            <w:tcW w:w="0" w:type="auto"/>
            <w:tcBorders>
              <w:top w:val="outset" w:sz="6" w:space="0" w:color="auto"/>
              <w:left w:val="outset" w:sz="6" w:space="0" w:color="auto"/>
              <w:bottom w:val="outset" w:sz="6" w:space="0" w:color="auto"/>
              <w:right w:val="outset" w:sz="6" w:space="0" w:color="auto"/>
            </w:tcBorders>
            <w:vAlign w:val="center"/>
            <w:hideMark/>
          </w:tcPr>
          <w:p w14:paraId="4CF90142"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r>
      <w:tr w:rsidR="001E2566" w:rsidRPr="001E2566" w14:paraId="1FBFABAD"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51228BD"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Erneuerbare Energie, die aus dem Gebäude oder auf dem Grundstück gewonnen wird</w:t>
            </w:r>
          </w:p>
        </w:tc>
        <w:tc>
          <w:tcPr>
            <w:tcW w:w="0" w:type="auto"/>
            <w:tcBorders>
              <w:top w:val="outset" w:sz="6" w:space="0" w:color="auto"/>
              <w:left w:val="outset" w:sz="6" w:space="0" w:color="auto"/>
              <w:bottom w:val="outset" w:sz="6" w:space="0" w:color="auto"/>
              <w:right w:val="outset" w:sz="6" w:space="0" w:color="auto"/>
            </w:tcBorders>
            <w:vAlign w:val="center"/>
            <w:hideMark/>
          </w:tcPr>
          <w:p w14:paraId="34B1B028"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w:t>
            </w:r>
          </w:p>
        </w:tc>
      </w:tr>
      <w:tr w:rsidR="001E2566" w:rsidRPr="001E2566" w14:paraId="74975FCB"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729C7B8"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Sonstige Energien</w:t>
            </w:r>
          </w:p>
        </w:tc>
        <w:tc>
          <w:tcPr>
            <w:tcW w:w="0" w:type="auto"/>
            <w:tcBorders>
              <w:top w:val="outset" w:sz="6" w:space="0" w:color="auto"/>
              <w:left w:val="outset" w:sz="6" w:space="0" w:color="auto"/>
              <w:bottom w:val="outset" w:sz="6" w:space="0" w:color="auto"/>
              <w:right w:val="outset" w:sz="6" w:space="0" w:color="auto"/>
            </w:tcBorders>
            <w:vAlign w:val="center"/>
            <w:hideMark/>
          </w:tcPr>
          <w:p w14:paraId="38DF9657"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r>
    </w:tbl>
    <w:p w14:paraId="6E42E6EE"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Die Energie, die von dem Gebäude für ein Netz erzeugt wird, sowie ggf. die von dem Gebäude zur Erzeugung dieser Energie importierte Energiemenge wirken sich vereinbarungsgemäß nicht auf die Indikatoren Cep,nr, Cep und IcEnergie des Gebäudes aus.</w:t>
      </w:r>
    </w:p>
    <w:p w14:paraId="17A21FCA"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lastRenderedPageBreak/>
        <w:t>Artikel 10</w:t>
      </w:r>
    </w:p>
    <w:p w14:paraId="41AA4E71"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Die Koeffizienten für die Umwandlung der in das Gebäude eintretenden Energie in die Menge an Treibhausgasemissionen werden bei der Bestimmung des Indikators IcEnergie verwendet und haben vereinbarungsgemäß folgende Werte: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58"/>
        <w:gridCol w:w="5498"/>
      </w:tblGrid>
      <w:tr w:rsidR="001E2566" w:rsidRPr="001E2566" w14:paraId="7585F92E"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D901885" w14:textId="77777777" w:rsidR="001E2566" w:rsidRPr="001E2566" w:rsidRDefault="001E2566" w:rsidP="001E256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Energietyp pro kWh EE Hi</w:t>
            </w:r>
          </w:p>
        </w:tc>
        <w:tc>
          <w:tcPr>
            <w:tcW w:w="0" w:type="auto"/>
            <w:tcBorders>
              <w:top w:val="outset" w:sz="6" w:space="0" w:color="auto"/>
              <w:left w:val="outset" w:sz="6" w:space="0" w:color="auto"/>
              <w:bottom w:val="outset" w:sz="6" w:space="0" w:color="auto"/>
              <w:right w:val="outset" w:sz="6" w:space="0" w:color="auto"/>
            </w:tcBorders>
            <w:vAlign w:val="center"/>
            <w:hideMark/>
          </w:tcPr>
          <w:p w14:paraId="5C098D7E" w14:textId="77777777" w:rsidR="001E2566" w:rsidRPr="001E2566" w:rsidRDefault="001E2566" w:rsidP="001E256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kg CO2-Äquivalent pro Kilowattstunde Endenergie als Hi</w:t>
            </w:r>
          </w:p>
        </w:tc>
      </w:tr>
      <w:tr w:rsidR="001E2566" w:rsidRPr="001E2566" w14:paraId="0B7EA6E9"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FB554D2"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Holz, Biomasse – Hackschnitzel</w:t>
            </w:r>
          </w:p>
        </w:tc>
        <w:tc>
          <w:tcPr>
            <w:tcW w:w="0" w:type="auto"/>
            <w:tcBorders>
              <w:top w:val="outset" w:sz="6" w:space="0" w:color="auto"/>
              <w:left w:val="outset" w:sz="6" w:space="0" w:color="auto"/>
              <w:bottom w:val="outset" w:sz="6" w:space="0" w:color="auto"/>
              <w:right w:val="outset" w:sz="6" w:space="0" w:color="auto"/>
            </w:tcBorders>
            <w:vAlign w:val="center"/>
            <w:hideMark/>
          </w:tcPr>
          <w:p w14:paraId="5A83C08C"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0,024</w:t>
            </w:r>
          </w:p>
        </w:tc>
      </w:tr>
      <w:tr w:rsidR="001E2566" w:rsidRPr="001E2566" w14:paraId="08CB1C5F"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4D5E947"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Holz, Biomasse – Pellets oder Briketts</w:t>
            </w:r>
          </w:p>
        </w:tc>
        <w:tc>
          <w:tcPr>
            <w:tcW w:w="0" w:type="auto"/>
            <w:tcBorders>
              <w:top w:val="outset" w:sz="6" w:space="0" w:color="auto"/>
              <w:left w:val="outset" w:sz="6" w:space="0" w:color="auto"/>
              <w:bottom w:val="outset" w:sz="6" w:space="0" w:color="auto"/>
              <w:right w:val="outset" w:sz="6" w:space="0" w:color="auto"/>
            </w:tcBorders>
            <w:vAlign w:val="center"/>
            <w:hideMark/>
          </w:tcPr>
          <w:p w14:paraId="6D62F7D8"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0,03</w:t>
            </w:r>
          </w:p>
        </w:tc>
      </w:tr>
      <w:tr w:rsidR="001E2566" w:rsidRPr="001E2566" w14:paraId="4BF8CD4D"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30C2893"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Holz, Biomasse – Holzscheite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47D74DB"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0,03</w:t>
            </w:r>
          </w:p>
        </w:tc>
      </w:tr>
      <w:tr w:rsidR="001E2566" w:rsidRPr="001E2566" w14:paraId="10CA32EB"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2E8D15A"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Strom Heizung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8B41D05"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0,079</w:t>
            </w:r>
          </w:p>
        </w:tc>
      </w:tr>
      <w:tr w:rsidR="001E2566" w:rsidRPr="001E2566" w14:paraId="515B24E2"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8101CA4"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Strom für die Kühlung</w:t>
            </w:r>
          </w:p>
        </w:tc>
        <w:tc>
          <w:tcPr>
            <w:tcW w:w="0" w:type="auto"/>
            <w:tcBorders>
              <w:top w:val="outset" w:sz="6" w:space="0" w:color="auto"/>
              <w:left w:val="outset" w:sz="6" w:space="0" w:color="auto"/>
              <w:bottom w:val="outset" w:sz="6" w:space="0" w:color="auto"/>
              <w:right w:val="outset" w:sz="6" w:space="0" w:color="auto"/>
            </w:tcBorders>
            <w:vAlign w:val="center"/>
            <w:hideMark/>
          </w:tcPr>
          <w:p w14:paraId="5D278D0D"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0,064</w:t>
            </w:r>
          </w:p>
        </w:tc>
      </w:tr>
      <w:tr w:rsidR="001E2566" w:rsidRPr="001E2566" w14:paraId="4197CC2B"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0A2C0ED"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Strom Warmwasser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ED0213B"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0,065</w:t>
            </w:r>
          </w:p>
        </w:tc>
      </w:tr>
      <w:tr w:rsidR="001E2566" w:rsidRPr="001E2566" w14:paraId="0A7A27CE"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8071A6"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Strom tertiäre Beleuchtung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4D9F4"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0,064</w:t>
            </w:r>
          </w:p>
        </w:tc>
      </w:tr>
      <w:tr w:rsidR="001E2566" w:rsidRPr="001E2566" w14:paraId="105690EE"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B55CC3A"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Strom Heimbeleuchtung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5887DFF"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0,069</w:t>
            </w:r>
          </w:p>
        </w:tc>
      </w:tr>
      <w:tr w:rsidR="001E2566" w:rsidRPr="001E2566" w14:paraId="16A0FA74"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402C683"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Strom sonstige Nutzungen</w:t>
            </w:r>
          </w:p>
        </w:tc>
        <w:tc>
          <w:tcPr>
            <w:tcW w:w="0" w:type="auto"/>
            <w:tcBorders>
              <w:top w:val="outset" w:sz="6" w:space="0" w:color="auto"/>
              <w:left w:val="outset" w:sz="6" w:space="0" w:color="auto"/>
              <w:bottom w:val="outset" w:sz="6" w:space="0" w:color="auto"/>
              <w:right w:val="outset" w:sz="6" w:space="0" w:color="auto"/>
            </w:tcBorders>
            <w:vAlign w:val="center"/>
            <w:hideMark/>
          </w:tcPr>
          <w:p w14:paraId="59867770"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0,064</w:t>
            </w:r>
          </w:p>
        </w:tc>
      </w:tr>
      <w:tr w:rsidR="001E2566" w:rsidRPr="001E2566" w14:paraId="57B8F581"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8B4E3CC"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Methangas (natürlich) aus Netzen</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3D0AB"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0,227</w:t>
            </w:r>
          </w:p>
        </w:tc>
      </w:tr>
      <w:tr w:rsidR="001E2566" w:rsidRPr="001E2566" w14:paraId="55F3160C"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DAF3758"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Butangas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5EB10DE"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0,272</w:t>
            </w:r>
          </w:p>
        </w:tc>
      </w:tr>
      <w:tr w:rsidR="001E2566" w:rsidRPr="001E2566" w14:paraId="76F060FD"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9A1BEDF"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Propangas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245C28"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0,272</w:t>
            </w:r>
          </w:p>
        </w:tc>
      </w:tr>
      <w:tr w:rsidR="001E2566" w:rsidRPr="001E2566" w14:paraId="06BEC0C1"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EC5D0DA"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Sonstige fossile Brennstoffe</w:t>
            </w:r>
          </w:p>
        </w:tc>
        <w:tc>
          <w:tcPr>
            <w:tcW w:w="0" w:type="auto"/>
            <w:tcBorders>
              <w:top w:val="outset" w:sz="6" w:space="0" w:color="auto"/>
              <w:left w:val="outset" w:sz="6" w:space="0" w:color="auto"/>
              <w:bottom w:val="outset" w:sz="6" w:space="0" w:color="auto"/>
              <w:right w:val="outset" w:sz="6" w:space="0" w:color="auto"/>
            </w:tcBorders>
            <w:vAlign w:val="center"/>
            <w:hideMark/>
          </w:tcPr>
          <w:p w14:paraId="05EA40A5"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0,324</w:t>
            </w:r>
          </w:p>
        </w:tc>
      </w:tr>
    </w:tbl>
    <w:p w14:paraId="5EF5522D"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Der Emissionsfaktor für bestehende Fernwärme- oder Kältenetze wird für jede bestehende Infrastruktur durch einen Erlass festgelegt.</w:t>
      </w:r>
    </w:p>
    <w:p w14:paraId="045E6CAE"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Artikel 11</w:t>
      </w:r>
    </w:p>
    <w:p w14:paraId="357C0B01"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lastRenderedPageBreak/>
        <w:br/>
        <w:t>Die Gewichtungskoeffizienten, die in Abhängigkeit von dem Emissionsjahr und dem Typ des freigesetzten Gases zur Berechnung der Indikatoren für die Auswirkung auf den Klimawandel IcEnergie, IcBau und IcGebäude verwendet werden, sind Folgende:</w:t>
      </w:r>
    </w:p>
    <w:p w14:paraId="72BEFD40" w14:textId="77777777" w:rsidR="001E2566" w:rsidRPr="001E2566" w:rsidRDefault="001E2566" w:rsidP="001E2566">
      <w:pPr>
        <w:spacing w:before="100" w:beforeAutospacing="1" w:after="100" w:afterAutospacing="1" w:line="240" w:lineRule="auto"/>
        <w:rPr>
          <w:rFonts w:ascii="Times New Roman" w:eastAsia="Times New Roman" w:hAnsi="Times New Roman" w:cs="Times New Roman"/>
          <w:sz w:val="24"/>
          <w:szCs w:val="24"/>
          <w:lang w:eastAsia="fr-FR"/>
        </w:rPr>
      </w:pPr>
    </w:p>
    <w:p w14:paraId="240682ED"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Sie können den gesamten Text mit seinen Bildern in dem Auszug des authentifizierten elektronischen Amtsblatts einsehen, der am unteren Rand der Seite zugänglich ist</w:t>
      </w:r>
    </w:p>
    <w:p w14:paraId="28D98F8C"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Artikel 12</w:t>
      </w:r>
    </w:p>
    <w:p w14:paraId="3D64B258"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Die Software, die die Berechnung der in den Kapiteln I bis IX des Anhangs zu Artikel R. 172-4 des Bau- und Wohnungsgesetzbuchs definierten Indikatoren ganz oder teilweise ermöglicht, um die Einhaltung des genannten Artikels und der vorliegenden Verordnung zu überprüfen, muss die in Artikel 8 genannte Berechnungsmethode befolgen.</w:t>
      </w:r>
      <w:r>
        <w:rPr>
          <w:rFonts w:ascii="Times New Roman" w:hAnsi="Times New Roman"/>
          <w:sz w:val="24"/>
        </w:rPr>
        <w:br/>
        <w:t>Hierzu können sie sich gemäß Artikel L. 121-2 der Bau- und Wohnungsordnung auf ein Tool zur Berechnung der Indikatoren Bbio, Cep, nr, Cep und DH stützen, das auf Anfrage zur Verfügung gestellt wird. Aktualisierungen dieses Tools werden innerhalb eines Monats nach ihrer Veröffentlichung in die betreffende Software integriert.</w:t>
      </w:r>
      <w:r>
        <w:rPr>
          <w:rFonts w:ascii="Times New Roman" w:hAnsi="Times New Roman"/>
          <w:sz w:val="24"/>
        </w:rPr>
        <w:br/>
        <w:t>Für die ordnungsgemäße Verwendung dieser Softwares werden diese zuvor von dem Minister für Energie und dem Minister für Bauwesen genehmigt, wodurch insbesondere überprüft werden kann, dass die erzielten Ergebnisse mit dem Berechnungsverfahren im Einklang stehen und dass die Eingabeschnittstelle das Risiko von Eingabefehlern durch den Modellierer minimiert.</w:t>
      </w:r>
      <w:r>
        <w:rPr>
          <w:rFonts w:ascii="Times New Roman" w:hAnsi="Times New Roman"/>
          <w:sz w:val="24"/>
        </w:rPr>
        <w:br/>
        <w:t>Als Übergangsmaßnahme kann Software, die einer Eigenkontrolle unterzogen wurde, für regulatorische Zwecke für Simulationen verwendet werden, die bis zum 30. Juni 2022 durchgeführt werden.</w:t>
      </w:r>
      <w:r>
        <w:rPr>
          <w:rFonts w:ascii="Times New Roman" w:hAnsi="Times New Roman"/>
          <w:sz w:val="24"/>
        </w:rPr>
        <w:br/>
        <w:t>In Anhang V werden die Modalitäten für die Durchführung von Eigenkontrollen sowie das Genehmigungsverfahren für diese Softwares beschrieben.</w:t>
      </w:r>
      <w:r>
        <w:rPr>
          <w:rFonts w:ascii="Times New Roman" w:hAnsi="Times New Roman"/>
          <w:sz w:val="24"/>
        </w:rPr>
        <w:br/>
        <w:t>Die Genehmigung wird nach einer regelmäßigen Überprüfung gemäß den folgenden Bedingungen verlängert:</w:t>
      </w:r>
    </w:p>
    <w:p w14:paraId="5B1AB48E"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die Gültigkeitsdauer der ersten Genehmigung beträgt zwei Jahre,</w:t>
      </w:r>
      <w:r>
        <w:rPr>
          <w:rFonts w:ascii="Times New Roman" w:hAnsi="Times New Roman"/>
          <w:sz w:val="24"/>
        </w:rPr>
        <w:br/>
        <w:t>die Gültigkeitsdauer der Genehmigung wird nach einer Überprüfung, bei der keine wesentlichen Abweichungen von dem zum Zeitpunkt der Einreichung der Überprüfungsunterlagen geltenden Berechnungsverfahren festgestellt wurden, um fünf Jahre verlängert,</w:t>
      </w:r>
      <w:r>
        <w:rPr>
          <w:rFonts w:ascii="Times New Roman" w:hAnsi="Times New Roman"/>
          <w:sz w:val="24"/>
        </w:rPr>
        <w:br/>
        <w:t>- die Gültigkeitsdauer der Genehmigung wird nach einer Überprüfung, bei der wesentliche Abweichungen von dem zum Zeitpunkt der Einreichung der Überprüfungsunterlagen geltenden Berechnungsverfahren zu korrigieren waren, um zwei bis fünf Jahre verlängert.</w:t>
      </w:r>
    </w:p>
    <w:p w14:paraId="2A8D9C94"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lastRenderedPageBreak/>
        <w:br/>
        <w:t>Die Genehmigung kann jederzeit entzogen werden, insbesondere nachdem eine wesentliche Abweichung von dem zum Zeitpunkt der Feststellung geltenden Berechnungsverfahren festgestellt wurde oder nachdem bei mindestens drei Gelegenheiten eine fehlende Einbindung bestimmter Systeme, die in dem zum Zeitpunkt der Feststellung geltenden Berechnungsverfahren integriert sind, festgestellt wurde.</w:t>
      </w:r>
    </w:p>
    <w:p w14:paraId="15BCB050"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Artikel 13</w:t>
      </w:r>
    </w:p>
    <w:p w14:paraId="02C498AD"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Die Werte, die als Eingabedaten für die in Artikel 8 angegebene Berechnung verwendet werden und die geometrischen Eigenschaften des Gebäudes beschreiben, müssen, wenn das Gebäude nicht fertiggestellt ist, den Bauplänen oder, wenn die Arbeiten abgeschlossen sind, den tatsächlich realisierten Größen entsprechen..</w:t>
      </w:r>
      <w:r>
        <w:rPr>
          <w:rFonts w:ascii="Times New Roman" w:hAnsi="Times New Roman"/>
          <w:sz w:val="24"/>
        </w:rPr>
        <w:br/>
        <w:t>Längen, Flächen oder Ausrichtungen des Gebäudes und seiner Komponenten gehören zu den die geometrischen Eigenschaften des Gebäudes beschreibenden Daten.</w:t>
      </w:r>
    </w:p>
    <w:p w14:paraId="4B21CD62"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Artikel 14</w:t>
      </w:r>
    </w:p>
    <w:p w14:paraId="6AD10CB5"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Die Werte, die als Eingabedaten für die in Artikel 8 angegebene Berechnung verwendet werden und die Mengen der in dem Gebäude verwendeten Bauprodukte oder Ausrüstungen beschreiben, müssen, wenn das Gebäude nicht fertiggestellt ist, den geschätzten Mengen, die für den Bau des Gebäudes benötigt werden, oder, wenn die Arbeiten abgeschlossen sind, den tatsächlich eingesetzten Mengen entsprechen.</w:t>
      </w:r>
    </w:p>
    <w:p w14:paraId="70E16001"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Artikel 15</w:t>
      </w:r>
    </w:p>
    <w:p w14:paraId="112D0811"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I. - Die Werte, die als Eingabedaten für die in Artikel 8 angegebene Berechnung verwendet werden und die Wärmeeigenschaften der Gebäudekomponenten beschreiben, müssen, wenn das Gebäude nicht fertiggestellt ist, den Eigenschaften der für den Bau des Gebäudes vorgesehenen Komponenten oder, wenn die Arbeiten abgeschlossen sind, den Eigenschaften der tatsächlich verwendeten Komponenten entsprechen.</w:t>
      </w:r>
      <w:r>
        <w:rPr>
          <w:rFonts w:ascii="Times New Roman" w:hAnsi="Times New Roman"/>
          <w:sz w:val="24"/>
        </w:rPr>
        <w:br/>
        <w:t>Diese Wärmeeigenschaften werden für jede Komponente wie folgt ermittelt:</w:t>
      </w:r>
    </w:p>
    <w:p w14:paraId="079B37D7"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 Wenn die Komponente durch harmonisierte technische Spezifikationen der Verordnung (EU) Nr. 305/2011 vom 9. März 2011, harmonisierte Normen oder europäische Bewertungsdokumente abgedeckt ist, wobei die Produkte in diesen Fällen durch die Anbringung der CE-Kennzeichnung identifiziert werden, und wenn der Wert der Wärmeeigenschaft in diesen Spezifikationen festgelegt ist, wird dieser Wert gemäß den in Artikel 8 festgelegten Verfahren verwendet;</w:t>
      </w:r>
      <w:r>
        <w:rPr>
          <w:rFonts w:ascii="Times New Roman" w:hAnsi="Times New Roman"/>
          <w:sz w:val="24"/>
        </w:rPr>
        <w:br/>
        <w:t xml:space="preserve">- Andernfalls, wenn die Wärmeeigenschaft durch Bezugnahme auf französische Normen oder technische Gutachten oder eine gleichwertige einzelstaatliche Norm </w:t>
      </w:r>
      <w:r>
        <w:rPr>
          <w:rFonts w:ascii="Times New Roman" w:hAnsi="Times New Roman"/>
          <w:sz w:val="24"/>
        </w:rPr>
        <w:lastRenderedPageBreak/>
        <w:t>ermittelt wird, die von einem Mitgliedstaat der Europäischen Union oder einer Vertragspartei des EWR-Abkommens oder von der Türkei akzeptiert wurde und von einer unabhängigen Drittstelle, die gemäß der Verordnung (EU) Nr. 305/2011 durch einen Mitgliedstaat der Europäischen Union oder eine Vertragspartei des EWR-Abkommens benannt und anerkannt wurde, erstellt wurde, wird dieser Wert gemäß den in Artikel 8 festgelegten Verfahren verwendet. Diese Bestimmung gilt nur während des Zeitraums, die der Anwendung einer harmonisierten europäischen Norm oder Europäischen Technischen Zulassung vorangeht. Ungeachtet der Rundungsregeln, die durch diese verschiedenen Normen oder technischen Gutachten festgelegt werden, können die als Eingabedaten verwendeten Werte nicht günstiger als die Werte sein, die sich ggf. aus einer durchgeführten Messung ergeben.</w:t>
      </w:r>
    </w:p>
    <w:p w14:paraId="68B9E767"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Kann kein Richtwert nach den oben genannten Modalitäten ermittelt werden, entspricht der zu verwendende Wert dem Standardwert, der durch das Berechnungsverfahren gemäß Artikel 8 ermittelt wird. Hiervon ausgenommen ist der Standardwert für die nutzbare Wärmeleitfähigkeit von biologischen Dämmstoffen gemäß Anhang XII des vorliegenden Erlasses.</w:t>
      </w:r>
      <w:r>
        <w:rPr>
          <w:rFonts w:ascii="Times New Roman" w:hAnsi="Times New Roman"/>
          <w:sz w:val="24"/>
        </w:rPr>
        <w:br/>
        <w:t>II. - In zu Wohnzwecken genutzten Gebäuden sind, falls bei der Übergabe des Gebäudes noch einige Arbeiten zur Installation von Energiesystemen auszuführen sind, Standarddaten nach dem in Artikel 8 angegebenen Verfahren zu verwenden.</w:t>
      </w:r>
    </w:p>
    <w:p w14:paraId="3EEF5261"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Artikel 16</w:t>
      </w:r>
    </w:p>
    <w:p w14:paraId="7E3825A8"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I. - Die Werte, die als Eingabedaten für die Berechnung der Indikatoren IcBau und IcGebäude verwendet werden, müssen, wenn das Gebäude nicht fertiggestellt ist, den Eigenschaften der für den Bau vorgesehenen Komponenten oder, wenn die Arbeiten abgeschlossen sind, den Eigenschaften der tatsächlich verwendeten Komponenten entsprechen. Abweichend von dieser Bestimmung ist es möglich, Eingabedaten zu verwenden, die einer Komponente mit höherwertigen Eigenschaften als die der vorgesehenen oder eingebauten Komponente entsprechen, vorausgesetzt, sie gehören zum gleichen Sortiment desselben Herstellers.</w:t>
      </w:r>
      <w:r>
        <w:rPr>
          <w:rFonts w:ascii="Times New Roman" w:hAnsi="Times New Roman"/>
          <w:sz w:val="24"/>
        </w:rPr>
        <w:br/>
        <w:t xml:space="preserve">Diese Werte werden für jede Komponente auf der Grundlage der Umwelterklärungen ermittelt, die von den Herstellern gemäß den per Dekret festgelegten Vorschriften zur Verfügung gestellt werden, oder, in Ermangelung solcher Daten, anhand von Standardumweltdaten, die von dem Minister für Bauwesen bereitgestellt werden. </w:t>
      </w:r>
      <w:r>
        <w:rPr>
          <w:rFonts w:ascii="Times New Roman" w:hAnsi="Times New Roman"/>
          <w:sz w:val="24"/>
        </w:rPr>
        <w:br/>
        <w:t>Falls für eine Gebäudekomponente keine Informationen vorliegen, die den im vorstehenden Absatz genannten Eigenschaften entsprechen, wird die Komponente in der Berechnung beschrieben und dieser eine als „leer“ qualifizierte Umweltinformation zugeordnet; darüber hinaus wird auf einer Website, deren Adresse auf der Website des Ministeriums für Bauwesen angegeben ist, ein Antrag auf Erstellung von Standardumweltdaten für die Komponente gestellt.</w:t>
      </w:r>
      <w:r>
        <w:rPr>
          <w:rFonts w:ascii="Times New Roman" w:hAnsi="Times New Roman"/>
          <w:sz w:val="24"/>
        </w:rPr>
        <w:br/>
        <w:t>II. - Sind bei der Übergabe des Gebäudes noch einige Arbeiten auszuführen, sind Standarddaten zur Beschreibung dieser Arbeiten nach dem in Artikel 8 angegebenen Verfahren zu verwenden.</w:t>
      </w:r>
      <w:r>
        <w:rPr>
          <w:rFonts w:ascii="Times New Roman" w:hAnsi="Times New Roman"/>
          <w:sz w:val="24"/>
        </w:rPr>
        <w:br/>
        <w:t xml:space="preserve">III. - Alternativ zu den unter den Ziffern I und II des vorliegenden Artikels </w:t>
      </w:r>
      <w:r>
        <w:rPr>
          <w:rFonts w:ascii="Times New Roman" w:hAnsi="Times New Roman"/>
          <w:sz w:val="24"/>
        </w:rPr>
        <w:lastRenderedPageBreak/>
        <w:t>genannten Anforderungen ist es möglich, für bestimmte Komponentengruppen des Gebäudes und entsprechend der Nutzung des Gebäudes, deren Auswirkung auf den Klimawandel mithilfe von Pauschalwerten zu beschreiben. Die betreffenden Komponentengruppen und die entsprechenden Werte sind in Anhang XI aufgeführt. IV. — Die Daten, die gemäß dem I dieses Artikels verwendet werden können, sind die Daten, die zum Zeitpunkt des Abschlusses der Berechnung der Indikatoren IcBau, Icded und IcGebäude verfügbar sind. Wurden jedoch Daten bei einer früheren Berechnung dieser Indikatoren verwendet und anschließend aktualisiert oder gelöscht, so bleiben sie unter den in I dieses Artikels festgelegten Bedingungen nutzbar.</w:t>
      </w:r>
    </w:p>
    <w:p w14:paraId="4B0996BE"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Artikel 17</w:t>
      </w:r>
    </w:p>
    <w:p w14:paraId="49E8C27A"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I. - Der Luftdurchlässigkeitswert des Gebäudes wird wie folgt ermittelt:</w:t>
      </w:r>
    </w:p>
    <w:p w14:paraId="017998CB"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bei zu Wohnzwecken genutzten Gebäuden entweder durch Messung oder durch Anwendung eines Qualitätsansatzes zur Ermittlung der Luftdichtheit des Gebäudes gemäß den in ANHANG VII des vorliegenden Erlasses festgelegten Modalitäten,</w:t>
      </w:r>
      <w:r>
        <w:rPr>
          <w:rFonts w:ascii="Times New Roman" w:hAnsi="Times New Roman"/>
          <w:sz w:val="24"/>
        </w:rPr>
        <w:br/>
        <w:t>bei anderen Gebäudetypen kann der Luftdurchlässigkeitswert des Gebäudes durch Messung gemäß den in ANHANG VII des vorliegenden Erlasses festgelegten Modalitäten nachgewiesen werden. Erfolgt keine Messung nach diesen Modalitäten, entspricht der zu verwendende Wert dem durch das Berechnungsverfahren gemäß Artikel 8 ermittelten Standardwert;</w:t>
      </w:r>
    </w:p>
    <w:p w14:paraId="30E74863"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Im Fall einer Durchlässigkeitsmessung durch Probenahme werden die ermittelten Messwerte mit 1,2 multipliziert.</w:t>
      </w:r>
      <w:r>
        <w:rPr>
          <w:rFonts w:ascii="Times New Roman" w:hAnsi="Times New Roman"/>
          <w:sz w:val="24"/>
        </w:rPr>
        <w:br/>
        <w:t>Falls nach der Übergabe noch Arbeiten auszuführen sind, die die Luftdurchlässigkeit der Wohnungen beeinflussen können, und wenn kein Vorbehalt vorliegt, durch den die Entstehung von Lecks während dieser Arbeiten verhindert wird, sind die ermittelten Durchlässigkeitswerte um 0,3 m³/(hm²) zu erhöhen.</w:t>
      </w:r>
      <w:r>
        <w:rPr>
          <w:rFonts w:ascii="Times New Roman" w:hAnsi="Times New Roman"/>
          <w:sz w:val="24"/>
        </w:rPr>
        <w:br/>
        <w:t>Diese beiden Erhöhungen werden in dieser Reihenfolge kumuliert.</w:t>
      </w:r>
      <w:r>
        <w:rPr>
          <w:rFonts w:ascii="Times New Roman" w:hAnsi="Times New Roman"/>
          <w:sz w:val="24"/>
        </w:rPr>
        <w:br/>
        <w:t>II. - Bei allen Gebäuden wird der Wert der Luftdurchlässigkeit der raumlufttechnischen Anlagen entweder durch Messung oder durch Anwendung eines Qualitätsansatzes zur Ermittlung der Luftdichtheit der raumlufttechnischen Anlagen gemäß den in Anhang VII des vorliegenden Erlasses festgelegten Modalitäten ermittelt. In Ermangelung einer Messung und eines Qualitätsansatzes nach diesen Modalitäten entspricht der zu verwendende Wert dem durch das Berechnungsverfahren gemäß Artikel 8 ermittelten Standardwert.</w:t>
      </w:r>
      <w:r>
        <w:rPr>
          <w:rFonts w:ascii="Times New Roman" w:hAnsi="Times New Roman"/>
          <w:sz w:val="24"/>
        </w:rPr>
        <w:br/>
        <w:t>Wenn die Luftdurchlässigkeit des Gebäudes oder die Durchlässigkeit der raumlufttechnischen Anlagen durch eine Messung nachgewiesen wird, muss die Person, welche die Messung durchführt, eine Person sein, die von dem Minister für Bauwesen als kompetent anerkannt wurde und die von dem Antragsteller und den bei der Ausführung, Arbeitsüberwachung oder Bauleitung an den betreffenden Gebäuden mitwirkenden Stellen unabhängig ist.</w:t>
      </w:r>
    </w:p>
    <w:p w14:paraId="33D0D0FD"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lastRenderedPageBreak/>
        <w:t>Kapitel VI: NACHWEIS DER ANWENDUNG DER ANFORDERUNGEN (Artikel 18)</w:t>
      </w:r>
    </w:p>
    <w:p w14:paraId="6CEE42C7"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Artikel 18</w:t>
      </w:r>
    </w:p>
    <w:p w14:paraId="0B84ABB8"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Spätestens nach Abschluss der Arbeiten erstellt der Bauherr mithilfe einer Software, die den Anforderungen von Artikel 12 entspricht, in elektronischer Form eine standardisierte Zusammenfassung der Energie- und Umweltprüfung..</w:t>
      </w:r>
      <w:r>
        <w:rPr>
          <w:rFonts w:ascii="Times New Roman" w:hAnsi="Times New Roman"/>
          <w:sz w:val="24"/>
        </w:rPr>
        <w:br/>
        <w:t>Der Inhalt und das Format der zu erstellenden standardisierten Zusammenfassung der Energie- und Umweltprüfung werden in ANHANG VI beschrieben.</w:t>
      </w:r>
      <w:r>
        <w:rPr>
          <w:rFonts w:ascii="Times New Roman" w:hAnsi="Times New Roman"/>
          <w:sz w:val="24"/>
        </w:rPr>
        <w:br/>
        <w:t>In dem durch den TITEL IV des vorliegenden Erlasses geregelten Fall, dass die Anforderungen des vorliegenden Erlasses nach genehmigten vereinfachten Verfahren oder Anwendungsmethoden angewandt werden, sind der Inhalt und das Format der zu erstellenden standardisierten Zusammenfassung der thermischen Prüfung in den vereinfachten Verfahren oder Anwendungsmethoden anzugeben.</w:t>
      </w:r>
      <w:r>
        <w:rPr>
          <w:rFonts w:ascii="Times New Roman" w:hAnsi="Times New Roman"/>
          <w:sz w:val="24"/>
        </w:rPr>
        <w:br/>
        <w:t>Diese Daten werden vom Bauherrn gemäß Artikel R. 172-8 des Bau- und Wohnungsbaugesetzes aufbewahrt und übermittelt.</w:t>
      </w:r>
    </w:p>
    <w:p w14:paraId="7BBC5E6C" w14:textId="77777777" w:rsidR="001E2566" w:rsidRPr="001E2566" w:rsidRDefault="001E2566" w:rsidP="001E256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TITEL III: WÄRMEEIGENSCHAFTEN UND ANFORDERUNGEN AN MASSNAHMEN (PRO KOMPONENT) (Artikel 19 bis 40)</w:t>
      </w:r>
    </w:p>
    <w:p w14:paraId="047F585D"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Kapitel VII: LEISTUNGSÜBERPRÜFUNG NACH DEN ARBEITEN (Artikel 19 bis20)</w:t>
      </w:r>
    </w:p>
    <w:p w14:paraId="246D9678"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Artikel 19</w:t>
      </w:r>
    </w:p>
    <w:p w14:paraId="1B32334B"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Bei Einfamilien- oder Reihenhäusern sowie Mehrfamilienwohnhäusern beträgt die nach Artikel 17 ermittelte Luftdurchlässigkeit der Gebäudehülle bei 4 Pa (Q4Pa-surf) höchstens:</w:t>
      </w:r>
      <w:r>
        <w:rPr>
          <w:rFonts w:ascii="Times New Roman" w:hAnsi="Times New Roman"/>
          <w:sz w:val="24"/>
        </w:rPr>
        <w:br/>
        <w:t>0,60 m³/(hm²) an verlustreichen Wänden, ausgenommen Böden, in Einfamilien- oder Reihenhäusern,</w:t>
      </w:r>
      <w:r>
        <w:rPr>
          <w:rFonts w:ascii="Times New Roman" w:hAnsi="Times New Roman"/>
          <w:sz w:val="24"/>
        </w:rPr>
        <w:br/>
        <w:t>1,00 m³/(hm²) an verlustreichen Wänden, ausgenommen Böden, in Mehrfamilienwohnhäusern.</w:t>
      </w:r>
    </w:p>
    <w:p w14:paraId="6FE67279"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Artikel 20</w:t>
      </w:r>
    </w:p>
    <w:p w14:paraId="76C28EEE"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In zu Wohnzwecken genutzten Gebäuden und Gebäudeteilen ist jede Lüftungsanlage des Gebäudes von einer vom Bauminister als sachkundig anerkannten Person gemäß den Bestimmungen des Anhangs VIII zu überprüfen und ihre Leistung zu messen, um sicherzustellen, dass sie ordnungsgemäß funktioniert. Sie muss dem im selben Anhang genannten Prüfprotokoll für das Lüftungssystem entsprechen.</w:t>
      </w:r>
    </w:p>
    <w:p w14:paraId="20F22DC9"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Kapitel VIII: WÄRMEDÄMMUNG</w:t>
      </w:r>
      <w:r>
        <w:rPr>
          <w:rFonts w:ascii="Times New Roman" w:hAnsi="Times New Roman"/>
          <w:b/>
          <w:sz w:val="24"/>
        </w:rPr>
        <w:br/>
        <w:t>(Artikel 21 bis 22)</w:t>
      </w:r>
    </w:p>
    <w:p w14:paraId="05D32C19"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Artikel 21</w:t>
      </w:r>
    </w:p>
    <w:p w14:paraId="114F77C7"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lastRenderedPageBreak/>
        <w:br/>
        <w:t>Die Wände, die ständig genutzte Gebäudeteile von nicht ständig genutzten Gebäudeteilen abtrennen, müssen einen Wärmedurchgangskoeffizienten U – wie in dem Berechnungsverfahren gemäß Artikel 8 erwähnt – von durchschnittlich maximal 0,36 W/(m²K) aufweisen. Die hier berücksichtigte Fläche ist die Fläche der oben genannten Wände.</w:t>
      </w:r>
    </w:p>
    <w:p w14:paraId="30B2C5B7"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Artikel 22</w:t>
      </w:r>
    </w:p>
    <w:p w14:paraId="5557CEB4"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Zur Vermeidung jeglicher Gefahr eines physikalischen oder mikrobiologischen Abbaus der Materialien, wie z. B. Verdichtung der Isolierung oder Schimmelbildung, ist jedes Gebäude oder jeder Gebäudeteil so zu planen und zu bauen, dass unter normalen Nutzungsbedingungen jede Situation vermieden wird, die zum Auftreten von Kondenswasser auf der Oberfläche oder im Inneren der Wände führen kann, sei es einmalig oder in verteilter Form, es sei denn, dieses Kondenswasser ist nur vorübergehend.</w:t>
      </w:r>
      <w:r>
        <w:rPr>
          <w:rFonts w:ascii="Times New Roman" w:hAnsi="Times New Roman"/>
          <w:sz w:val="24"/>
        </w:rPr>
        <w:br/>
        <w:t>Zu diesem Zweck erfüllt sie eine der Anforderungen von I oder II dieses Artikels:</w:t>
      </w:r>
      <w:r>
        <w:rPr>
          <w:rFonts w:ascii="Times New Roman" w:hAnsi="Times New Roman"/>
          <w:sz w:val="24"/>
        </w:rPr>
        <w:br/>
        <w:t>I. - Es muss unter winterlichen Bedingungen eine Oberflächentemperatur an der inneren Mauerfläche und entlang der inneren Fläche der Isolierung von unter 15 °C an jedem Punkt dieser Flächen aufweisen.</w:t>
      </w:r>
      <w:r>
        <w:rPr>
          <w:rFonts w:ascii="Times New Roman" w:hAnsi="Times New Roman"/>
          <w:sz w:val="24"/>
        </w:rPr>
        <w:br/>
        <w:t>II. — Es erfüllt gleichzeitig folgende Anforderungen:</w:t>
      </w:r>
    </w:p>
    <w:p w14:paraId="24A1A556"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Der allgemeine mittlere längenbezogene Wärmedurchgangskoeffizient ψ der Wärmebrücken des Gebäudes beträgt maximal 0,33 W/(m² Sref K). Durch dieses Verhältnis werden die Wärmeverluste aller Wärmebrücken des Gebäudes in Bezug auf die Bezugsfläche des Gebäudes dargestellt.</w:t>
      </w:r>
    </w:p>
    <w:p w14:paraId="685094D4"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 xml:space="preserve"> Es wird nach der in Artikel 8 genannten Berechnungsmethode ermittelt.</w:t>
      </w:r>
    </w:p>
    <w:p w14:paraId="766A78E1"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Der mittlere längenbezogene Wärmedurchgangskoeffizient der Verbindungen zwischen Zwischendecken und Außenwänden oder Wänden mit Anbindung an einen nicht beheizten Raum (Ψ 9) beträgt maximal 0,6 W/(lfm K).</w:t>
      </w:r>
    </w:p>
    <w:p w14:paraId="6DAC5735"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Kapitel IX: ZUGANG ZU NATÜRLICHER BELEUCHTUNG (Artikel 23)</w:t>
      </w:r>
    </w:p>
    <w:p w14:paraId="079A75AF"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Artikel 23</w:t>
      </w:r>
    </w:p>
    <w:p w14:paraId="4BA15D91"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Um eine ausreichende natürliche Beleuchtung und Sicht nach außen zu bieten, müssen zu Wohnzwecken genutzte Gebäude eine der unter den Ziffern I oder II des vorliegenden Artikels aufgeführten Anforderungen erfüllen.</w:t>
      </w:r>
      <w:r>
        <w:rPr>
          <w:rFonts w:ascii="Times New Roman" w:hAnsi="Times New Roman"/>
          <w:sz w:val="24"/>
        </w:rPr>
        <w:br/>
        <w:t>I. - Jede Wohnung weist alle folgenden Eigenschaften auf:</w:t>
      </w:r>
    </w:p>
    <w:p w14:paraId="088F56DA"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 xml:space="preserve">- Beleuchtungsstärke von mindestens 300 lx auf 50 % der Fläche der Wohnräume, außer in den vorübergehend genutzten Räumen, in mehr als der Hälfte der </w:t>
      </w:r>
      <w:r>
        <w:rPr>
          <w:rFonts w:ascii="Times New Roman" w:hAnsi="Times New Roman"/>
          <w:sz w:val="24"/>
        </w:rPr>
        <w:lastRenderedPageBreak/>
        <w:t>Tageslichtstunden des Jahres;</w:t>
      </w:r>
      <w:r>
        <w:rPr>
          <w:rFonts w:ascii="Times New Roman" w:hAnsi="Times New Roman"/>
          <w:sz w:val="24"/>
        </w:rPr>
        <w:br/>
        <w:t>- Beleuchtungsstärke von mindestens 100 lx auf 95 % der Fläche der Wohnräume, außer in den vorübergehend genutzten Räumen, in mehr als der Hälfte der Tageslichtstunden des Jahres;</w:t>
      </w:r>
      <w:r>
        <w:rPr>
          <w:rFonts w:ascii="Times New Roman" w:hAnsi="Times New Roman"/>
          <w:sz w:val="24"/>
        </w:rPr>
        <w:br/>
        <w:t>- in mindestens einem Wohnraum im Sinne von R. 111-1 des Baugesetzbuchs haben die Bewohner in einem Abstand von mindestens einem Meter von der Außenwand eine Sicht nach außen, bei der sowohl der Himmel als auch der Horizont zu sehen sind.</w:t>
      </w:r>
    </w:p>
    <w:p w14:paraId="7E038E22"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II. - Die Gesamtfläche der Maueröffnungen, gemessen an der Laibung, beträgt mindestens ein Sechstel der Bezugsfläche.</w:t>
      </w:r>
      <w:r>
        <w:rPr>
          <w:rFonts w:ascii="Times New Roman" w:hAnsi="Times New Roman"/>
          <w:sz w:val="24"/>
        </w:rPr>
        <w:br/>
        <w:t>Beträgt die vorhandene Fassadenfläche des Gebäudes weniger als die Hälfte der Wohnfläche des Gebäudes oder beträgt die durchschnittliche Wohnfläche der Wohnungen in dem Gebäude weniger als 25 m², kann das Gebäude anstelle der vorgenannten Anforderungen eine Gesamtfläche der Maueröffnungen, gemessen an der Laibung, aufweisen, die mindestens einem Drittel der vorhandenen Fassadenfläche entspricht.</w:t>
      </w:r>
      <w:r>
        <w:rPr>
          <w:rFonts w:ascii="Times New Roman" w:hAnsi="Times New Roman"/>
          <w:sz w:val="24"/>
        </w:rPr>
        <w:br/>
        <w:t>Der vorliegende Artikel findet keine Anwendung, wenn seine Einhaltung gegen die Genehmigungspflicht in unter besonderem Schutz stehenden Bereichen, in Zonen zum Schutz des architektonischen, städtebaulichen und landschaftlichen Erbes oder Bereichen zur Förderung der Architektur und des kulturellen Erbes, in der Nähe von Denkmälern, eingetragenen und klassifizierten Stätten des Welterbes und der UNESCO-Liste der Weltkulturgüter oder jedes anderen von den Gebietskörperschaften eingerichteten Schutzgebietes verstößt, sowie für Standorte und Bereiche, die in Artikel L. 151-19 der Städtebauordnung aufgeführt sind.</w:t>
      </w:r>
    </w:p>
    <w:p w14:paraId="69709D3E"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Kapitel X SOMMERLICHE BEHAGLICHKEIT (Artikel 24 bis 25)</w:t>
      </w:r>
    </w:p>
    <w:p w14:paraId="204D4D22"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Artikel 24</w:t>
      </w:r>
    </w:p>
    <w:p w14:paraId="5094E39F"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Mit Ausnahme der Öffnungen in Räumen mit vorübergehender Belegung haben die Öffnungen einen Solarfaktor von kleiner oder gleich dem in der nachstehenden Tabelle definierten Solarfaktor, wobei die Sonnenschutzvorrichtung, falls vorhanden, in der vollständig erweiterten Position berücksichtigt wird:</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71"/>
        <w:gridCol w:w="1358"/>
        <w:gridCol w:w="1906"/>
        <w:gridCol w:w="1921"/>
      </w:tblGrid>
      <w:tr w:rsidR="001E2566" w:rsidRPr="001E2566" w14:paraId="0FEA27B1"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7AED3588"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Zonen H2a</w:t>
            </w:r>
          </w:p>
        </w:tc>
        <w:tc>
          <w:tcPr>
            <w:tcW w:w="0" w:type="auto"/>
            <w:tcBorders>
              <w:top w:val="outset" w:sz="6" w:space="0" w:color="auto"/>
              <w:left w:val="outset" w:sz="6" w:space="0" w:color="auto"/>
              <w:bottom w:val="outset" w:sz="6" w:space="0" w:color="auto"/>
              <w:right w:val="outset" w:sz="6" w:space="0" w:color="auto"/>
            </w:tcBorders>
            <w:vAlign w:val="bottom"/>
            <w:hideMark/>
          </w:tcPr>
          <w:p w14:paraId="792B9C63"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Alle Höhen</w:t>
            </w:r>
          </w:p>
        </w:tc>
        <w:tc>
          <w:tcPr>
            <w:tcW w:w="0" w:type="auto"/>
            <w:tcBorders>
              <w:top w:val="outset" w:sz="6" w:space="0" w:color="auto"/>
              <w:left w:val="outset" w:sz="6" w:space="0" w:color="auto"/>
              <w:bottom w:val="outset" w:sz="6" w:space="0" w:color="auto"/>
              <w:right w:val="outset" w:sz="6" w:space="0" w:color="auto"/>
            </w:tcBorders>
            <w:vAlign w:val="bottom"/>
            <w:hideMark/>
          </w:tcPr>
          <w:p w14:paraId="191B7715" w14:textId="77777777" w:rsidR="001E2566" w:rsidRPr="001E2566" w:rsidRDefault="001E2566" w:rsidP="001E2566">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bottom"/>
            <w:hideMark/>
          </w:tcPr>
          <w:p w14:paraId="4DB41082" w14:textId="77777777" w:rsidR="001E2566" w:rsidRPr="001E2566" w:rsidRDefault="001E2566" w:rsidP="001E2566">
            <w:pPr>
              <w:spacing w:after="0" w:line="240" w:lineRule="auto"/>
              <w:jc w:val="center"/>
              <w:rPr>
                <w:rFonts w:ascii="Times New Roman" w:eastAsia="Times New Roman" w:hAnsi="Times New Roman" w:cs="Times New Roman"/>
                <w:sz w:val="20"/>
                <w:szCs w:val="20"/>
                <w:lang w:eastAsia="fr-FR"/>
              </w:rPr>
            </w:pPr>
          </w:p>
        </w:tc>
      </w:tr>
      <w:tr w:rsidR="001E2566" w:rsidRPr="001E2566" w14:paraId="74E1E777"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5016A53"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Zonen H1a, H1b und H2b</w:t>
            </w:r>
          </w:p>
        </w:tc>
        <w:tc>
          <w:tcPr>
            <w:tcW w:w="0" w:type="auto"/>
            <w:tcBorders>
              <w:top w:val="outset" w:sz="6" w:space="0" w:color="auto"/>
              <w:left w:val="outset" w:sz="6" w:space="0" w:color="auto"/>
              <w:bottom w:val="outset" w:sz="6" w:space="0" w:color="auto"/>
              <w:right w:val="outset" w:sz="6" w:space="0" w:color="auto"/>
            </w:tcBorders>
            <w:vAlign w:val="center"/>
            <w:hideMark/>
          </w:tcPr>
          <w:p w14:paraId="4258AE65"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Höhe &gt; 400 m</w:t>
            </w:r>
          </w:p>
        </w:tc>
        <w:tc>
          <w:tcPr>
            <w:tcW w:w="0" w:type="auto"/>
            <w:tcBorders>
              <w:top w:val="outset" w:sz="6" w:space="0" w:color="auto"/>
              <w:left w:val="outset" w:sz="6" w:space="0" w:color="auto"/>
              <w:bottom w:val="outset" w:sz="6" w:space="0" w:color="auto"/>
              <w:right w:val="outset" w:sz="6" w:space="0" w:color="auto"/>
            </w:tcBorders>
            <w:vAlign w:val="center"/>
            <w:hideMark/>
          </w:tcPr>
          <w:p w14:paraId="5F273407"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Höhe &lt; oder = 400 m</w:t>
            </w:r>
          </w:p>
        </w:tc>
        <w:tc>
          <w:tcPr>
            <w:tcW w:w="0" w:type="auto"/>
            <w:tcBorders>
              <w:top w:val="outset" w:sz="6" w:space="0" w:color="auto"/>
              <w:left w:val="outset" w:sz="6" w:space="0" w:color="auto"/>
              <w:bottom w:val="outset" w:sz="6" w:space="0" w:color="auto"/>
              <w:right w:val="outset" w:sz="6" w:space="0" w:color="auto"/>
            </w:tcBorders>
            <w:vAlign w:val="center"/>
            <w:hideMark/>
          </w:tcPr>
          <w:p w14:paraId="7E03DA7D" w14:textId="77777777" w:rsidR="001E2566" w:rsidRPr="001E2566" w:rsidRDefault="001E2566" w:rsidP="001E2566">
            <w:pPr>
              <w:spacing w:after="0" w:line="240" w:lineRule="auto"/>
              <w:jc w:val="center"/>
              <w:rPr>
                <w:rFonts w:ascii="Times New Roman" w:eastAsia="Times New Roman" w:hAnsi="Times New Roman" w:cs="Times New Roman"/>
                <w:sz w:val="24"/>
                <w:szCs w:val="24"/>
                <w:lang w:eastAsia="fr-FR"/>
              </w:rPr>
            </w:pPr>
          </w:p>
        </w:tc>
      </w:tr>
      <w:tr w:rsidR="001E2566" w:rsidRPr="001E2566" w14:paraId="33E5F499"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979BC64"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Zonen H1c und H2c</w:t>
            </w:r>
          </w:p>
        </w:tc>
        <w:tc>
          <w:tcPr>
            <w:tcW w:w="0" w:type="auto"/>
            <w:tcBorders>
              <w:top w:val="outset" w:sz="6" w:space="0" w:color="auto"/>
              <w:left w:val="outset" w:sz="6" w:space="0" w:color="auto"/>
              <w:bottom w:val="outset" w:sz="6" w:space="0" w:color="auto"/>
              <w:right w:val="outset" w:sz="6" w:space="0" w:color="auto"/>
            </w:tcBorders>
            <w:vAlign w:val="center"/>
            <w:hideMark/>
          </w:tcPr>
          <w:p w14:paraId="6E3CFB0D"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Höhe &gt; 800 m</w:t>
            </w:r>
          </w:p>
        </w:tc>
        <w:tc>
          <w:tcPr>
            <w:tcW w:w="0" w:type="auto"/>
            <w:tcBorders>
              <w:top w:val="outset" w:sz="6" w:space="0" w:color="auto"/>
              <w:left w:val="outset" w:sz="6" w:space="0" w:color="auto"/>
              <w:bottom w:val="outset" w:sz="6" w:space="0" w:color="auto"/>
              <w:right w:val="outset" w:sz="6" w:space="0" w:color="auto"/>
            </w:tcBorders>
            <w:vAlign w:val="center"/>
            <w:hideMark/>
          </w:tcPr>
          <w:p w14:paraId="347820CD"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Höhe &lt; oder = 800 m</w:t>
            </w:r>
          </w:p>
        </w:tc>
        <w:tc>
          <w:tcPr>
            <w:tcW w:w="0" w:type="auto"/>
            <w:tcBorders>
              <w:top w:val="outset" w:sz="6" w:space="0" w:color="auto"/>
              <w:left w:val="outset" w:sz="6" w:space="0" w:color="auto"/>
              <w:bottom w:val="outset" w:sz="6" w:space="0" w:color="auto"/>
              <w:right w:val="outset" w:sz="6" w:space="0" w:color="auto"/>
            </w:tcBorders>
            <w:vAlign w:val="center"/>
            <w:hideMark/>
          </w:tcPr>
          <w:p w14:paraId="7F8F34B5" w14:textId="77777777" w:rsidR="001E2566" w:rsidRPr="001E2566" w:rsidRDefault="001E2566" w:rsidP="001E2566">
            <w:pPr>
              <w:spacing w:after="0" w:line="240" w:lineRule="auto"/>
              <w:jc w:val="center"/>
              <w:rPr>
                <w:rFonts w:ascii="Times New Roman" w:eastAsia="Times New Roman" w:hAnsi="Times New Roman" w:cs="Times New Roman"/>
                <w:sz w:val="24"/>
                <w:szCs w:val="24"/>
                <w:lang w:eastAsia="fr-FR"/>
              </w:rPr>
            </w:pPr>
          </w:p>
        </w:tc>
      </w:tr>
      <w:tr w:rsidR="001E2566" w:rsidRPr="001E2566" w14:paraId="4D19A5BD"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7E55A57"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Zonen H2d und H3</w:t>
            </w:r>
          </w:p>
        </w:tc>
        <w:tc>
          <w:tcPr>
            <w:tcW w:w="0" w:type="auto"/>
            <w:tcBorders>
              <w:top w:val="outset" w:sz="6" w:space="0" w:color="auto"/>
              <w:left w:val="outset" w:sz="6" w:space="0" w:color="auto"/>
              <w:bottom w:val="outset" w:sz="6" w:space="0" w:color="auto"/>
              <w:right w:val="outset" w:sz="6" w:space="0" w:color="auto"/>
            </w:tcBorders>
            <w:vAlign w:val="center"/>
            <w:hideMark/>
          </w:tcPr>
          <w:p w14:paraId="54C77D64" w14:textId="77777777" w:rsidR="001E2566" w:rsidRPr="001E2566" w:rsidRDefault="001E2566" w:rsidP="001E2566">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22519A"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Höhe &gt; 400 m</w:t>
            </w:r>
          </w:p>
        </w:tc>
        <w:tc>
          <w:tcPr>
            <w:tcW w:w="0" w:type="auto"/>
            <w:tcBorders>
              <w:top w:val="outset" w:sz="6" w:space="0" w:color="auto"/>
              <w:left w:val="outset" w:sz="6" w:space="0" w:color="auto"/>
              <w:bottom w:val="outset" w:sz="6" w:space="0" w:color="auto"/>
              <w:right w:val="outset" w:sz="6" w:space="0" w:color="auto"/>
            </w:tcBorders>
            <w:vAlign w:val="center"/>
            <w:hideMark/>
          </w:tcPr>
          <w:p w14:paraId="33A1467B"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Höhe &lt; oder = 400 m</w:t>
            </w:r>
          </w:p>
        </w:tc>
      </w:tr>
      <w:tr w:rsidR="001E2566" w:rsidRPr="001E2566" w14:paraId="29232294" w14:textId="77777777" w:rsidTr="001E2566">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6BF82151"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br/>
              <w:t>1. Maueröffnungen mit Lärmexposition BR1 – Schlafräume</w:t>
            </w:r>
          </w:p>
        </w:tc>
      </w:tr>
      <w:tr w:rsidR="001E2566" w:rsidRPr="001E2566" w14:paraId="2E4908FE"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3F24EDF"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Senkrechte Maueröffnung nach Norden</w:t>
            </w:r>
          </w:p>
        </w:tc>
        <w:tc>
          <w:tcPr>
            <w:tcW w:w="0" w:type="auto"/>
            <w:tcBorders>
              <w:top w:val="outset" w:sz="6" w:space="0" w:color="auto"/>
              <w:left w:val="outset" w:sz="6" w:space="0" w:color="auto"/>
              <w:bottom w:val="outset" w:sz="6" w:space="0" w:color="auto"/>
              <w:right w:val="outset" w:sz="6" w:space="0" w:color="auto"/>
            </w:tcBorders>
            <w:vAlign w:val="center"/>
            <w:hideMark/>
          </w:tcPr>
          <w:p w14:paraId="41C8A950"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0,65</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435E8"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4E8F1"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0,25</w:t>
            </w:r>
          </w:p>
        </w:tc>
      </w:tr>
      <w:tr w:rsidR="001E2566" w:rsidRPr="001E2566" w14:paraId="29AF5682"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2EACEE4"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Senkrechte Maueröffnung nicht nach Norden</w:t>
            </w:r>
          </w:p>
        </w:tc>
        <w:tc>
          <w:tcPr>
            <w:tcW w:w="0" w:type="auto"/>
            <w:tcBorders>
              <w:top w:val="outset" w:sz="6" w:space="0" w:color="auto"/>
              <w:left w:val="outset" w:sz="6" w:space="0" w:color="auto"/>
              <w:bottom w:val="outset" w:sz="6" w:space="0" w:color="auto"/>
              <w:right w:val="outset" w:sz="6" w:space="0" w:color="auto"/>
            </w:tcBorders>
            <w:vAlign w:val="center"/>
            <w:hideMark/>
          </w:tcPr>
          <w:p w14:paraId="450FD9C5"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0C222559"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14FF8573"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0,15</w:t>
            </w:r>
          </w:p>
        </w:tc>
      </w:tr>
      <w:tr w:rsidR="001E2566" w:rsidRPr="001E2566" w14:paraId="539BCC64"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9688E0"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Waagerechte Maueröffnung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80DD670"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65E85117"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1C7BC75C"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0,10</w:t>
            </w:r>
          </w:p>
        </w:tc>
      </w:tr>
      <w:tr w:rsidR="001E2566" w:rsidRPr="001E2566" w14:paraId="78D41FE5" w14:textId="77777777" w:rsidTr="001E2566">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1AFD0C78"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2. Maueröffnungen mit Lärmexposition BR2 oder BR3 – Schlafräume</w:t>
            </w:r>
          </w:p>
        </w:tc>
      </w:tr>
      <w:tr w:rsidR="001E2566" w:rsidRPr="001E2566" w14:paraId="175A7E8D"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CD89F41"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Senkrechte Maueröffnung nach Norden</w:t>
            </w:r>
          </w:p>
        </w:tc>
        <w:tc>
          <w:tcPr>
            <w:tcW w:w="0" w:type="auto"/>
            <w:tcBorders>
              <w:top w:val="outset" w:sz="6" w:space="0" w:color="auto"/>
              <w:left w:val="outset" w:sz="6" w:space="0" w:color="auto"/>
              <w:bottom w:val="outset" w:sz="6" w:space="0" w:color="auto"/>
              <w:right w:val="outset" w:sz="6" w:space="0" w:color="auto"/>
            </w:tcBorders>
            <w:vAlign w:val="center"/>
            <w:hideMark/>
          </w:tcPr>
          <w:p w14:paraId="1D62859D"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67AC9B65"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63D256D8"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0,25</w:t>
            </w:r>
          </w:p>
        </w:tc>
      </w:tr>
      <w:tr w:rsidR="001E2566" w:rsidRPr="001E2566" w14:paraId="7FA03FD9"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5B5B826"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Senkrechte Maueröffnung nicht nach Norden</w:t>
            </w:r>
          </w:p>
        </w:tc>
        <w:tc>
          <w:tcPr>
            <w:tcW w:w="0" w:type="auto"/>
            <w:tcBorders>
              <w:top w:val="outset" w:sz="6" w:space="0" w:color="auto"/>
              <w:left w:val="outset" w:sz="6" w:space="0" w:color="auto"/>
              <w:bottom w:val="outset" w:sz="6" w:space="0" w:color="auto"/>
              <w:right w:val="outset" w:sz="6" w:space="0" w:color="auto"/>
            </w:tcBorders>
            <w:vAlign w:val="center"/>
            <w:hideMark/>
          </w:tcPr>
          <w:p w14:paraId="276643E0"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1946B973"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494538C8"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0,15</w:t>
            </w:r>
          </w:p>
        </w:tc>
      </w:tr>
      <w:tr w:rsidR="001E2566" w:rsidRPr="001E2566" w14:paraId="624F5D1E"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1BE56F3"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Waagerechte Maueröffnung</w:t>
            </w:r>
          </w:p>
        </w:tc>
        <w:tc>
          <w:tcPr>
            <w:tcW w:w="0" w:type="auto"/>
            <w:tcBorders>
              <w:top w:val="outset" w:sz="6" w:space="0" w:color="auto"/>
              <w:left w:val="outset" w:sz="6" w:space="0" w:color="auto"/>
              <w:bottom w:val="outset" w:sz="6" w:space="0" w:color="auto"/>
              <w:right w:val="outset" w:sz="6" w:space="0" w:color="auto"/>
            </w:tcBorders>
            <w:vAlign w:val="center"/>
            <w:hideMark/>
          </w:tcPr>
          <w:p w14:paraId="3E1A9081"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1C2671BE"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9E64771"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0,10</w:t>
            </w:r>
          </w:p>
        </w:tc>
      </w:tr>
      <w:tr w:rsidR="001E2566" w:rsidRPr="001E2566" w14:paraId="2E8AA0D1" w14:textId="77777777" w:rsidTr="001E2566">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19B4220A"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3. Maueröffnungen mit Lärmexposition BR1 – außer Schlafräume</w:t>
            </w:r>
          </w:p>
        </w:tc>
      </w:tr>
      <w:tr w:rsidR="001E2566" w:rsidRPr="001E2566" w14:paraId="1957E479"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7483AD5"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Senkrechte Maueröffnung nicht nach Norden</w:t>
            </w:r>
          </w:p>
        </w:tc>
        <w:tc>
          <w:tcPr>
            <w:tcW w:w="0" w:type="auto"/>
            <w:tcBorders>
              <w:top w:val="outset" w:sz="6" w:space="0" w:color="auto"/>
              <w:left w:val="outset" w:sz="6" w:space="0" w:color="auto"/>
              <w:bottom w:val="outset" w:sz="6" w:space="0" w:color="auto"/>
              <w:right w:val="outset" w:sz="6" w:space="0" w:color="auto"/>
            </w:tcBorders>
            <w:vAlign w:val="center"/>
            <w:hideMark/>
          </w:tcPr>
          <w:p w14:paraId="4905CD1A"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0,65</w:t>
            </w:r>
          </w:p>
        </w:tc>
        <w:tc>
          <w:tcPr>
            <w:tcW w:w="0" w:type="auto"/>
            <w:tcBorders>
              <w:top w:val="outset" w:sz="6" w:space="0" w:color="auto"/>
              <w:left w:val="outset" w:sz="6" w:space="0" w:color="auto"/>
              <w:bottom w:val="outset" w:sz="6" w:space="0" w:color="auto"/>
              <w:right w:val="outset" w:sz="6" w:space="0" w:color="auto"/>
            </w:tcBorders>
            <w:vAlign w:val="center"/>
            <w:hideMark/>
          </w:tcPr>
          <w:p w14:paraId="7E9A4279"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7EF50899"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0,25</w:t>
            </w:r>
          </w:p>
        </w:tc>
      </w:tr>
      <w:tr w:rsidR="001E2566" w:rsidRPr="001E2566" w14:paraId="21396CFE"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BE4B86B"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Waagerechte Maueröffnung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3BF21"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0948422A"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341EEB66"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0,15</w:t>
            </w:r>
          </w:p>
        </w:tc>
      </w:tr>
      <w:tr w:rsidR="001E2566" w:rsidRPr="001E2566" w14:paraId="14FF332F" w14:textId="77777777" w:rsidTr="001E2566">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331703F2"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4. Maueröffnungen mit Lärmexposition BR2 oder BR3 – außer Schlafräume</w:t>
            </w:r>
          </w:p>
        </w:tc>
      </w:tr>
      <w:tr w:rsidR="001E2566" w:rsidRPr="001E2566" w14:paraId="24280AA6"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D5B4481"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Senkrechte Maueröffnung nicht nach Norden</w:t>
            </w:r>
          </w:p>
        </w:tc>
        <w:tc>
          <w:tcPr>
            <w:tcW w:w="0" w:type="auto"/>
            <w:tcBorders>
              <w:top w:val="outset" w:sz="6" w:space="0" w:color="auto"/>
              <w:left w:val="outset" w:sz="6" w:space="0" w:color="auto"/>
              <w:bottom w:val="outset" w:sz="6" w:space="0" w:color="auto"/>
              <w:right w:val="outset" w:sz="6" w:space="0" w:color="auto"/>
            </w:tcBorders>
            <w:vAlign w:val="center"/>
            <w:hideMark/>
          </w:tcPr>
          <w:p w14:paraId="515FC5B4"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6230771C"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78565C83"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0,25</w:t>
            </w:r>
          </w:p>
        </w:tc>
      </w:tr>
      <w:tr w:rsidR="001E2566" w:rsidRPr="001E2566" w14:paraId="51688B1B"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F2D3BED"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Waagerechte Maueröffnung</w:t>
            </w:r>
          </w:p>
        </w:tc>
        <w:tc>
          <w:tcPr>
            <w:tcW w:w="0" w:type="auto"/>
            <w:tcBorders>
              <w:top w:val="outset" w:sz="6" w:space="0" w:color="auto"/>
              <w:left w:val="outset" w:sz="6" w:space="0" w:color="auto"/>
              <w:bottom w:val="outset" w:sz="6" w:space="0" w:color="auto"/>
              <w:right w:val="outset" w:sz="6" w:space="0" w:color="auto"/>
            </w:tcBorders>
            <w:vAlign w:val="center"/>
            <w:hideMark/>
          </w:tcPr>
          <w:p w14:paraId="7560C0B8"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1BCE59F1"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565D3935"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0,15</w:t>
            </w:r>
          </w:p>
        </w:tc>
      </w:tr>
    </w:tbl>
    <w:p w14:paraId="32AD7761"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Öffnungen, die aufgrund entfernter Sonnenschattierungen von April bis Oktober nicht direktem Sonnenlicht ausgesetzt sind, dürfen nur die Anforderungen für Nordöffnungen anwenden.</w:t>
      </w:r>
    </w:p>
    <w:p w14:paraId="43C9A5A5"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Artikel 25</w:t>
      </w:r>
    </w:p>
    <w:p w14:paraId="29E489E1"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 xml:space="preserve">Außer wenn es die Hygiene- oder Sicherheitsvorschriften verbieten, müssen sich die Maueröffnungen eines Raums, sofern es sich nicht um einen gelegentlich </w:t>
      </w:r>
      <w:r>
        <w:rPr>
          <w:rFonts w:ascii="Times New Roman" w:hAnsi="Times New Roman"/>
          <w:sz w:val="24"/>
        </w:rPr>
        <w:lastRenderedPageBreak/>
        <w:t>genutzten Raum handelt, auf mindestens 30 % ihrer Gesamtfläche öffnen lassen.</w:t>
      </w:r>
      <w:r>
        <w:rPr>
          <w:rFonts w:ascii="Times New Roman" w:hAnsi="Times New Roman"/>
          <w:sz w:val="24"/>
        </w:rPr>
        <w:br/>
        <w:t>Dieser Grenzwert wird im Fall von Räumen, bei denen der Höhenunterschied zwischen dem niedrigsten Punkt der niedrigsten Öffnung und dem höchsten Punkt der höchsten Öffnung 4 m oder mehr beträgt, auf 10 % verringert.</w:t>
      </w:r>
    </w:p>
    <w:p w14:paraId="3F8A3589"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Kapitel XI: ENERGIEVERBRAUCH (Artikel 26 bis 28)</w:t>
      </w:r>
    </w:p>
    <w:p w14:paraId="34349679"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Artikel 26</w:t>
      </w:r>
    </w:p>
    <w:p w14:paraId="607D614B"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Jeder Automatismus, der zu einem Anstieg des Energieverbrauchs führt:</w:t>
      </w:r>
    </w:p>
    <w:p w14:paraId="450A6312"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ist so konzipiert und ausgeführt, dass der Automatismus nur bei Bedarf ausgelöst wird,</w:t>
      </w:r>
      <w:r>
        <w:rPr>
          <w:rFonts w:ascii="Times New Roman" w:hAnsi="Times New Roman"/>
          <w:sz w:val="24"/>
        </w:rPr>
        <w:br/>
        <w:t>ist entweder zeitgesteuert oder so programmiert, dass der Anstieg des Energieverbrauchs automatisch gestoppt wird, sobald dieser nicht mehr erforderlich ist,</w:t>
      </w:r>
      <w:r>
        <w:rPr>
          <w:rFonts w:ascii="Times New Roman" w:hAnsi="Times New Roman"/>
          <w:sz w:val="24"/>
        </w:rPr>
        <w:br/>
        <w:t>- kann von dem zukünftigen Gebäudeverwalter entsprechend den Nutzungsbedingungen des Gebäudes angepasst werden.</w:t>
      </w:r>
    </w:p>
    <w:p w14:paraId="3A8787CD"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Die Automatismen ermöglichen die automatische Auslösung der künstlichen Beleuchtung in Wohnungen, Büros, Versammlungsräumen, Klassenzimmern und Mehrzweckräumen erst nach einer manuellen Handlung des Raumnutzers in dem betreffenden Raum oder dessen unmittelbarer Nähe, die weniger als 6 Stunden zuvor ausgeführt wurde.</w:t>
      </w:r>
    </w:p>
    <w:p w14:paraId="7C718A47"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Artikel 27</w:t>
      </w:r>
    </w:p>
    <w:p w14:paraId="2AD2B896"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Gebäude oder Gebäudeteile für Wohnzwecke werden mit Systemen ausgestattet, mit denen der Energieverbrauch jeder Wohnung gemessen oder geschätzt werden kann. Hiervon ausgenommen ist der Verbrauch von individuellen Holzfeuerungsanlagen in Einfamilien- oder Reihenhäusern.</w:t>
      </w:r>
      <w:r>
        <w:rPr>
          <w:rFonts w:ascii="Times New Roman" w:hAnsi="Times New Roman"/>
          <w:sz w:val="24"/>
        </w:rPr>
        <w:br/>
        <w:t>Bei kollektiver Energieerzeugung versteht man unter dem Energieverbrauch pro Wohnung den Anteil des Gesamtenergieverbrauchs, der gemäß einem Verteilungsschlüssel, der vom Bauherrn bei der Errichtung des Gebäudes festzulegen ist, auf diese Wohnung entfällt.</w:t>
      </w:r>
      <w:r>
        <w:rPr>
          <w:rFonts w:ascii="Times New Roman" w:hAnsi="Times New Roman"/>
          <w:sz w:val="24"/>
        </w:rPr>
        <w:br/>
        <w:t>Durch diese Systeme können die Bewohner mindestens monatlich über ihren Energieverbrauch informiert werden.</w:t>
      </w:r>
      <w:r>
        <w:rPr>
          <w:rFonts w:ascii="Times New Roman" w:hAnsi="Times New Roman"/>
          <w:sz w:val="24"/>
        </w:rPr>
        <w:br/>
        <w:t>Diese Informationen werden für den bewohnbaren Raum je Energietyp mindestens mit der folgenden Aufschlüsselung bereitgestellt:</w:t>
      </w:r>
    </w:p>
    <w:p w14:paraId="71001075" w14:textId="196B9630"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Heizung,</w:t>
      </w:r>
      <w:r>
        <w:rPr>
          <w:rFonts w:ascii="Times New Roman" w:hAnsi="Times New Roman"/>
          <w:sz w:val="24"/>
        </w:rPr>
        <w:br/>
        <w:t>Kühlung,</w:t>
      </w:r>
      <w:r>
        <w:rPr>
          <w:rFonts w:ascii="Times New Roman" w:hAnsi="Times New Roman"/>
          <w:sz w:val="24"/>
        </w:rPr>
        <w:br/>
        <w:t>Warmwasserbereitung,</w:t>
      </w:r>
      <w:r>
        <w:rPr>
          <w:rFonts w:ascii="Times New Roman" w:hAnsi="Times New Roman"/>
          <w:sz w:val="24"/>
        </w:rPr>
        <w:br/>
        <w:t>Steckdosennetz,</w:t>
      </w:r>
      <w:r>
        <w:rPr>
          <w:rFonts w:ascii="Times New Roman" w:hAnsi="Times New Roman"/>
          <w:sz w:val="24"/>
        </w:rPr>
        <w:br/>
        <w:t>- sonstige.</w:t>
      </w:r>
    </w:p>
    <w:p w14:paraId="2A843AA9"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lastRenderedPageBreak/>
        <w:br/>
        <w:t>Diese Aufschlüsselung kann entweder auf den gemessenen Daten oder auf Daten, die ausgehend von einer vorab festgelegten Parametrisierung geschätzt wurden, basieren.</w:t>
      </w:r>
      <w:r>
        <w:rPr>
          <w:rFonts w:ascii="Times New Roman" w:hAnsi="Times New Roman"/>
          <w:sz w:val="24"/>
        </w:rPr>
        <w:br/>
        <w:t xml:space="preserve">Im Fall eines Bauherrn, der auch der zukünftige Eigentümer und Vermieter des errichteten Gebäudes ist, insbesondere Bauherren von Sozialmietwohnungen, können diese Informationen den Bewohnern jedoch auch auf elektronischem oder postalischem Weg (mindestens monatsweise) übermittelt werden und müssen nicht direkt in dem bewohnbaren Raum bereitgestellt werden. </w:t>
      </w:r>
      <w:r>
        <w:rPr>
          <w:rFonts w:ascii="Times New Roman" w:hAnsi="Times New Roman"/>
          <w:sz w:val="24"/>
        </w:rPr>
        <w:br/>
        <w:t>Die Berücksichtigung des vorliegenden Artikels ist im Einklang mit den Leitlinien „Systeme der Messung bzw. Schätzung des Verbrauchs einer Wohnung“, in denen die Anwendungsmodalitäten festgelegt sind, nachzuweisen..</w:t>
      </w:r>
    </w:p>
    <w:p w14:paraId="2DCB3D70"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Artikel 28</w:t>
      </w:r>
    </w:p>
    <w:p w14:paraId="6900B592"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Nicht zu Wohnzwecken genutzte Gebäude oder Gebäudeteile werden mit Systemen ausgestattet, mit denen der folgende Energieverbrauch gemessen oder berechnet werden kann:</w:t>
      </w:r>
    </w:p>
    <w:p w14:paraId="5B42919B"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für die Heizung: je Teilbereich von 500 m² betroffener Fläche oder je Schalttafel oder je Geschoss oder je Direktabgang,</w:t>
      </w:r>
      <w:r>
        <w:rPr>
          <w:rFonts w:ascii="Times New Roman" w:hAnsi="Times New Roman"/>
          <w:sz w:val="24"/>
        </w:rPr>
        <w:br/>
        <w:t>für die Kühlung: je Teilbereich von 500 m² betroffener Fläche oder je Schalttafel oder je Geschoss oder je Direktabgang,</w:t>
      </w:r>
      <w:r>
        <w:rPr>
          <w:rFonts w:ascii="Times New Roman" w:hAnsi="Times New Roman"/>
          <w:sz w:val="24"/>
        </w:rPr>
        <w:br/>
        <w:t>für die Warmwasserbereitung,</w:t>
      </w:r>
      <w:r>
        <w:rPr>
          <w:rFonts w:ascii="Times New Roman" w:hAnsi="Times New Roman"/>
          <w:sz w:val="24"/>
        </w:rPr>
        <w:br/>
        <w:t>für die Beleuchtung: je Teilbereich von 500 m² betroffener Fläche oder je Schalttafel oder je Geschoss,</w:t>
      </w:r>
      <w:r>
        <w:rPr>
          <w:rFonts w:ascii="Times New Roman" w:hAnsi="Times New Roman"/>
          <w:sz w:val="24"/>
        </w:rPr>
        <w:br/>
        <w:t>für das Steckdosennetz: je Teilbereich von 500 m² betroffener Fläche oder je Schalttafel oder je Geschoss,</w:t>
      </w:r>
      <w:r>
        <w:rPr>
          <w:rFonts w:ascii="Times New Roman" w:hAnsi="Times New Roman"/>
          <w:sz w:val="24"/>
        </w:rPr>
        <w:br/>
        <w:t>für Lüftungsanlagen: je Anlage,</w:t>
      </w:r>
      <w:r>
        <w:rPr>
          <w:rFonts w:ascii="Times New Roman" w:hAnsi="Times New Roman"/>
          <w:sz w:val="24"/>
        </w:rPr>
        <w:br/>
        <w:t>je Direktabgang von mehr als 80 Ampere.</w:t>
      </w:r>
    </w:p>
    <w:p w14:paraId="23D8D2E8"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Kapitel XII: HEIZUNG UND KÜHLUNG (Artikel 29 bis 34)</w:t>
      </w:r>
    </w:p>
    <w:p w14:paraId="501FE1D3"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Artikel 29</w:t>
      </w:r>
    </w:p>
    <w:p w14:paraId="722749CB"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Eine Heizungsanlage verfügt je angebundenem Raum über eine oder mehrere Vorrichtungen zur manuellen Abschaltung und automatischen Regelung in Abhängigkeit von der Innentemperatur dieses Raums.</w:t>
      </w:r>
      <w:r>
        <w:rPr>
          <w:rFonts w:ascii="Times New Roman" w:hAnsi="Times New Roman"/>
          <w:sz w:val="24"/>
        </w:rPr>
        <w:br/>
        <w:t>Wenn jedoch die Beheizung durch eine Niedertemperatur-Warmwasser-Fußbodenheizung, durch Lufteinblasung oder durch eine eigenständige Holzheizung erfolgt, kann diese Vorrichtung für mehrere Räume mit einer Gesamtfläche von maximal 100 m² genutzt werden.</w:t>
      </w:r>
      <w:r>
        <w:rPr>
          <w:rFonts w:ascii="Times New Roman" w:hAnsi="Times New Roman"/>
          <w:sz w:val="24"/>
        </w:rPr>
        <w:br/>
        <w:t>Die automatische Regelung ist so programmiert, dass sie den Anforderungen des Artikels R. 241-26 des Energiegesetzbuchs entspricht.</w:t>
      </w:r>
    </w:p>
    <w:p w14:paraId="6846F165"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Artikel 30</w:t>
      </w:r>
    </w:p>
    <w:p w14:paraId="04A7AB41"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lastRenderedPageBreak/>
        <w:br/>
        <w:t>Im Fall von nicht zu Wohnzwecken genutzten Gebäuden oder Gebäudeteilen verfügt jede Heizungsanlage, die nicht ständig genutzte Räume versorgt, über eine Vorrichtung zur manuellen Steuerung und automatischen Regelung mit Zeituhr, die Folgendes ermöglicht:</w:t>
      </w:r>
    </w:p>
    <w:p w14:paraId="2F617DE2" w14:textId="1DF7FE3F"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Wärmelieferung entsprechend den vier folgenden Betriebsarten: Behaglichkeit, Absenkung, Frostschutz und Abschaltung,</w:t>
      </w:r>
      <w:r>
        <w:rPr>
          <w:rFonts w:ascii="Times New Roman" w:hAnsi="Times New Roman"/>
          <w:sz w:val="24"/>
        </w:rPr>
        <w:br/>
        <w:t>automatische Umschaltung zwischen diesen Betriebsarten.</w:t>
      </w:r>
    </w:p>
    <w:p w14:paraId="4A271374"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Bei der Umschaltung zwischen zwei Betriebsarten ist die Heizleistung gleich null oder maximal, um die Dauer der Übergangsphasen minimal zu halten.</w:t>
      </w:r>
      <w:r>
        <w:rPr>
          <w:rFonts w:ascii="Times New Roman" w:hAnsi="Times New Roman"/>
          <w:sz w:val="24"/>
        </w:rPr>
        <w:br/>
        <w:t>Eine solche Vorrichtung kann nur Räume mit vergleichbaren Nutzungsstunden versorgen. Eine Vorrichtung dieser Art kann eine Fläche von höchstens 5000 m² versorgen.</w:t>
      </w:r>
    </w:p>
    <w:p w14:paraId="58222680"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Artikel 31</w:t>
      </w:r>
    </w:p>
    <w:p w14:paraId="312BE2C7"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Die Sammelverteilungsnetze mit Heiz- oder Kühlwasser werden mit einer Ausgleichsvorrichtung am Fuß jeder Steigleitung ausgestattet.</w:t>
      </w:r>
      <w:r>
        <w:rPr>
          <w:rFonts w:ascii="Times New Roman" w:hAnsi="Times New Roman"/>
          <w:sz w:val="24"/>
        </w:rPr>
        <w:br/>
        <w:t>Die Pumpen der Heizungs- und Kühlsysteme werden mit einer Abschaltvorrichtung ausgerüstet.</w:t>
      </w:r>
    </w:p>
    <w:p w14:paraId="7BA7C3CE"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Artikel 32</w:t>
      </w:r>
    </w:p>
    <w:p w14:paraId="6E0FBC08"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Eine neue Kühlanlage verfügt je angebundenem Raum über eine oder mehrere Vorrichtungen zur manuellen Abschaltung und automatischen Regelung der Kältelieferung in Abhängigkeit von der Innentemperatur.</w:t>
      </w:r>
      <w:r>
        <w:rPr>
          <w:rFonts w:ascii="Times New Roman" w:hAnsi="Times New Roman"/>
          <w:sz w:val="24"/>
        </w:rPr>
        <w:br/>
        <w:t>Hierbei gilt jedoch:</w:t>
      </w:r>
    </w:p>
    <w:p w14:paraId="6CAD6508" w14:textId="79E5BC80"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Wenn die Kälte über ein System mit variablem Luftdurchsatz geliefert wird, können dieser Vorrichtung mehrere Räume mit einer Gesamtfläche von maximal 100 m² zugeordnet werden, sofern die Regelung des eingeblasenen Gesamtdurchsatzes ohne Erhöhung des Druckverlusts erfolgt.</w:t>
      </w:r>
      <w:r>
        <w:rPr>
          <w:rFonts w:ascii="Times New Roman" w:hAnsi="Times New Roman"/>
          <w:sz w:val="24"/>
        </w:rPr>
        <w:br/>
        <w:t>Wenn die Kälte über eine Bodenkühlung geliefert wird, können dieser Vorrichtung mehrere Räume mit einer Gesamtfläche von maximal 100 m² zugeordnet werden.</w:t>
      </w:r>
      <w:r>
        <w:rPr>
          <w:rFonts w:ascii="Times New Roman" w:hAnsi="Times New Roman"/>
          <w:sz w:val="24"/>
        </w:rPr>
        <w:br/>
        <w:t>Bei „Gebläsekonvektoren mit zwei Leitungen (nur Kühlen)“ gilt die Anforderung gemäß Absatz 1 als erfüllt, wenn jedes Gebläse innentemperaturabhängig gesteuert wird und wenn für die Erzeugung und Verteilung von Kaltwasser eine Vorrichtung vorgesehen wird, die deren Regelung gestattet.</w:t>
      </w:r>
      <w:r>
        <w:rPr>
          <w:rFonts w:ascii="Times New Roman" w:hAnsi="Times New Roman"/>
          <w:sz w:val="24"/>
        </w:rPr>
        <w:br/>
        <w:t xml:space="preserve">Bei zu Wohnzwecken genutzten Gebäuden oder Gebäudeteilen, die durch Kühlung der Frischluft ohne Anstieg der behandelten Durchsatzmengen über das Doppelte des Hygienebedarfs hinaus gekühlt werden, gilt die Anforderung gemäß Absatz 1 als erfüllt, wenn die Kältelieferung zum einen mindestens in Abhängigkeit von der </w:t>
      </w:r>
      <w:r>
        <w:rPr>
          <w:rFonts w:ascii="Times New Roman" w:hAnsi="Times New Roman"/>
          <w:sz w:val="24"/>
        </w:rPr>
        <w:lastRenderedPageBreak/>
        <w:t>Luftrückstromtemperatur und der Außentemperatur geregelt wird und zum anderen in der Heizperiode verboten ist.</w:t>
      </w:r>
    </w:p>
    <w:p w14:paraId="5309D3EC"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Die automatische Regelung ist so programmiert, dass sie den Anforderungen des Artikels R. 241-30 des Energiegesetzbuchs entspricht.</w:t>
      </w:r>
    </w:p>
    <w:p w14:paraId="3B13F3DB"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Artikel 33</w:t>
      </w:r>
    </w:p>
    <w:p w14:paraId="077EDA59"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Die Zugangstüren zu einem gekühlten Bereich werden mit einer Vorrichtung ausgestattet, über die das Schließen dieser Türen nach dem Durchgang sichergestellt wird.</w:t>
      </w:r>
    </w:p>
    <w:p w14:paraId="288B4E3E"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Artikel 34</w:t>
      </w:r>
    </w:p>
    <w:p w14:paraId="03456610"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Vor der endgültigen Abgabe in den Raum, außer wenn die Beheizung durch Wärmerückgewinnung aus der Kälteerzeugung erfolgt, wird die Luft nicht über Energie verbrauchende Vorrichtungen, die auslegungsgemäß für die Heizung oder Kühlung der Luft bestimmt sind, aufgeheizt und dann abgekühlt oder gekühlt und dann aufgeheizt.</w:t>
      </w:r>
    </w:p>
    <w:p w14:paraId="18691682"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Kapitel XIII: BELEUCHTUNG (Artikel 35 bis 38)</w:t>
      </w:r>
    </w:p>
    <w:p w14:paraId="12913087"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Artikel 35</w:t>
      </w:r>
    </w:p>
    <w:p w14:paraId="66FF7778"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Auf den Verbindungswegen, in gemeinschaftlich genutzten senkrechten und waagerechten Innenbereichen und auf Parkplätzen verfügen alle Beleuchtungsanlagen für jeden Raum über eine automatische Vorrichtung, die bei Nichtnutzung des Raums oder Parkplatzes die Möglichkeit bietet:</w:t>
      </w:r>
    </w:p>
    <w:p w14:paraId="71971AEC"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 entweder die Beleuchtung auf ein gesetzlich zulässiges Mindestmaß abzusenken,</w:t>
      </w:r>
      <w:r>
        <w:rPr>
          <w:rFonts w:ascii="Times New Roman" w:hAnsi="Times New Roman"/>
          <w:sz w:val="24"/>
        </w:rPr>
        <w:br/>
        <w:t>– oder die künstlichen Lichtquellen auszuschalten, sofern durch keine Vorschrift ein Mindestmaß vorgesehen ist.</w:t>
      </w:r>
    </w:p>
    <w:p w14:paraId="4CF0B1E4"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Wenn der Raum ferner Zugang zu natürlicher Beleuchtung hat, ist darin eine Vorrichtung eingebaut, über die das Beleuchtungssystem automatisch ausgeschaltet werden kann, sobald die natürliche Beleuchtung ausreichend ist.</w:t>
      </w:r>
      <w:r>
        <w:rPr>
          <w:rFonts w:ascii="Times New Roman" w:hAnsi="Times New Roman"/>
          <w:sz w:val="24"/>
        </w:rPr>
        <w:br/>
        <w:t>Eine einzelne Vorrichtung versorgt höchstens:</w:t>
      </w:r>
    </w:p>
    <w:p w14:paraId="48E54FDE"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 eine Fläche von höchstens 100 m² und ein einziges Geschoss im Fall von waagerechten Verbindungswegen und gemeinschaftlich genutzten Innenbereichen,</w:t>
      </w:r>
      <w:r>
        <w:rPr>
          <w:rFonts w:ascii="Times New Roman" w:hAnsi="Times New Roman"/>
          <w:sz w:val="24"/>
        </w:rPr>
        <w:br/>
        <w:t>– drei Geschosse im Fall von senkrechten Verbindungswegen,</w:t>
      </w:r>
      <w:r>
        <w:rPr>
          <w:rFonts w:ascii="Times New Roman" w:hAnsi="Times New Roman"/>
          <w:sz w:val="24"/>
        </w:rPr>
        <w:br/>
        <w:t>– ein einziges Geschoss und eine Fläche von höchstens 500 m² im Fall von Parkflächen.</w:t>
      </w:r>
    </w:p>
    <w:p w14:paraId="2035E1E6"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lastRenderedPageBreak/>
        <w:t>Artikel 36</w:t>
      </w:r>
    </w:p>
    <w:p w14:paraId="4E27FDC2"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In nicht zu Wohnzwecken genutzten Gebäuden oder Gebäudeteilen wird jeder Raum mit einer Vorrichtung zum manuellen oder automatischen Ein- und Ausschalten der Beleuchtung je nach Anwesenheit ausgestattet.</w:t>
      </w:r>
    </w:p>
    <w:p w14:paraId="6F3EE712"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Artikel 37</w:t>
      </w:r>
    </w:p>
    <w:p w14:paraId="5B339772"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In nicht zu Wohnzwecken genutzten Gebäuden oder Gebäudeteilen wird jeder Raum, bei dem die Steuerung der Beleuchtung auch während der Nutzungszeiträume dem Verwaltungspersonal obliegt, mit einer Vorrichtung zum Ein- und Ausschalten der Beleuchtung ausgestattet. Wenn diese Vorrichtung nicht in dem betreffenden Raum angeordnet ist, kann der Status der Beleuchtung in diesem Raum am Ort der Steuerung angezeigt werden.</w:t>
      </w:r>
    </w:p>
    <w:p w14:paraId="6545DEA2"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Artikel 38</w:t>
      </w:r>
    </w:p>
    <w:p w14:paraId="447ACE1C"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In nicht zu Wohnzwecken genutzten Gebäuden oder Gebäudeteilen werden in einem Raum die künstlich beleuchteten Punkte, die weniger als 5 m von einer Maueröffnung entfernt sind, getrennt von den anderen Beleuchtungspunkten gesteuert, sobald die an jedem dieser Punkte installierte Gesamtleistung mehr als 200 W beträgt.</w:t>
      </w:r>
    </w:p>
    <w:p w14:paraId="3641D92C"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Kapitel XIV: LÜFTUNG (Artikel 39 bis 40)</w:t>
      </w:r>
    </w:p>
    <w:p w14:paraId="17352E06"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Artikel 39</w:t>
      </w:r>
    </w:p>
    <w:p w14:paraId="6E336921"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Im Fall von nicht zu Wohnzwecken genutzten Gebäuden oder Gebäudeteilen wird die Lüftung von Räumen oder Gruppen von Räumen mit deutlich unterschiedlicher Belegung oder Nutzung durch unabhängige Systeme sichergestellt.</w:t>
      </w:r>
    </w:p>
    <w:p w14:paraId="455505BB"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Artikel 40</w:t>
      </w:r>
    </w:p>
    <w:p w14:paraId="69C9C2C1"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Im Fall von nicht zu Wohnzwecken genutzten Gebäuden oder Gebäudeteilen, die mit spezifischen mechanisierten Lüftungssystemen ausgestattet sind, wird jede Vorrichtung zur manuellen Einstellung der Luftdurchflussraten eines Raums zeitgesteuert.</w:t>
      </w:r>
    </w:p>
    <w:p w14:paraId="7C414E8F" w14:textId="77777777" w:rsidR="001E2566" w:rsidRPr="001E2566" w:rsidRDefault="001E2566" w:rsidP="001E256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Titel IV: VORSCHLAG FÜR VEREINFACHTE ANWENDUNGSMETHODEN IN EINFAMILIENHÄUSERN (Artikel 41 bis 42)</w:t>
      </w:r>
    </w:p>
    <w:p w14:paraId="706FCC17"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 41</w:t>
      </w:r>
    </w:p>
    <w:p w14:paraId="0BF59036"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lastRenderedPageBreak/>
        <w:br/>
        <w:t>Eine vereinfachte Anwendungsmethode ist eine Kombination aus architektonischen Eigenschaften, Energieeffizienz und Umweltverträglichkeit von Gebäuden und Ausrüstungen in Zusammenhang mit einer festgelegten Kategorie von Einfamilienhäusern, wobei davon ausgegangen wird, dass alle Gebäude dieser Kategorie den Bestimmungen der Titel I bis III dieses Erlasses entsprechen.</w:t>
      </w:r>
      <w:r>
        <w:rPr>
          <w:rFonts w:ascii="Times New Roman" w:hAnsi="Times New Roman"/>
          <w:sz w:val="24"/>
        </w:rPr>
        <w:br/>
        <w:t>Der Rückgriff auf eine vereinfachte Anwendungsmethode ist jedoch nur zulässig, wenn sie vollständig genutzt wird.</w:t>
      </w:r>
    </w:p>
    <w:p w14:paraId="66AA12D9"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 42</w:t>
      </w:r>
    </w:p>
    <w:p w14:paraId="25A2079E"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Der Vorschlag für eine vereinfachte Anwendungsmethode wird zusammen mit den in AnhangIX aufgeführten Prüfunterlagen an den Minister für Energie und den Minister für Bauwesen gerichtet.</w:t>
      </w:r>
    </w:p>
    <w:p w14:paraId="540B0ABE" w14:textId="77777777" w:rsidR="001E2566" w:rsidRPr="001E2566" w:rsidRDefault="001E2566" w:rsidP="001E256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TITEL V: SONDERFÄLLE (Artikel 43 bis 44)</w:t>
      </w:r>
    </w:p>
    <w:p w14:paraId="46A80CC4"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 43</w:t>
      </w:r>
    </w:p>
    <w:p w14:paraId="37FE8AB4"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Falls die Besonderheiten eines Bauprojekts in dem Berechnungsverfahren gemäß Artikel 8 nicht berücksichtigt werden, wird ein Antrag auf Genehmigung des Projekts an den Minister für Energie und den Minister für Bauwesen gerichtet.</w:t>
      </w:r>
      <w:r>
        <w:rPr>
          <w:rFonts w:ascii="Times New Roman" w:hAnsi="Times New Roman"/>
          <w:sz w:val="24"/>
        </w:rPr>
        <w:br/>
        <w:t>Ein Antrag auf Genehmigung des Verfahrens zur Berechnung der Leistung des Heiz- oder Kühlsystems oder des Wärme- bzw. Kältenetzes kann in den folgenden Fällen an den Minister für Energie und den Minister für Bauwesen gerichtet werden:</w:t>
      </w:r>
    </w:p>
    <w:p w14:paraId="3B1BEA84" w14:textId="517D2146"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wenn die Besonderheiten eines Systems in dem Berechnungsverfahren gemäß Artikel 8 nicht berücksichtigt werden, wenn ein Fernwärme- bzw. Fernkältenetz eingerichtet wird,</w:t>
      </w:r>
      <w:r>
        <w:rPr>
          <w:rFonts w:ascii="Times New Roman" w:hAnsi="Times New Roman"/>
          <w:sz w:val="24"/>
        </w:rPr>
        <w:br/>
        <w:t>- wenn Arbeiten zur Modifizierung eines Wärme- bzw. Kältenetzes wahrscheinlich zu einer erheblichen Änderung des Emissionsfaktors oder der Quote der erneuerbaren Energie und der Rückgewinnung gemäß Artikel 10 führen.</w:t>
      </w:r>
    </w:p>
    <w:p w14:paraId="39009C9A"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Den Genehmigungsanträgen werden die in Anhang IX aufgeführten Prüfunterlagen beigefügt, aus denen insbesondere hervorgeht, weswegen die Besonderheiten des Bauprojekts oder ggf. des Systems in dem Berechnungsverfahren gemäß Artikel 8 nicht berücksichtigt werden..</w:t>
      </w:r>
      <w:r>
        <w:rPr>
          <w:rFonts w:ascii="Times New Roman" w:hAnsi="Times New Roman"/>
          <w:sz w:val="24"/>
        </w:rPr>
        <w:br/>
        <w:t>Die Genehmigung eines Bauvorhabens ist nicht zwingend vorgeschrieben, wenn eine Bescheinigung über die Einhatung der Ziele im Sinne des Artikels L. 112-9, die sich auf einen anderen Gegenstand als die Gesamtenergieeffizienz bezieht, die Eingabedaten vorsieht, die für die betreffenden Lösungen gleicher Wirkung spezifisch sind, die die Berechnungsmethode gemäß Artikel 8 ermöglichen.</w:t>
      </w:r>
    </w:p>
    <w:p w14:paraId="678480D5"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 44</w:t>
      </w:r>
    </w:p>
    <w:p w14:paraId="614F50C1"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lastRenderedPageBreak/>
        <w:br/>
        <w:t>Der Minister für Energie und der Minister für Bauwesen können die vorgeschlagene Berücksichtigung des Bauprojekts, Systems oder Wärme- bzw. Kältenetzes nach Stellungnahme einer zu diesem Zweck gebildeten Sachverständigenkommission genehmigen.</w:t>
      </w:r>
      <w:r>
        <w:rPr>
          <w:rFonts w:ascii="Times New Roman" w:hAnsi="Times New Roman"/>
          <w:sz w:val="24"/>
        </w:rPr>
        <w:br/>
        <w:t>Für den Aufbau Fernwärme- bzw. Fernkältenetzen hat die Genehmigung eine Gültigkeit von maximal drei Jahren; für Arbeiten zur Änderung von Fernwärme- oder Fernkältenetzen gilt die Genehmigung für einen Zeitraum von höchstens fünf Jahren, der zwei Jahre nach Stellungnahme eines Sachverständigenausschusses verlängert werden kann.</w:t>
      </w:r>
    </w:p>
    <w:p w14:paraId="3AD9F31A" w14:textId="77777777" w:rsidR="001E2566" w:rsidRPr="001E2566" w:rsidRDefault="001E2566" w:rsidP="001E256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Titel VI: SONSTIGE BESTIMMUNGEN (Artikel 45 bis 52)</w:t>
      </w:r>
    </w:p>
    <w:p w14:paraId="564FF101"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 45</w:t>
      </w:r>
    </w:p>
    <w:p w14:paraId="53DD94EB"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Wird ein Gebäude oder Gebäudeteil ohne Heizsystem übergeben, wird es mit einem Standardheizsystem bewertet, wie es in dem Verfahren gemäß Artikel 8 vorgesehen ist. Wenn in dem Verfahren für das betreffende Gebäude kein Standardheizsystem vorgesehen ist, kann es nur die Anforderungen an die Maßnahmen gemäß Titel III und die Anforderungen gemäß Ziffern 1, 4 und 5 des Artikels R. 172-4 des Baugesetzbuchs definierten Anforderungen erfüllen, die nach den im Anhang desselben Artikels festgelegten Verfahren bestimmt werden.</w:t>
      </w:r>
    </w:p>
    <w:p w14:paraId="76A6E83D"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 46</w:t>
      </w:r>
    </w:p>
    <w:p w14:paraId="7C286970" w14:textId="6F9FB9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I. – Die in den genannten Verordnungen vom 26. Oktober 2010 und vom 28. Dezember 2012 festgelegten Anforderungen gelten als erfüllt, wenn die in Art. R. 172-4 des Bau- und Wohnungsgesetzbuchs festgelegten und nach den Verfahren des Anhangs zu diesem Artikel festgelegten Anforderungen sowie die Anforderungen dieser Verordnung erfüllt sind.</w:t>
      </w:r>
      <w:r>
        <w:rPr>
          <w:rFonts w:ascii="Times New Roman" w:hAnsi="Times New Roman"/>
          <w:sz w:val="24"/>
        </w:rPr>
        <w:br/>
        <w:t xml:space="preserve">II. </w:t>
      </w:r>
      <w:r w:rsidR="00CF384E">
        <w:rPr>
          <w:rFonts w:ascii="Times New Roman" w:hAnsi="Times New Roman"/>
          <w:sz w:val="24"/>
        </w:rPr>
        <w:t>–</w:t>
      </w:r>
      <w:r>
        <w:rPr>
          <w:rFonts w:ascii="Times New Roman" w:hAnsi="Times New Roman"/>
          <w:sz w:val="24"/>
        </w:rPr>
        <w:t xml:space="preserve"> Die in den genannten Verordnungen vom 13. Juni 2008 und 3. Mai 2007 festgelegten Anforderungen gelten als erfüllt, wenn die in Art. R. 172-4 des Bau- und Wohnungsgesetzbuchs festgelegten und nach den Verfahren des Anhangs zu diesem Artikel festgelegten Anforderungen sowie die Anforderungen des Titels III dieser Verordnung erfüllt sind.</w:t>
      </w:r>
    </w:p>
    <w:p w14:paraId="3561E280"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 47</w:t>
      </w:r>
    </w:p>
    <w:p w14:paraId="073B293C"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Die Bestimmungen des vorliegenden Erlasses dürfen keine geltenden gesetzlichen und rechtlichen Bestimmungen hinsichtlich Gesundheit, Hygiene und Sicherheit beeinträchtigen.</w:t>
      </w:r>
    </w:p>
    <w:p w14:paraId="03A9A962"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 48.</w:t>
      </w:r>
    </w:p>
    <w:p w14:paraId="1ED3CC20"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In den Artikeln 11 und 12 des oben genannten Beschlusses vom 26. Oktober 2010 werden die Worte „1. September 2021“ durch „31. Dezember 2021“ ersetzt.</w:t>
      </w:r>
    </w:p>
    <w:p w14:paraId="3E4AB1F4"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lastRenderedPageBreak/>
        <w:t>Artikel 49.</w:t>
      </w:r>
    </w:p>
    <w:p w14:paraId="5299BEAC"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I. – Art. 10 des Beschlusses vom 26. Oktober 2010 und Art. 10 des Beschlusses vom 28. Dezember 2012 erhalten folgende Fassung:</w:t>
      </w:r>
    </w:p>
    <w:p w14:paraId="6F34AEF0"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‘Art. 10. — Spätestens am 1. Januar 2013 muss die Software zur Durchführung der Berechnungen von Cep, Bbio und Tic vom für das Bauwesen zuständigen Minister und vom für Energie zuständigen Minister nach dem in Anhang X festgelegten Verfahren bewertet worden sein. Am Ende dieser Bewertung wird ein Bewertungsbericht erstellt. Diese Bewertung sollte alle zwei Jahre zum Jahrestag der Vorlage des Bewertungsberichts oder mindestens einmal zum 1. Januar 2018 überprüft werden. “</w:t>
      </w:r>
    </w:p>
    <w:p w14:paraId="532820F3"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II. — Zu Beginn der 5 der Anlage X des oben genannten Beschlusses vom 26. Oktober 2010 und zu Beginn des Anhangs VI des genannten Beschlusses vom 28. Dezember 2012 wird folgender Satz angefügt: „Der folgende Absatz gilt nicht für Software, die einer Überprüfung der Bewertung nach dem 1. Januar 2018 unterzogen wurde.“</w:t>
      </w:r>
    </w:p>
    <w:p w14:paraId="4584FC8B"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 50.</w:t>
      </w:r>
    </w:p>
    <w:p w14:paraId="19D93A6A"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xml:space="preserve">Am Ende von Artikel 49 des oben genannten Beschlusses vom 26. Oktober 2010 und am Ende des oben genannten Artikels 39 des Beschlusses vom 28. Dezember 2012 wird folgender Absatz angefügt: </w:t>
      </w:r>
      <w:r>
        <w:rPr>
          <w:rFonts w:ascii="Times New Roman" w:hAnsi="Times New Roman"/>
          <w:sz w:val="24"/>
        </w:rPr>
        <w:br/>
        <w:t>„Die Genehmigung eines Bauvorhabens ist nicht zwingend vorgeschrieben, wenn eine Bescheinigung über die Einhaltung der Ziele im Sinne von Art. L. 112-9 des Bau- und Wohnungsgesetzbuchs, die sich auf einen anderen Gegenstand als die Gesamtenergieeffizienz bezieht, die Eingabedaten für die betreffenden Lösungen gleicher Wirkung vorsieht, die die Berechnungsmethode Th-B-C-E 2012 ermöglichen.“</w:t>
      </w:r>
    </w:p>
    <w:p w14:paraId="3DA2A6C9"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 51</w:t>
      </w:r>
    </w:p>
    <w:p w14:paraId="23E5424A"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I. – Die Bestimmungen der Artikel 48 bis 50 treten am Tag nach der Veröffentlichung dieses Beschlusses in Kraft.</w:t>
      </w:r>
      <w:r>
        <w:rPr>
          <w:rFonts w:ascii="Times New Roman" w:hAnsi="Times New Roman"/>
          <w:sz w:val="24"/>
        </w:rPr>
        <w:br/>
        <w:t>II. — Die Bestimmungen der anderen Artikel treten am 1. Januar 2022 in Kraft.</w:t>
      </w:r>
    </w:p>
    <w:p w14:paraId="2D2CDF7C"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 52.</w:t>
      </w:r>
    </w:p>
    <w:p w14:paraId="2D866047"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Der vorliegende Erlass wird im Amtsblatt der Französischen Republik veröffentlicht.</w:t>
      </w:r>
    </w:p>
    <w:p w14:paraId="17286188" w14:textId="77777777" w:rsidR="001E2566" w:rsidRPr="001E2566" w:rsidRDefault="001E2566" w:rsidP="001E256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Anhang</w:t>
      </w:r>
    </w:p>
    <w:p w14:paraId="03325ACD"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Artikel</w:t>
      </w:r>
    </w:p>
    <w:p w14:paraId="3DD22D62"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lastRenderedPageBreak/>
        <w:br/>
        <w:t>ANHÄNGE</w:t>
      </w:r>
    </w:p>
    <w:p w14:paraId="4323EA4F" w14:textId="77777777" w:rsidR="001E2566" w:rsidRPr="001E2566" w:rsidRDefault="001E2566" w:rsidP="001E2566">
      <w:pPr>
        <w:spacing w:before="100" w:beforeAutospacing="1" w:after="100" w:afterAutospacing="1" w:line="240" w:lineRule="auto"/>
        <w:rPr>
          <w:rFonts w:ascii="Times New Roman" w:eastAsia="Times New Roman" w:hAnsi="Times New Roman" w:cs="Times New Roman"/>
          <w:sz w:val="24"/>
          <w:szCs w:val="24"/>
          <w:lang w:eastAsia="fr-FR"/>
        </w:rPr>
      </w:pPr>
    </w:p>
    <w:p w14:paraId="53E0C425"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Sie können den gesamten Text mit seinen Bildern in dem Auszug des authentifizierten elektronischen Amtsblatts einsehen, der am unteren Rand der Seite zugänglich ist</w:t>
      </w:r>
    </w:p>
    <w:p w14:paraId="70D1AB69" w14:textId="77777777" w:rsidR="001E2566" w:rsidRPr="001E2566" w:rsidRDefault="001E2566" w:rsidP="001E2566">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Geschehen am 4. August 2021.</w:t>
      </w:r>
    </w:p>
    <w:p w14:paraId="36A9D188" w14:textId="5938F8CB" w:rsidR="001E2566" w:rsidRPr="001E2566" w:rsidRDefault="001E2566" w:rsidP="001E2566">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Der dem Minister für den ökologischen Wandel beigeordnete Minister für Wohnungswesen, zuständig für Wohnungswesen                            </w:t>
      </w:r>
      <w:r w:rsidR="00467D31">
        <w:rPr>
          <w:rFonts w:ascii="Times New Roman" w:hAnsi="Times New Roman"/>
          <w:sz w:val="24"/>
        </w:rPr>
        <w:br/>
      </w:r>
      <w:r>
        <w:rPr>
          <w:rFonts w:ascii="Times New Roman" w:hAnsi="Times New Roman"/>
          <w:sz w:val="24"/>
        </w:rPr>
        <w:t>Für den Minister und durch Delegation:</w:t>
      </w:r>
      <w:r>
        <w:rPr>
          <w:rFonts w:ascii="Times New Roman" w:hAnsi="Times New Roman"/>
          <w:sz w:val="24"/>
        </w:rPr>
        <w:br/>
        <w:t xml:space="preserve">Der Direktor für Wohnungswesen, Stadtplanung und Landschaften, </w:t>
      </w:r>
      <w:r w:rsidR="00467D31">
        <w:rPr>
          <w:rFonts w:ascii="Times New Roman" w:hAnsi="Times New Roman"/>
          <w:sz w:val="24"/>
        </w:rPr>
        <w:br/>
      </w:r>
      <w:r>
        <w:rPr>
          <w:rFonts w:ascii="Times New Roman" w:hAnsi="Times New Roman"/>
          <w:sz w:val="24"/>
        </w:rPr>
        <w:t>F. Adam</w:t>
      </w:r>
    </w:p>
    <w:p w14:paraId="1E814B14" w14:textId="27E9EBE2" w:rsidR="007570FC" w:rsidRDefault="001E2566" w:rsidP="001B481E">
      <w:pPr>
        <w:spacing w:before="100" w:beforeAutospacing="1" w:after="100" w:afterAutospacing="1" w:line="240" w:lineRule="auto"/>
      </w:pPr>
      <w:r>
        <w:rPr>
          <w:rFonts w:ascii="Times New Roman" w:hAnsi="Times New Roman"/>
          <w:sz w:val="24"/>
        </w:rPr>
        <w:br/>
        <w:t xml:space="preserve">Minister für ökologischen Wandel,                                                       </w:t>
      </w:r>
      <w:r w:rsidR="00467D31">
        <w:rPr>
          <w:rFonts w:ascii="Times New Roman" w:hAnsi="Times New Roman"/>
          <w:sz w:val="24"/>
        </w:rPr>
        <w:br/>
      </w:r>
      <w:r>
        <w:rPr>
          <w:rFonts w:ascii="Times New Roman" w:hAnsi="Times New Roman"/>
          <w:sz w:val="24"/>
        </w:rPr>
        <w:t>Für den Minister und durch Delegation:</w:t>
      </w:r>
      <w:r>
        <w:rPr>
          <w:rFonts w:ascii="Times New Roman" w:hAnsi="Times New Roman"/>
          <w:sz w:val="24"/>
        </w:rPr>
        <w:br/>
        <w:t xml:space="preserve">Der Direktor für Wohnungswesen, Stadtplanung und Landschaften, </w:t>
      </w:r>
      <w:r w:rsidR="00467D31">
        <w:rPr>
          <w:rFonts w:ascii="Times New Roman" w:hAnsi="Times New Roman"/>
          <w:sz w:val="24"/>
        </w:rPr>
        <w:br/>
      </w:r>
      <w:r>
        <w:rPr>
          <w:rFonts w:ascii="Times New Roman" w:hAnsi="Times New Roman"/>
          <w:sz w:val="24"/>
        </w:rPr>
        <w:t xml:space="preserve">F. Adam </w:t>
      </w:r>
      <w:r w:rsidR="00467D31">
        <w:rPr>
          <w:rFonts w:ascii="Times New Roman" w:hAnsi="Times New Roman"/>
          <w:sz w:val="24"/>
        </w:rPr>
        <w:br/>
      </w:r>
      <w:r>
        <w:rPr>
          <w:rFonts w:ascii="Times New Roman" w:hAnsi="Times New Roman"/>
          <w:sz w:val="24"/>
        </w:rPr>
        <w:t xml:space="preserve">Der Generaldirektor für Energie und Klima, </w:t>
      </w:r>
      <w:r w:rsidR="00467D31">
        <w:rPr>
          <w:rFonts w:ascii="Times New Roman" w:hAnsi="Times New Roman"/>
          <w:sz w:val="24"/>
        </w:rPr>
        <w:br/>
      </w:r>
      <w:r>
        <w:rPr>
          <w:rFonts w:ascii="Times New Roman" w:hAnsi="Times New Roman"/>
          <w:sz w:val="24"/>
        </w:rPr>
        <w:t>L. Michel</w:t>
      </w:r>
    </w:p>
    <w:sectPr w:rsidR="007570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F3C81"/>
    <w:multiLevelType w:val="multilevel"/>
    <w:tmpl w:val="B5BA3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566"/>
    <w:rsid w:val="001B481E"/>
    <w:rsid w:val="001E2566"/>
    <w:rsid w:val="00467D31"/>
    <w:rsid w:val="00506C92"/>
    <w:rsid w:val="007570FC"/>
    <w:rsid w:val="00CF384E"/>
    <w:rsid w:val="00F229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2FC06"/>
  <w15:chartTrackingRefBased/>
  <w15:docId w15:val="{FAB69077-0BEA-44D7-AE59-CF747B963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584505">
      <w:bodyDiv w:val="1"/>
      <w:marLeft w:val="0"/>
      <w:marRight w:val="0"/>
      <w:marTop w:val="0"/>
      <w:marBottom w:val="0"/>
      <w:divBdr>
        <w:top w:val="none" w:sz="0" w:space="0" w:color="auto"/>
        <w:left w:val="none" w:sz="0" w:space="0" w:color="auto"/>
        <w:bottom w:val="none" w:sz="0" w:space="0" w:color="auto"/>
        <w:right w:val="none" w:sz="0" w:space="0" w:color="auto"/>
      </w:divBdr>
      <w:divsChild>
        <w:div w:id="577636511">
          <w:marLeft w:val="0"/>
          <w:marRight w:val="0"/>
          <w:marTop w:val="0"/>
          <w:marBottom w:val="0"/>
          <w:divBdr>
            <w:top w:val="none" w:sz="0" w:space="0" w:color="auto"/>
            <w:left w:val="none" w:sz="0" w:space="0" w:color="auto"/>
            <w:bottom w:val="none" w:sz="0" w:space="0" w:color="auto"/>
            <w:right w:val="none" w:sz="0" w:space="0" w:color="auto"/>
          </w:divBdr>
          <w:divsChild>
            <w:div w:id="1546795609">
              <w:marLeft w:val="0"/>
              <w:marRight w:val="0"/>
              <w:marTop w:val="0"/>
              <w:marBottom w:val="0"/>
              <w:divBdr>
                <w:top w:val="none" w:sz="0" w:space="0" w:color="auto"/>
                <w:left w:val="none" w:sz="0" w:space="0" w:color="auto"/>
                <w:bottom w:val="none" w:sz="0" w:space="0" w:color="auto"/>
                <w:right w:val="none" w:sz="0" w:space="0" w:color="auto"/>
              </w:divBdr>
            </w:div>
            <w:div w:id="1435978361">
              <w:marLeft w:val="0"/>
              <w:marRight w:val="0"/>
              <w:marTop w:val="0"/>
              <w:marBottom w:val="0"/>
              <w:divBdr>
                <w:top w:val="none" w:sz="0" w:space="0" w:color="auto"/>
                <w:left w:val="none" w:sz="0" w:space="0" w:color="auto"/>
                <w:bottom w:val="none" w:sz="0" w:space="0" w:color="auto"/>
                <w:right w:val="none" w:sz="0" w:space="0" w:color="auto"/>
              </w:divBdr>
            </w:div>
            <w:div w:id="1425611674">
              <w:marLeft w:val="0"/>
              <w:marRight w:val="0"/>
              <w:marTop w:val="0"/>
              <w:marBottom w:val="0"/>
              <w:divBdr>
                <w:top w:val="none" w:sz="0" w:space="0" w:color="auto"/>
                <w:left w:val="none" w:sz="0" w:space="0" w:color="auto"/>
                <w:bottom w:val="none" w:sz="0" w:space="0" w:color="auto"/>
                <w:right w:val="none" w:sz="0" w:space="0" w:color="auto"/>
              </w:divBdr>
            </w:div>
            <w:div w:id="1233852019">
              <w:marLeft w:val="0"/>
              <w:marRight w:val="0"/>
              <w:marTop w:val="0"/>
              <w:marBottom w:val="0"/>
              <w:divBdr>
                <w:top w:val="none" w:sz="0" w:space="0" w:color="auto"/>
                <w:left w:val="none" w:sz="0" w:space="0" w:color="auto"/>
                <w:bottom w:val="none" w:sz="0" w:space="0" w:color="auto"/>
                <w:right w:val="none" w:sz="0" w:space="0" w:color="auto"/>
              </w:divBdr>
            </w:div>
            <w:div w:id="79902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24</Pages>
  <Words>7242</Words>
  <Characters>41281</Characters>
  <Application>Microsoft Office Word</Application>
  <DocSecurity>0</DocSecurity>
  <Lines>344</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48427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Dimitris Dimitriadis</cp:lastModifiedBy>
  <cp:revision>5</cp:revision>
  <dcterms:created xsi:type="dcterms:W3CDTF">2021-08-19T14:32:00Z</dcterms:created>
  <dcterms:modified xsi:type="dcterms:W3CDTF">2022-01-20T19:07:00Z</dcterms:modified>
</cp:coreProperties>
</file>