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5C06C" w14:textId="7944446A" w:rsidR="00E16AF7" w:rsidRPr="00D1087A" w:rsidRDefault="00E16AF7" w:rsidP="00E16AF7">
      <w:pPr>
        <w:jc w:val="center"/>
        <w:rPr>
          <w:rFonts w:ascii="Courier New" w:hAnsi="Courier New"/>
          <w:sz w:val="20"/>
        </w:rPr>
      </w:pPr>
      <w:r w:rsidRPr="00D1087A">
        <w:rPr>
          <w:rFonts w:ascii="Courier New" w:hAnsi="Courier New"/>
          <w:sz w:val="20"/>
        </w:rPr>
        <w:t>1. ------IND- 2021 0018 F-- FI- ------ 20210121 --- --- PROJET</w:t>
      </w:r>
    </w:p>
    <w:p w14:paraId="488568CD" w14:textId="77777777" w:rsidR="00FF5321" w:rsidRPr="00D1087A" w:rsidRDefault="00FF5321">
      <w:pPr>
        <w:jc w:val="center"/>
        <w:rPr>
          <w:b/>
          <w:lang w:eastAsia="en-US"/>
        </w:rPr>
      </w:pPr>
    </w:p>
    <w:tbl>
      <w:tblPr>
        <w:tblW w:w="3982" w:type="dxa"/>
        <w:tblInd w:w="-10" w:type="dxa"/>
        <w:tblCellMar>
          <w:left w:w="10" w:type="dxa"/>
          <w:right w:w="10" w:type="dxa"/>
        </w:tblCellMar>
        <w:tblLook w:val="04A0" w:firstRow="1" w:lastRow="0" w:firstColumn="1" w:lastColumn="0" w:noHBand="0" w:noVBand="1"/>
      </w:tblPr>
      <w:tblGrid>
        <w:gridCol w:w="1327"/>
        <w:gridCol w:w="1327"/>
        <w:gridCol w:w="1328"/>
      </w:tblGrid>
      <w:tr w:rsidR="00ED40B5" w:rsidRPr="00D1087A" w14:paraId="267BF435" w14:textId="77777777" w:rsidTr="00ED40B5">
        <w:trPr>
          <w:cantSplit/>
        </w:trPr>
        <w:tc>
          <w:tcPr>
            <w:tcW w:w="3982" w:type="dxa"/>
            <w:gridSpan w:val="3"/>
            <w:shd w:val="clear" w:color="auto" w:fill="auto"/>
          </w:tcPr>
          <w:p w14:paraId="794D5327" w14:textId="614E656C" w:rsidR="00ED40B5" w:rsidRPr="00D1087A" w:rsidRDefault="00ED40B5" w:rsidP="00ED40B5">
            <w:pPr>
              <w:jc w:val="center"/>
            </w:pPr>
            <w:r w:rsidRPr="00D1087A">
              <w:rPr>
                <w:b/>
              </w:rPr>
              <w:t>RANSKAN TASAVALTA</w:t>
            </w:r>
          </w:p>
        </w:tc>
      </w:tr>
      <w:tr w:rsidR="00ED40B5" w:rsidRPr="00D1087A" w14:paraId="568A962C" w14:textId="77777777" w:rsidTr="00ED40B5">
        <w:trPr>
          <w:cantSplit/>
          <w:trHeight w:hRule="exact" w:val="113"/>
        </w:trPr>
        <w:tc>
          <w:tcPr>
            <w:tcW w:w="1327" w:type="dxa"/>
            <w:shd w:val="clear" w:color="auto" w:fill="auto"/>
          </w:tcPr>
          <w:p w14:paraId="4072B545" w14:textId="77777777" w:rsidR="00ED40B5" w:rsidRPr="00D1087A" w:rsidRDefault="00ED40B5">
            <w:pPr>
              <w:suppressAutoHyphens w:val="0"/>
              <w:rPr>
                <w:rFonts w:ascii="Calibri, 'Times New Roman'" w:eastAsia="Calibri, 'Times New Roman'" w:hAnsi="Calibri, 'Times New Roman'" w:cs="Calibri, 'Times New Roman'"/>
                <w:b/>
                <w:bCs/>
                <w:sz w:val="20"/>
                <w:szCs w:val="20"/>
                <w:lang w:eastAsia="fr-FR"/>
              </w:rPr>
            </w:pPr>
          </w:p>
        </w:tc>
        <w:tc>
          <w:tcPr>
            <w:tcW w:w="1327" w:type="dxa"/>
            <w:tcBorders>
              <w:bottom w:val="single" w:sz="4" w:space="0" w:color="auto"/>
            </w:tcBorders>
            <w:shd w:val="clear" w:color="auto" w:fill="auto"/>
          </w:tcPr>
          <w:p w14:paraId="0BA0E313" w14:textId="77777777" w:rsidR="00ED40B5" w:rsidRPr="00D1087A" w:rsidRDefault="00ED40B5">
            <w:pPr>
              <w:suppressAutoHyphens w:val="0"/>
              <w:rPr>
                <w:rFonts w:ascii="Calibri, 'Times New Roman'" w:eastAsia="Calibri, 'Times New Roman'" w:hAnsi="Calibri, 'Times New Roman'" w:cs="Calibri, 'Times New Roman'"/>
                <w:b/>
                <w:bCs/>
                <w:sz w:val="20"/>
                <w:szCs w:val="20"/>
                <w:lang w:eastAsia="fr-FR"/>
              </w:rPr>
            </w:pPr>
          </w:p>
        </w:tc>
        <w:tc>
          <w:tcPr>
            <w:tcW w:w="1328" w:type="dxa"/>
            <w:shd w:val="clear" w:color="auto" w:fill="auto"/>
          </w:tcPr>
          <w:p w14:paraId="4CA44F7F" w14:textId="05023332" w:rsidR="00ED40B5" w:rsidRPr="00D1087A" w:rsidRDefault="00ED40B5">
            <w:pPr>
              <w:suppressAutoHyphens w:val="0"/>
              <w:rPr>
                <w:rFonts w:ascii="Calibri, 'Times New Roman'" w:eastAsia="Calibri, 'Times New Roman'" w:hAnsi="Calibri, 'Times New Roman'" w:cs="Calibri, 'Times New Roman'"/>
                <w:b/>
                <w:bCs/>
                <w:sz w:val="20"/>
                <w:szCs w:val="20"/>
                <w:lang w:eastAsia="fr-FR"/>
              </w:rPr>
            </w:pPr>
          </w:p>
        </w:tc>
      </w:tr>
      <w:tr w:rsidR="00ED40B5" w:rsidRPr="00D1087A" w14:paraId="7FB5FAB3" w14:textId="77777777" w:rsidTr="00ED40B5">
        <w:trPr>
          <w:cantSplit/>
        </w:trPr>
        <w:tc>
          <w:tcPr>
            <w:tcW w:w="3982" w:type="dxa"/>
            <w:gridSpan w:val="3"/>
            <w:shd w:val="clear" w:color="auto" w:fill="auto"/>
          </w:tcPr>
          <w:p w14:paraId="021877BB" w14:textId="460E75B2" w:rsidR="00ED40B5" w:rsidRPr="00D1087A" w:rsidRDefault="00ED40B5" w:rsidP="00ED40B5">
            <w:pPr>
              <w:suppressAutoHyphens w:val="0"/>
              <w:spacing w:before="240"/>
              <w:jc w:val="center"/>
            </w:pPr>
            <w:r w:rsidRPr="00D1087A">
              <w:t xml:space="preserve">Ekologisen siirtymän ministeriö </w:t>
            </w:r>
          </w:p>
        </w:tc>
      </w:tr>
      <w:tr w:rsidR="00ED40B5" w:rsidRPr="00D1087A" w14:paraId="72B7B2D9" w14:textId="77777777" w:rsidTr="00ED40B5">
        <w:trPr>
          <w:cantSplit/>
          <w:trHeight w:hRule="exact" w:val="227"/>
        </w:trPr>
        <w:tc>
          <w:tcPr>
            <w:tcW w:w="1327" w:type="dxa"/>
            <w:shd w:val="clear" w:color="auto" w:fill="auto"/>
          </w:tcPr>
          <w:p w14:paraId="10AEB7F1" w14:textId="77777777" w:rsidR="00ED40B5" w:rsidRPr="00D1087A" w:rsidRDefault="00ED40B5">
            <w:pPr>
              <w:suppressAutoHyphens w:val="0"/>
              <w:rPr>
                <w:rFonts w:ascii="Calibri, 'Times New Roman'" w:eastAsia="Calibri, 'Times New Roman'" w:hAnsi="Calibri, 'Times New Roman'" w:cs="Calibri, 'Times New Roman'"/>
                <w:sz w:val="20"/>
                <w:szCs w:val="20"/>
                <w:lang w:eastAsia="fr-FR"/>
              </w:rPr>
            </w:pPr>
          </w:p>
        </w:tc>
        <w:tc>
          <w:tcPr>
            <w:tcW w:w="1327" w:type="dxa"/>
            <w:tcBorders>
              <w:bottom w:val="single" w:sz="4" w:space="0" w:color="auto"/>
            </w:tcBorders>
            <w:shd w:val="clear" w:color="auto" w:fill="auto"/>
          </w:tcPr>
          <w:p w14:paraId="19D3400A" w14:textId="77777777" w:rsidR="00ED40B5" w:rsidRPr="00D1087A" w:rsidRDefault="00ED40B5">
            <w:pPr>
              <w:suppressAutoHyphens w:val="0"/>
              <w:rPr>
                <w:rFonts w:ascii="Calibri, 'Times New Roman'" w:eastAsia="Calibri, 'Times New Roman'" w:hAnsi="Calibri, 'Times New Roman'" w:cs="Calibri, 'Times New Roman'"/>
                <w:sz w:val="20"/>
                <w:szCs w:val="20"/>
                <w:lang w:eastAsia="fr-FR"/>
              </w:rPr>
            </w:pPr>
          </w:p>
        </w:tc>
        <w:tc>
          <w:tcPr>
            <w:tcW w:w="1328" w:type="dxa"/>
            <w:shd w:val="clear" w:color="auto" w:fill="auto"/>
          </w:tcPr>
          <w:p w14:paraId="0794CE36" w14:textId="7B193261" w:rsidR="00ED40B5" w:rsidRPr="00D1087A" w:rsidRDefault="00ED40B5">
            <w:pPr>
              <w:suppressAutoHyphens w:val="0"/>
              <w:rPr>
                <w:rFonts w:ascii="Calibri, 'Times New Roman'" w:eastAsia="Calibri, 'Times New Roman'" w:hAnsi="Calibri, 'Times New Roman'" w:cs="Calibri, 'Times New Roman'"/>
                <w:sz w:val="20"/>
                <w:szCs w:val="20"/>
                <w:lang w:eastAsia="fr-FR"/>
              </w:rPr>
            </w:pPr>
          </w:p>
        </w:tc>
      </w:tr>
    </w:tbl>
    <w:p w14:paraId="2A3D47A3" w14:textId="77777777" w:rsidR="00FF5321" w:rsidRPr="00D1087A" w:rsidRDefault="00FF5321">
      <w:pPr>
        <w:jc w:val="center"/>
        <w:rPr>
          <w:b/>
          <w:lang w:eastAsia="en-US"/>
        </w:rPr>
      </w:pPr>
    </w:p>
    <w:p w14:paraId="0BF1F955" w14:textId="77777777" w:rsidR="00FF5321" w:rsidRPr="00D1087A" w:rsidRDefault="0078133A">
      <w:pPr>
        <w:jc w:val="center"/>
        <w:rPr>
          <w:b/>
        </w:rPr>
      </w:pPr>
      <w:r w:rsidRPr="00D1087A">
        <w:rPr>
          <w:b/>
        </w:rPr>
        <w:t>Luonnos asetukseksi</w:t>
      </w:r>
    </w:p>
    <w:p w14:paraId="5CF6DF6F" w14:textId="77777777" w:rsidR="00FF5321" w:rsidRPr="00D1087A" w:rsidRDefault="00FF5321">
      <w:pPr>
        <w:jc w:val="center"/>
        <w:rPr>
          <w:b/>
        </w:rPr>
      </w:pPr>
    </w:p>
    <w:p w14:paraId="05E68FF3" w14:textId="77777777" w:rsidR="00FF5321" w:rsidRPr="00D1087A" w:rsidRDefault="0078133A">
      <w:pPr>
        <w:jc w:val="center"/>
        <w:rPr>
          <w:b/>
        </w:rPr>
      </w:pPr>
      <w:r w:rsidRPr="00D1087A">
        <w:rPr>
          <w:b/>
        </w:rPr>
        <w:t>kiellosta asentaa asuin- tai ammattikäytössä oleviin rakennuksiin lämmitysjärjestelmiä ja lämpimän käyttöveden tuotantojärjestelmiä, joissa käytetään pääasiallisesti paljon kasvihuonekaasupäästöjä aiheuttavia polttoaineita</w:t>
      </w:r>
    </w:p>
    <w:p w14:paraId="792D22F5" w14:textId="77777777" w:rsidR="00FF5321" w:rsidRPr="00D1087A" w:rsidRDefault="00FF5321">
      <w:pPr>
        <w:rPr>
          <w:b/>
        </w:rPr>
      </w:pPr>
    </w:p>
    <w:p w14:paraId="53A30E5C" w14:textId="77777777" w:rsidR="00FF5321" w:rsidRPr="00D1087A" w:rsidRDefault="0078133A">
      <w:pPr>
        <w:spacing w:after="600"/>
        <w:jc w:val="center"/>
      </w:pPr>
      <w:r w:rsidRPr="00D1087A">
        <w:t>NOR: TRER2021746D</w:t>
      </w:r>
    </w:p>
    <w:p w14:paraId="316AB4EB" w14:textId="77777777" w:rsidR="00FF5321" w:rsidRPr="00D1087A" w:rsidRDefault="0078133A">
      <w:pPr>
        <w:jc w:val="both"/>
        <w:rPr>
          <w:i/>
        </w:rPr>
      </w:pPr>
      <w:r w:rsidRPr="00D1087A">
        <w:rPr>
          <w:i/>
        </w:rPr>
        <w:t xml:space="preserve">Asianosaiset: asuin- tai ammattikäytössä olevien rakennusten omistajat, jotka haluavat asentaa uuden lämmityslaitteiston tai lämpimän käyttöveden tuotantolaitteiston. </w:t>
      </w:r>
    </w:p>
    <w:p w14:paraId="65AB5883" w14:textId="77777777" w:rsidR="00FF5321" w:rsidRPr="00D1087A" w:rsidRDefault="00FF5321">
      <w:pPr>
        <w:jc w:val="both"/>
      </w:pPr>
    </w:p>
    <w:p w14:paraId="796F7BD1" w14:textId="77777777" w:rsidR="00FF5321" w:rsidRPr="00D1087A" w:rsidRDefault="0078133A">
      <w:pPr>
        <w:jc w:val="both"/>
        <w:rPr>
          <w:i/>
        </w:rPr>
      </w:pPr>
      <w:r w:rsidRPr="00D1087A">
        <w:rPr>
          <w:i/>
        </w:rPr>
        <w:t xml:space="preserve">Aihe: kasvihuonekaasupäästöjen ylärajan määrittäminen lämmitysjärjestelmille ja lämpimän käyttöveden tuotantojärjestelmille, jotka voidaan asentaa asuin- tai ammattikäytössä oleviin rakennuksiin. </w:t>
      </w:r>
    </w:p>
    <w:p w14:paraId="44EE0626" w14:textId="77777777" w:rsidR="00FF5321" w:rsidRPr="00D1087A" w:rsidRDefault="00FF5321">
      <w:pPr>
        <w:jc w:val="both"/>
        <w:rPr>
          <w:b/>
          <w:i/>
        </w:rPr>
      </w:pPr>
    </w:p>
    <w:p w14:paraId="7A6EB824" w14:textId="3944557D" w:rsidR="00FF5321" w:rsidRPr="00D1087A" w:rsidRDefault="0078133A">
      <w:pPr>
        <w:jc w:val="both"/>
      </w:pPr>
      <w:r w:rsidRPr="00D1087A">
        <w:rPr>
          <w:i/>
        </w:rPr>
        <w:t>Voimaantulo: säännökset tulevat voimaan 1 päivänä heinäkuuta 2021 uusien rakennusten osalta ja 1 päivänä tammikuuta 2022 olemassa olevien rakennusten osalta.</w:t>
      </w:r>
    </w:p>
    <w:p w14:paraId="049B4334" w14:textId="77777777" w:rsidR="00A64ECF" w:rsidRPr="00D1087A" w:rsidRDefault="00A64ECF">
      <w:pPr>
        <w:jc w:val="both"/>
        <w:rPr>
          <w:i/>
        </w:rPr>
      </w:pPr>
    </w:p>
    <w:p w14:paraId="1EE0064D" w14:textId="791A0A26" w:rsidR="00453C0B" w:rsidRPr="00D1087A" w:rsidRDefault="0078133A" w:rsidP="00453C0B">
      <w:pPr>
        <w:jc w:val="both"/>
        <w:rPr>
          <w:i/>
        </w:rPr>
      </w:pPr>
      <w:r w:rsidRPr="00D1087A">
        <w:rPr>
          <w:i/>
        </w:rPr>
        <w:t xml:space="preserve">Huomautus: Rakennus- ja asuntolain L111-9 ja L111-10 §:n nojalla korkeimman hallinto-oikeuden asetuksella voidaan määrittää uusien ja olemassa olevien rakennusten energia- ja ympäristötehokkuuden tasot, jotka ovat yhdenmukaisia kansallisen energiapolitiikan tavoitteiden kanssa. </w:t>
      </w:r>
    </w:p>
    <w:p w14:paraId="536DDAC3" w14:textId="0C88F7DB" w:rsidR="00FF5321" w:rsidRPr="00D1087A" w:rsidRDefault="00453C0B" w:rsidP="00453C0B">
      <w:pPr>
        <w:jc w:val="both"/>
        <w:rPr>
          <w:i/>
        </w:rPr>
      </w:pPr>
      <w:r w:rsidRPr="00D1087A">
        <w:rPr>
          <w:i/>
        </w:rPr>
        <w:t>Tässä asetuksessa määritetään lämmitysjärjestelmien ja lämpimän käyttöveden tuotantojärjestelmien korvaamiskriteerit, erityisesti kasvihuonekaasupäästöjen osalta, uusissa ja olemassa olevissa asuin- tai ammattikäytössä olevissa rakennuksissa.</w:t>
      </w:r>
    </w:p>
    <w:p w14:paraId="386E3F82" w14:textId="77777777" w:rsidR="00FF5321" w:rsidRPr="00D1087A" w:rsidRDefault="00FF5321">
      <w:pPr>
        <w:jc w:val="both"/>
        <w:rPr>
          <w:i/>
        </w:rPr>
      </w:pPr>
    </w:p>
    <w:p w14:paraId="788741CE" w14:textId="77777777" w:rsidR="00FF5321" w:rsidRPr="00D1087A" w:rsidRDefault="0078133A">
      <w:pPr>
        <w:jc w:val="both"/>
      </w:pPr>
      <w:r w:rsidRPr="00D1087A">
        <w:rPr>
          <w:i/>
        </w:rPr>
        <w:t>Viitteet: tällä asetuksella laadittuun tekstiin voi tutustua Légifrance-sivustolla (</w:t>
      </w:r>
      <w:hyperlink r:id="rId8">
        <w:r w:rsidRPr="00D1087A">
          <w:rPr>
            <w:rStyle w:val="LienInternet"/>
            <w:i/>
          </w:rPr>
          <w:t>http://www.legifrance.gouv.fr</w:t>
        </w:r>
      </w:hyperlink>
      <w:r w:rsidRPr="00D1087A">
        <w:rPr>
          <w:i/>
        </w:rPr>
        <w:t>).</w:t>
      </w:r>
    </w:p>
    <w:p w14:paraId="77F46508" w14:textId="77777777" w:rsidR="00FF5321" w:rsidRPr="00D1087A" w:rsidRDefault="00FF5321">
      <w:pPr>
        <w:pStyle w:val="SNAutorit"/>
        <w:spacing w:before="0" w:after="0"/>
        <w:ind w:firstLine="709"/>
        <w:jc w:val="both"/>
      </w:pPr>
    </w:p>
    <w:p w14:paraId="75D4E501" w14:textId="77777777" w:rsidR="00FF5321" w:rsidRPr="00D1087A" w:rsidRDefault="0078133A">
      <w:pPr>
        <w:pStyle w:val="SNAutorit"/>
        <w:spacing w:before="0" w:after="0"/>
        <w:ind w:firstLine="709"/>
        <w:jc w:val="both"/>
      </w:pPr>
      <w:r w:rsidRPr="00D1087A">
        <w:t>Pääministeri, joka</w:t>
      </w:r>
    </w:p>
    <w:p w14:paraId="0362565F" w14:textId="77777777" w:rsidR="00FF5321" w:rsidRPr="00D1087A" w:rsidRDefault="00FF5321">
      <w:pPr>
        <w:pStyle w:val="SNAutorit"/>
        <w:spacing w:before="0" w:after="0"/>
        <w:ind w:firstLine="709"/>
        <w:jc w:val="both"/>
      </w:pPr>
    </w:p>
    <w:p w14:paraId="6E98297D" w14:textId="0D9078BA" w:rsidR="00FF5321" w:rsidRPr="00D1087A" w:rsidRDefault="0078133A">
      <w:pPr>
        <w:pStyle w:val="SNRapport"/>
        <w:spacing w:before="0" w:after="0"/>
        <w:ind w:firstLine="709"/>
        <w:jc w:val="both"/>
      </w:pPr>
      <w:r w:rsidRPr="00D1087A">
        <w:t>ekologisen siirtymän ministerin selonteon perusteella</w:t>
      </w:r>
    </w:p>
    <w:p w14:paraId="5E7C9C57" w14:textId="77777777" w:rsidR="00FF5321" w:rsidRPr="00D1087A" w:rsidRDefault="00FF5321">
      <w:pPr>
        <w:pStyle w:val="NormaaliWWW"/>
        <w:spacing w:before="0" w:after="0"/>
      </w:pPr>
    </w:p>
    <w:p w14:paraId="6D86A03A" w14:textId="77777777" w:rsidR="00A64ECF" w:rsidRPr="00D1087A" w:rsidRDefault="00A64ECF">
      <w:pPr>
        <w:pStyle w:val="NormaaliWWW"/>
        <w:spacing w:before="0" w:after="0"/>
        <w:ind w:firstLine="709"/>
      </w:pPr>
      <w:r w:rsidRPr="00D1087A">
        <w:t>ottaa huomioon teknisiä määräyksiä ja tietoyhteiskunnan palveluja koskevia määräyksiä koskevien tietojen toimittamisessa noudatettavasta menettelystä 9 päivänä syyskuuta 2015 annetun Euroopan parlamentin ja neuvoston direktiivin (EU) 2015/1535 ja erityisesti ilmoituksen nro 2016/677/F,</w:t>
      </w:r>
    </w:p>
    <w:p w14:paraId="60BDBD1E" w14:textId="77777777" w:rsidR="00A64ECF" w:rsidRPr="00D1087A" w:rsidRDefault="00A64ECF">
      <w:pPr>
        <w:pStyle w:val="NormaaliWWW"/>
        <w:spacing w:before="0" w:after="0"/>
        <w:ind w:firstLine="709"/>
      </w:pPr>
    </w:p>
    <w:p w14:paraId="6A0CFF0A" w14:textId="77777777" w:rsidR="00A64ECF" w:rsidRPr="00D1087A" w:rsidRDefault="00A64ECF">
      <w:pPr>
        <w:pStyle w:val="NormaaliWWW"/>
        <w:spacing w:before="0" w:after="0"/>
        <w:ind w:firstLine="709"/>
      </w:pPr>
      <w:r w:rsidRPr="00D1087A">
        <w:t xml:space="preserve">ottaa huomioon rakennustuotteiden kaupan pitämistä koskevien ehtojen yhdenmukaistamisesta ja neuvoston direktiivin 89/106/ETY kumoamisesta 9 päivänä maaliskuuta 2011 annetun Euroopan parlamentin ja neuvoston asetuksen (EU) N:o 305/2011, </w:t>
      </w:r>
    </w:p>
    <w:p w14:paraId="0FA105FE" w14:textId="77777777" w:rsidR="00A64ECF" w:rsidRPr="00D1087A" w:rsidRDefault="00A64ECF">
      <w:pPr>
        <w:pStyle w:val="NormaaliWWW"/>
        <w:spacing w:before="0" w:after="0"/>
        <w:ind w:firstLine="709"/>
      </w:pPr>
    </w:p>
    <w:p w14:paraId="2F6F8F35" w14:textId="7A7422A7" w:rsidR="00FF5321" w:rsidRPr="00D1087A" w:rsidRDefault="0078133A">
      <w:pPr>
        <w:pStyle w:val="NormaaliWWW"/>
        <w:spacing w:before="0" w:after="0"/>
        <w:ind w:firstLine="709"/>
      </w:pPr>
      <w:r w:rsidRPr="00D1087A">
        <w:lastRenderedPageBreak/>
        <w:t>ottaa huomioon rakennus- ja asuntolain ja erityisesti sen L. 111-9 ja L. 111-10 §:n,</w:t>
      </w:r>
    </w:p>
    <w:p w14:paraId="65D5A4FD" w14:textId="77777777" w:rsidR="00FF5321" w:rsidRPr="00D1087A" w:rsidRDefault="00FF5321">
      <w:pPr>
        <w:pStyle w:val="NormaaliWWW"/>
        <w:spacing w:before="0" w:after="0"/>
        <w:rPr>
          <w:sz w:val="22"/>
          <w:szCs w:val="22"/>
        </w:rPr>
      </w:pPr>
    </w:p>
    <w:p w14:paraId="50277BB7" w14:textId="6A22B7FF" w:rsidR="00FF5321" w:rsidRPr="00D1087A" w:rsidRDefault="0078133A">
      <w:pPr>
        <w:pStyle w:val="NormaaliWWW"/>
        <w:spacing w:before="0" w:after="0"/>
        <w:ind w:firstLine="709"/>
      </w:pPr>
      <w:r w:rsidRPr="00D1087A">
        <w:t>ottaa huomioon rakennusalasta ja energiatehokkuudesta vastaavan ylimmän neuvoston [päivämäärä] antaman lausunnon,</w:t>
      </w:r>
    </w:p>
    <w:p w14:paraId="15C1F459" w14:textId="77777777" w:rsidR="00FF5321" w:rsidRPr="00D1087A" w:rsidRDefault="00FF5321">
      <w:pPr>
        <w:pStyle w:val="NormaaliWWW"/>
        <w:spacing w:before="0" w:after="0"/>
        <w:ind w:firstLine="709"/>
      </w:pPr>
    </w:p>
    <w:p w14:paraId="4CC7BE24" w14:textId="50F9A447" w:rsidR="00FF5321" w:rsidRPr="00D1087A" w:rsidRDefault="0078133A">
      <w:pPr>
        <w:pStyle w:val="NormaaliWWW"/>
        <w:spacing w:before="0" w:after="0"/>
        <w:ind w:firstLine="709"/>
      </w:pPr>
      <w:r w:rsidRPr="00D1087A">
        <w:t>ottaa huomioon energia-alan ylimmän neuvoston [päivämäärä] antaman lausunnon,</w:t>
      </w:r>
    </w:p>
    <w:p w14:paraId="25D653AE" w14:textId="77777777" w:rsidR="00FF5321" w:rsidRPr="00D1087A" w:rsidRDefault="00FF5321">
      <w:pPr>
        <w:pStyle w:val="NormaaliWWW"/>
        <w:spacing w:before="0" w:after="0"/>
      </w:pPr>
    </w:p>
    <w:p w14:paraId="2A550391" w14:textId="14200E30" w:rsidR="00FF5321" w:rsidRPr="00D1087A" w:rsidRDefault="0078133A">
      <w:pPr>
        <w:pStyle w:val="NormaaliWWW"/>
        <w:spacing w:before="0" w:after="0"/>
        <w:ind w:firstLine="709"/>
      </w:pPr>
      <w:r w:rsidRPr="00D1087A">
        <w:t>ottaa huomioon standardien arvioinnista vastaavan kansallisen neuvoston [päivämäärä] antaman lausunnon,</w:t>
      </w:r>
    </w:p>
    <w:p w14:paraId="1A76A4D9" w14:textId="77777777" w:rsidR="00FF5321" w:rsidRPr="00D1087A" w:rsidRDefault="00FF5321">
      <w:pPr>
        <w:pStyle w:val="NormaaliWWW"/>
        <w:spacing w:before="0" w:after="0"/>
        <w:ind w:firstLine="709"/>
      </w:pPr>
    </w:p>
    <w:p w14:paraId="549EE422" w14:textId="513DF819" w:rsidR="00FF5321" w:rsidRPr="00D1087A" w:rsidRDefault="0078133A">
      <w:pPr>
        <w:pStyle w:val="NormaaliWWW"/>
        <w:spacing w:before="0" w:after="0"/>
        <w:ind w:firstLine="709"/>
      </w:pPr>
      <w:r w:rsidRPr="00D1087A">
        <w:t>ottaa huomioon [päivämäärä] ja [päivämäärä] välisenä aikana ympäristölain L. 123-19-1 §:n mukaisesti järjestetyssä julkisessa kuulemisessa esitetyt havainnot ja</w:t>
      </w:r>
    </w:p>
    <w:p w14:paraId="6EA2DB3E" w14:textId="77777777" w:rsidR="00FF5321" w:rsidRPr="00D1087A" w:rsidRDefault="00FF5321">
      <w:pPr>
        <w:pStyle w:val="NormaaliWWW"/>
        <w:spacing w:before="0" w:after="0"/>
        <w:ind w:firstLine="709"/>
      </w:pPr>
    </w:p>
    <w:p w14:paraId="78C1D321" w14:textId="77777777" w:rsidR="00FF5321" w:rsidRPr="00D1087A" w:rsidRDefault="0078133A">
      <w:pPr>
        <w:pStyle w:val="NormaaliWWW"/>
        <w:spacing w:before="0" w:after="0"/>
        <w:ind w:firstLine="709"/>
      </w:pPr>
      <w:r w:rsidRPr="00D1087A">
        <w:t>kuultuaan korkeinta hallinto-oikeutta (Conseil d’État) (julkisten töiden osastoa)</w:t>
      </w:r>
    </w:p>
    <w:p w14:paraId="3ECD91B3" w14:textId="77777777" w:rsidR="00FF5321" w:rsidRPr="00D1087A" w:rsidRDefault="00FF5321">
      <w:pPr>
        <w:pStyle w:val="SNVisa"/>
        <w:spacing w:before="0" w:after="0"/>
        <w:ind w:firstLine="709"/>
        <w:jc w:val="both"/>
      </w:pPr>
    </w:p>
    <w:p w14:paraId="6F5B4B7A" w14:textId="77777777" w:rsidR="00FF5321" w:rsidRPr="00D1087A" w:rsidRDefault="00FF5321">
      <w:pPr>
        <w:pStyle w:val="SNActe"/>
        <w:spacing w:before="0" w:after="0"/>
        <w:ind w:firstLine="709"/>
      </w:pPr>
    </w:p>
    <w:p w14:paraId="1C6B8427" w14:textId="77777777" w:rsidR="00FF5321" w:rsidRPr="00D1087A" w:rsidRDefault="00FF5321">
      <w:pPr>
        <w:pStyle w:val="SNActe"/>
        <w:spacing w:before="0" w:after="0"/>
        <w:ind w:firstLine="709"/>
      </w:pPr>
    </w:p>
    <w:p w14:paraId="63B99752" w14:textId="77777777" w:rsidR="00FF5321" w:rsidRPr="00D1087A" w:rsidRDefault="00FF5321">
      <w:pPr>
        <w:pStyle w:val="SNActe"/>
        <w:spacing w:before="0" w:after="0"/>
        <w:ind w:firstLine="709"/>
      </w:pPr>
    </w:p>
    <w:p w14:paraId="61EF05BF" w14:textId="77777777" w:rsidR="00FF5321" w:rsidRPr="00D1087A" w:rsidRDefault="0078133A" w:rsidP="000E5B68">
      <w:pPr>
        <w:pStyle w:val="SNActe"/>
        <w:keepNext/>
        <w:spacing w:before="0" w:after="0"/>
        <w:ind w:firstLine="709"/>
      </w:pPr>
      <w:r w:rsidRPr="00D1087A">
        <w:t>säätää seuraavaa:</w:t>
      </w:r>
    </w:p>
    <w:p w14:paraId="29BC4BE0" w14:textId="77777777" w:rsidR="00FF5321" w:rsidRPr="00D1087A" w:rsidRDefault="00FF5321" w:rsidP="000E5B68">
      <w:pPr>
        <w:pStyle w:val="SNActe"/>
        <w:keepNext/>
        <w:spacing w:before="0" w:after="0"/>
        <w:ind w:firstLine="709"/>
      </w:pPr>
    </w:p>
    <w:p w14:paraId="37B7A1E6" w14:textId="77777777" w:rsidR="00FF5321" w:rsidRPr="00D1087A" w:rsidRDefault="0078133A" w:rsidP="000E5B68">
      <w:pPr>
        <w:pStyle w:val="SNArticle"/>
        <w:keepNext/>
        <w:spacing w:before="0" w:after="0"/>
        <w:ind w:firstLine="709"/>
      </w:pPr>
      <w:r w:rsidRPr="00D1087A">
        <w:t>1 §</w:t>
      </w:r>
    </w:p>
    <w:p w14:paraId="1ACAC003" w14:textId="77777777" w:rsidR="00FF5321" w:rsidRPr="00D1087A" w:rsidRDefault="00FF5321" w:rsidP="000E5B68">
      <w:pPr>
        <w:pStyle w:val="Leipteksti"/>
        <w:keepNext/>
        <w:spacing w:after="0"/>
        <w:rPr>
          <w:bCs/>
        </w:rPr>
      </w:pPr>
    </w:p>
    <w:p w14:paraId="6F34E331" w14:textId="7D73E037" w:rsidR="00FF5321" w:rsidRPr="00D1087A" w:rsidRDefault="0078133A" w:rsidP="000E5B68">
      <w:pPr>
        <w:pStyle w:val="Leipteksti"/>
        <w:keepNext/>
        <w:spacing w:after="0"/>
        <w:ind w:firstLine="709"/>
      </w:pPr>
      <w:r w:rsidRPr="00D1087A">
        <w:t>Lisätään rakennus- ja asuntolain I kirjan III osaston alkuun johdantoluku seuraavasti:</w:t>
      </w:r>
    </w:p>
    <w:p w14:paraId="5AFCC02A" w14:textId="77777777" w:rsidR="00FF5321" w:rsidRPr="00D1087A" w:rsidRDefault="0078133A">
      <w:pPr>
        <w:pStyle w:val="western"/>
      </w:pPr>
      <w:r w:rsidRPr="00D1087A">
        <w:t>”Johdantoluku: Lämmitysjärjestelmien ja lämpimän käyttöveden tuotantojärjestelmien ympäristötehokkuus</w:t>
      </w:r>
    </w:p>
    <w:p w14:paraId="2D6504B8" w14:textId="77777777" w:rsidR="00FF5321" w:rsidRPr="00D1087A" w:rsidRDefault="0078133A" w:rsidP="000E5B68">
      <w:pPr>
        <w:pStyle w:val="western"/>
        <w:keepNext/>
      </w:pPr>
      <w:r w:rsidRPr="00D1087A">
        <w:t>R.130-1 §:</w:t>
      </w:r>
    </w:p>
    <w:p w14:paraId="1772CB2E" w14:textId="36BB6966" w:rsidR="00FF5321" w:rsidRPr="00D1087A" w:rsidRDefault="00DF19CD">
      <w:pPr>
        <w:pStyle w:val="western"/>
      </w:pPr>
      <w:r w:rsidRPr="00D1087A">
        <w:t>I. – Lämmitysjärjestelmien tai lämpimän käyttöveden tuotantojärjestelmien, joissa käytetään pääasiallisesti polttoaineita, joiden tehollinen lämpöarvo on suurempi tai yhtä suuri kuin 250 grammaa hiilidioksidiekvivalenttia kilowattituntia kohti, asentaminen rakennuksiin on kielletty, mukaan luettuna olemassa olevien laitteiden korvaaminen.</w:t>
      </w:r>
    </w:p>
    <w:p w14:paraId="6280E9C6" w14:textId="7CE3AEF9" w:rsidR="0060561A" w:rsidRPr="00D1087A" w:rsidRDefault="00DF19CD" w:rsidP="000E5B68">
      <w:pPr>
        <w:pStyle w:val="western"/>
        <w:keepNext/>
      </w:pPr>
      <w:r w:rsidRPr="00D1087A">
        <w:t>II. – Kyseinen säännös ei koske olemassa olevia rakennuksia, joiden osalta osoitetaan, että</w:t>
      </w:r>
    </w:p>
    <w:p w14:paraId="42FC266F" w14:textId="314ED723" w:rsidR="0060561A" w:rsidRPr="00D1087A" w:rsidRDefault="0060561A">
      <w:pPr>
        <w:pStyle w:val="western"/>
      </w:pPr>
      <w:r w:rsidRPr="00D1087A">
        <w:t>1° on selvästi teknisesti mahdotonta korvata olemassa oleva laitteisto lämmitysjärjestelmällä tai lämpimän käyttöveden tuotantojärjestelmällä, joka on I momentissa määritetyn kasvihuonekaasupäästöjen ylärajan mukainen, erityisesti tilaan liittyvistä syistä, siinä tapauksessa, että maankäyttöön tai omistusoikeuteen liittyviä velvoitteita tai säännöksiä ei noudateta;</w:t>
      </w:r>
    </w:p>
    <w:p w14:paraId="29E9705D" w14:textId="1001564D" w:rsidR="00DF19CD" w:rsidRPr="00D1087A" w:rsidRDefault="0060561A">
      <w:pPr>
        <w:pStyle w:val="western"/>
      </w:pPr>
      <w:r w:rsidRPr="00D1087A">
        <w:t xml:space="preserve">2° mahdollisuus lämpö- tai maakaasuverkkoihin liittämiseksi puuttuu, ja jos I momentin säännösten mukaisen uuden laitteiston asentaminen edellyttää vahvistustöiden suorittamista yleisessä sähkönjakeluverkossa. </w:t>
      </w:r>
    </w:p>
    <w:p w14:paraId="69B08D63" w14:textId="5F7836C7" w:rsidR="00166E29" w:rsidRPr="00D1087A" w:rsidRDefault="00DF19CD" w:rsidP="009D5007">
      <w:pPr>
        <w:pStyle w:val="western"/>
        <w:spacing w:before="0"/>
      </w:pPr>
      <w:r w:rsidRPr="00D1087A">
        <w:t>III. – Rakennushankkeen toteuttaja osoittaa, että rakennus kuuluu johonkin II momentin tapaukseen, antamalla ilmoituksen, jonka on laatinut asiantuntija toteuttajan vastuulla.</w:t>
      </w:r>
    </w:p>
    <w:p w14:paraId="6492B3BD" w14:textId="52124137" w:rsidR="00FF5321" w:rsidRPr="00D1087A" w:rsidRDefault="00166E29" w:rsidP="00426DA9">
      <w:pPr>
        <w:pStyle w:val="western"/>
        <w:spacing w:before="0" w:after="0"/>
      </w:pPr>
      <w:r w:rsidRPr="00D1087A">
        <w:t>IV. – Tämän pykälän säännöksiä sovelletaan sellaisten uusien rakennusten rakentamiseen, joiden rakennuslupahakemus on jätetty 1 päivän heinäkuuta 2021 jälkeen, ja olemassa oleviin rakennuksiin, joita koskevat I momentissa mainitut työt on aloitettu 1 päivän tammikuuta 2022 jälkeen.”</w:t>
      </w:r>
    </w:p>
    <w:p w14:paraId="74EC101B" w14:textId="0E40A002" w:rsidR="00FF5321" w:rsidRPr="00D1087A" w:rsidRDefault="00FF5321">
      <w:pPr>
        <w:ind w:firstLine="709"/>
      </w:pPr>
    </w:p>
    <w:p w14:paraId="1F32D1D3" w14:textId="77777777" w:rsidR="00FF5321" w:rsidRPr="00D1087A" w:rsidRDefault="00FF5321">
      <w:pPr>
        <w:ind w:firstLine="709"/>
        <w:rPr>
          <w:bCs/>
        </w:rPr>
      </w:pPr>
    </w:p>
    <w:p w14:paraId="7BA8426C" w14:textId="6047382D" w:rsidR="00FF5321" w:rsidRPr="00D1087A" w:rsidRDefault="0078133A" w:rsidP="000E5B68">
      <w:pPr>
        <w:keepNext/>
        <w:ind w:firstLine="709"/>
        <w:jc w:val="center"/>
        <w:rPr>
          <w:b/>
          <w:bCs/>
        </w:rPr>
      </w:pPr>
      <w:r w:rsidRPr="00D1087A">
        <w:rPr>
          <w:b/>
        </w:rPr>
        <w:lastRenderedPageBreak/>
        <w:t>2 §</w:t>
      </w:r>
    </w:p>
    <w:p w14:paraId="010920F9" w14:textId="77777777" w:rsidR="00FF5321" w:rsidRPr="00D1087A" w:rsidRDefault="00FF5321" w:rsidP="000E5B68">
      <w:pPr>
        <w:keepNext/>
        <w:ind w:firstLine="709"/>
        <w:jc w:val="both"/>
      </w:pPr>
    </w:p>
    <w:p w14:paraId="5642AE1F" w14:textId="20E782C7" w:rsidR="00FF5321" w:rsidRPr="00D1087A" w:rsidRDefault="0078133A">
      <w:pPr>
        <w:ind w:firstLine="709"/>
        <w:jc w:val="both"/>
      </w:pPr>
      <w:r w:rsidRPr="00D1087A">
        <w:t xml:space="preserve">Ekologisen siirtymän ministeri ja asuntoasioista vastaava apulaisministeri ekologisen siirtymän ministeriössä ovat vastuussa tämän Ranskan tasavallan </w:t>
      </w:r>
      <w:r w:rsidRPr="00D1087A">
        <w:rPr>
          <w:i/>
        </w:rPr>
        <w:t>virallisessa lehdessä</w:t>
      </w:r>
      <w:r w:rsidRPr="00D1087A">
        <w:t xml:space="preserve"> julkaistavan asetuksen täytäntöönpanosta.</w:t>
      </w:r>
    </w:p>
    <w:p w14:paraId="571EC7E8" w14:textId="77777777" w:rsidR="00FF5321" w:rsidRPr="00D1087A" w:rsidRDefault="00FF5321">
      <w:pPr>
        <w:ind w:firstLine="709"/>
        <w:jc w:val="both"/>
      </w:pPr>
    </w:p>
    <w:p w14:paraId="52E8031F" w14:textId="77777777" w:rsidR="00FF5321" w:rsidRPr="00D1087A" w:rsidRDefault="00FF5321">
      <w:pPr>
        <w:ind w:firstLine="709"/>
        <w:jc w:val="both"/>
      </w:pPr>
    </w:p>
    <w:p w14:paraId="29CC8F0F" w14:textId="6C90C636" w:rsidR="00FF5321" w:rsidRPr="00D1087A" w:rsidRDefault="0078133A">
      <w:r w:rsidRPr="00D1087A">
        <w:t xml:space="preserve">Annettu [päivämäärä] </w:t>
      </w:r>
    </w:p>
    <w:p w14:paraId="0910EF1F" w14:textId="69B22225" w:rsidR="00544005" w:rsidRPr="00D1087A" w:rsidRDefault="00544005"/>
    <w:p w14:paraId="71D4D3E2" w14:textId="2EFAA8A8" w:rsidR="00544005" w:rsidRPr="00D1087A" w:rsidRDefault="00544005">
      <w:r w:rsidRPr="00D1087A">
        <w:t>Pääministerin puolesta</w:t>
      </w:r>
    </w:p>
    <w:p w14:paraId="27990147" w14:textId="77777777" w:rsidR="00FF5321" w:rsidRPr="00D1087A" w:rsidRDefault="00FF5321"/>
    <w:p w14:paraId="33D2B791" w14:textId="77777777" w:rsidR="00FF5321" w:rsidRPr="00D1087A" w:rsidRDefault="00FF5321">
      <w:pPr>
        <w:rPr>
          <w:lang w:eastAsia="fr-FR"/>
        </w:rPr>
      </w:pPr>
    </w:p>
    <w:p w14:paraId="35D9070D" w14:textId="77777777" w:rsidR="00FF5321" w:rsidRPr="00D1087A" w:rsidRDefault="0078133A">
      <w:pPr>
        <w:suppressAutoHyphens w:val="0"/>
        <w:jc w:val="right"/>
      </w:pPr>
      <w:r w:rsidRPr="00D1087A">
        <w:t>Ekologisen siirtymän ministeri,</w:t>
      </w:r>
    </w:p>
    <w:p w14:paraId="61F03B3D" w14:textId="77777777" w:rsidR="00FF5321" w:rsidRPr="00D1087A" w:rsidRDefault="00FF5321">
      <w:pPr>
        <w:suppressAutoHyphens w:val="0"/>
        <w:rPr>
          <w:lang w:eastAsia="fr-FR"/>
        </w:rPr>
      </w:pPr>
    </w:p>
    <w:p w14:paraId="581D71DE" w14:textId="77777777" w:rsidR="00FF5321" w:rsidRPr="00D1087A" w:rsidRDefault="00FF5321">
      <w:pPr>
        <w:suppressAutoHyphens w:val="0"/>
        <w:rPr>
          <w:lang w:eastAsia="fr-FR"/>
        </w:rPr>
      </w:pPr>
    </w:p>
    <w:p w14:paraId="7CA64243" w14:textId="77777777" w:rsidR="00FF5321" w:rsidRPr="00D1087A" w:rsidRDefault="0078133A">
      <w:pPr>
        <w:suppressAutoHyphens w:val="0"/>
        <w:jc w:val="right"/>
      </w:pPr>
      <w:r w:rsidRPr="00D1087A">
        <w:t>Barbara POMPILI</w:t>
      </w:r>
    </w:p>
    <w:p w14:paraId="114904C5" w14:textId="77777777" w:rsidR="00FF5321" w:rsidRPr="00D1087A" w:rsidRDefault="00FF5321">
      <w:pPr>
        <w:suppressAutoHyphens w:val="0"/>
        <w:jc w:val="right"/>
        <w:rPr>
          <w:lang w:eastAsia="fr-FR"/>
        </w:rPr>
      </w:pPr>
    </w:p>
    <w:p w14:paraId="3948B9EE" w14:textId="3DC220BF" w:rsidR="00FF5321" w:rsidRPr="00D1087A" w:rsidRDefault="0078133A" w:rsidP="00564508">
      <w:pPr>
        <w:suppressAutoHyphens w:val="0"/>
        <w:ind w:right="4032"/>
      </w:pPr>
      <w:r w:rsidRPr="00D1087A">
        <w:t>Asuntoasioista vastaava apulaisministeri ekologisen siirtymän ministeriössä,</w:t>
      </w:r>
    </w:p>
    <w:p w14:paraId="3611BA6D" w14:textId="77777777" w:rsidR="00FF5321" w:rsidRPr="00D1087A" w:rsidRDefault="00FF5321">
      <w:pPr>
        <w:suppressAutoHyphens w:val="0"/>
        <w:rPr>
          <w:lang w:eastAsia="fr-FR"/>
        </w:rPr>
      </w:pPr>
    </w:p>
    <w:p w14:paraId="6129AEB4" w14:textId="2AF7261A" w:rsidR="00FF5321" w:rsidRPr="00D1087A" w:rsidRDefault="0078133A" w:rsidP="0078133A">
      <w:pPr>
        <w:suppressAutoHyphens w:val="0"/>
      </w:pPr>
      <w:r w:rsidRPr="00D1087A">
        <w:t>Emmanuelle WARGON</w:t>
      </w:r>
    </w:p>
    <w:sectPr w:rsidR="00FF5321" w:rsidRPr="00D1087A">
      <w:pgSz w:w="11906" w:h="16838"/>
      <w:pgMar w:top="1417" w:right="1417" w:bottom="1417" w:left="141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03FDC" w14:textId="77777777" w:rsidR="00294AA3" w:rsidRDefault="00294AA3" w:rsidP="004C2249">
      <w:r>
        <w:separator/>
      </w:r>
    </w:p>
  </w:endnote>
  <w:endnote w:type="continuationSeparator" w:id="0">
    <w:p w14:paraId="0505E282" w14:textId="77777777" w:rsidR="00294AA3" w:rsidRDefault="00294AA3" w:rsidP="004C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Times New 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0BF2B" w14:textId="77777777" w:rsidR="00294AA3" w:rsidRDefault="00294AA3" w:rsidP="004C2249">
      <w:r>
        <w:separator/>
      </w:r>
    </w:p>
  </w:footnote>
  <w:footnote w:type="continuationSeparator" w:id="0">
    <w:p w14:paraId="0571109C" w14:textId="77777777" w:rsidR="00294AA3" w:rsidRDefault="00294AA3" w:rsidP="004C2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B61417"/>
    <w:multiLevelType w:val="hybridMultilevel"/>
    <w:tmpl w:val="11240A9E"/>
    <w:lvl w:ilvl="0" w:tplc="46EC626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344660"/>
    <w:multiLevelType w:val="hybridMultilevel"/>
    <w:tmpl w:val="7EAAA912"/>
    <w:lvl w:ilvl="0" w:tplc="3CC0EAD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1"/>
    <w:rsid w:val="00093A8C"/>
    <w:rsid w:val="000A51D1"/>
    <w:rsid w:val="000E5B68"/>
    <w:rsid w:val="00144D22"/>
    <w:rsid w:val="00166E29"/>
    <w:rsid w:val="00294AA3"/>
    <w:rsid w:val="003157C1"/>
    <w:rsid w:val="003277B4"/>
    <w:rsid w:val="00355D19"/>
    <w:rsid w:val="003D48E8"/>
    <w:rsid w:val="003F1679"/>
    <w:rsid w:val="00425342"/>
    <w:rsid w:val="00426DA9"/>
    <w:rsid w:val="00453C0B"/>
    <w:rsid w:val="0047200C"/>
    <w:rsid w:val="00487E9D"/>
    <w:rsid w:val="004C2249"/>
    <w:rsid w:val="0052541C"/>
    <w:rsid w:val="00544005"/>
    <w:rsid w:val="00564508"/>
    <w:rsid w:val="005816B7"/>
    <w:rsid w:val="0060561A"/>
    <w:rsid w:val="00622B0C"/>
    <w:rsid w:val="006455FC"/>
    <w:rsid w:val="006D7694"/>
    <w:rsid w:val="006E4EB6"/>
    <w:rsid w:val="0078133A"/>
    <w:rsid w:val="007B58F9"/>
    <w:rsid w:val="00834E5E"/>
    <w:rsid w:val="009019C9"/>
    <w:rsid w:val="00936FB4"/>
    <w:rsid w:val="009D5007"/>
    <w:rsid w:val="00A64ECF"/>
    <w:rsid w:val="00AE2648"/>
    <w:rsid w:val="00B40FF8"/>
    <w:rsid w:val="00B41E7E"/>
    <w:rsid w:val="00BB2011"/>
    <w:rsid w:val="00C0605D"/>
    <w:rsid w:val="00C12090"/>
    <w:rsid w:val="00CA5186"/>
    <w:rsid w:val="00CD4C4F"/>
    <w:rsid w:val="00CD630A"/>
    <w:rsid w:val="00D1087A"/>
    <w:rsid w:val="00D42711"/>
    <w:rsid w:val="00DF19CD"/>
    <w:rsid w:val="00E16AF7"/>
    <w:rsid w:val="00E94691"/>
    <w:rsid w:val="00ED40B5"/>
    <w:rsid w:val="00EE77FC"/>
    <w:rsid w:val="00F052DF"/>
    <w:rsid w:val="00F411CA"/>
    <w:rsid w:val="00FF4589"/>
    <w:rsid w:val="00FF53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6843"/>
  <w15:docId w15:val="{F7FFC9C0-778D-449E-9136-7479076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Arial Unicode MS" w:hAnsi="Calibri" w:cs="Calibri"/>
        <w:sz w:val="22"/>
        <w:szCs w:val="22"/>
        <w:lang w:val="fi-FI"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spacing w:line="240" w:lineRule="auto"/>
    </w:pPr>
    <w:rPr>
      <w:rFonts w:ascii="Times New Roman" w:eastAsia="Times New Roman" w:hAnsi="Times New Roman" w:cs="Times New Roman"/>
      <w:kern w:val="2"/>
      <w:sz w:val="24"/>
      <w:szCs w:val="24"/>
      <w:lang w:eastAsia="zh-CN" w:bidi="hi-I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corpsdetexteCar">
    <w:name w:val="corps de texte Car"/>
    <w:qFormat/>
    <w:rPr>
      <w:rFonts w:ascii="Times New Roman" w:eastAsia="Times New Roman" w:hAnsi="Times New Roman" w:cs="Times New Roman"/>
      <w:sz w:val="24"/>
      <w:szCs w:val="24"/>
      <w:lang w:eastAsia="fr-FR"/>
    </w:rPr>
  </w:style>
  <w:style w:type="character" w:customStyle="1" w:styleId="LienInternet">
    <w:name w:val="Lien Internet"/>
    <w:rPr>
      <w:color w:val="000080"/>
      <w:u w:val="single"/>
    </w:rPr>
  </w:style>
  <w:style w:type="character" w:customStyle="1" w:styleId="TextedebullesCar">
    <w:name w:val="Texte de bulles Car"/>
    <w:basedOn w:val="Kappaleenoletusfontti"/>
    <w:qFormat/>
    <w:rPr>
      <w:rFonts w:ascii="Segoe UI" w:eastAsia="SimSun" w:hAnsi="Segoe UI" w:cs="Mangal"/>
      <w:kern w:val="2"/>
      <w:sz w:val="18"/>
      <w:szCs w:val="16"/>
      <w:lang w:eastAsia="zh-CN" w:bidi="hi-IN"/>
    </w:rPr>
  </w:style>
  <w:style w:type="paragraph" w:styleId="Otsikko">
    <w:name w:val="Title"/>
    <w:basedOn w:val="Normaali"/>
    <w:next w:val="Leipteksti"/>
    <w:qFormat/>
    <w:pPr>
      <w:keepNext/>
      <w:spacing w:before="240" w:after="120"/>
    </w:pPr>
    <w:rPr>
      <w:rFonts w:ascii="Arial" w:eastAsia="Arial Unicode MS" w:hAnsi="Arial" w:cs="Arial Unicode MS"/>
      <w:sz w:val="28"/>
      <w:szCs w:val="28"/>
    </w:rPr>
  </w:style>
  <w:style w:type="paragraph" w:styleId="Leipteksti">
    <w:name w:val="Body Text"/>
    <w:basedOn w:val="Normaali"/>
    <w:pPr>
      <w:spacing w:after="120"/>
      <w:jc w:val="both"/>
    </w:pPr>
  </w:style>
  <w:style w:type="paragraph" w:styleId="Luettelo">
    <w:name w:val="List"/>
    <w:basedOn w:val="Leipteksti"/>
  </w:style>
  <w:style w:type="paragraph" w:styleId="Kuvaotsikko">
    <w:name w:val="caption"/>
    <w:basedOn w:val="Normaali"/>
    <w:qFormat/>
    <w:pPr>
      <w:suppressLineNumbers/>
      <w:spacing w:before="120" w:after="120"/>
    </w:pPr>
    <w:rPr>
      <w:i/>
      <w:iCs/>
    </w:rPr>
  </w:style>
  <w:style w:type="paragraph" w:customStyle="1" w:styleId="Index">
    <w:name w:val="Index"/>
    <w:basedOn w:val="Normaali"/>
    <w:qFormat/>
    <w:pPr>
      <w:suppressLineNumbers/>
    </w:pPr>
  </w:style>
  <w:style w:type="paragraph" w:customStyle="1" w:styleId="SNAutorit">
    <w:name w:val="SNAutorité"/>
    <w:basedOn w:val="Normaali"/>
    <w:qFormat/>
    <w:pPr>
      <w:spacing w:before="720" w:after="240"/>
      <w:ind w:firstLine="720"/>
    </w:pPr>
    <w:rPr>
      <w:b/>
    </w:rPr>
  </w:style>
  <w:style w:type="paragraph" w:customStyle="1" w:styleId="SNRapport">
    <w:name w:val="SNRapport"/>
    <w:basedOn w:val="Normaali"/>
    <w:qFormat/>
    <w:pPr>
      <w:spacing w:before="240" w:after="120"/>
      <w:ind w:firstLine="720"/>
    </w:pPr>
  </w:style>
  <w:style w:type="paragraph" w:customStyle="1" w:styleId="SNVisa">
    <w:name w:val="SNVisa"/>
    <w:basedOn w:val="Normaali"/>
    <w:qFormat/>
    <w:pPr>
      <w:spacing w:before="120" w:after="120"/>
      <w:ind w:firstLine="720"/>
    </w:pPr>
  </w:style>
  <w:style w:type="paragraph" w:customStyle="1" w:styleId="SNActe">
    <w:name w:val="SNActe"/>
    <w:basedOn w:val="Normaali"/>
    <w:qFormat/>
    <w:pPr>
      <w:spacing w:before="480" w:after="360"/>
      <w:jc w:val="center"/>
    </w:pPr>
    <w:rPr>
      <w:b/>
    </w:rPr>
  </w:style>
  <w:style w:type="paragraph" w:customStyle="1" w:styleId="SNArticle">
    <w:name w:val="SNArticle"/>
    <w:basedOn w:val="Normaali"/>
    <w:qFormat/>
    <w:pPr>
      <w:spacing w:before="240" w:after="240"/>
      <w:jc w:val="center"/>
    </w:pPr>
    <w:rPr>
      <w:b/>
    </w:rPr>
  </w:style>
  <w:style w:type="paragraph" w:customStyle="1" w:styleId="Default">
    <w:name w:val="Default"/>
    <w:qFormat/>
    <w:pPr>
      <w:suppressAutoHyphens/>
      <w:spacing w:line="240" w:lineRule="auto"/>
    </w:pPr>
    <w:rPr>
      <w:rFonts w:ascii="Times New Roman" w:eastAsia="Times New Roman" w:hAnsi="Times New Roman" w:cs="Times New Roman"/>
      <w:color w:val="000000"/>
      <w:kern w:val="2"/>
      <w:sz w:val="24"/>
      <w:szCs w:val="24"/>
      <w:lang w:eastAsia="zh-CN"/>
    </w:rPr>
  </w:style>
  <w:style w:type="paragraph" w:styleId="NormaaliWWW">
    <w:name w:val="Normal (Web)"/>
    <w:basedOn w:val="Normaali"/>
    <w:qFormat/>
    <w:pPr>
      <w:suppressAutoHyphens w:val="0"/>
      <w:spacing w:before="280" w:after="119"/>
      <w:jc w:val="both"/>
    </w:pPr>
    <w:rPr>
      <w:color w:val="000000"/>
    </w:rPr>
  </w:style>
  <w:style w:type="paragraph" w:customStyle="1" w:styleId="western">
    <w:name w:val="western"/>
    <w:basedOn w:val="Normaali"/>
    <w:qFormat/>
    <w:pPr>
      <w:suppressAutoHyphens w:val="0"/>
      <w:spacing w:before="100" w:after="119"/>
      <w:jc w:val="both"/>
    </w:pPr>
    <w:rPr>
      <w:lang w:eastAsia="fr-FR" w:bidi="ar-SA"/>
    </w:rPr>
  </w:style>
  <w:style w:type="paragraph" w:customStyle="1" w:styleId="corpsdetexte">
    <w:name w:val="corps de texte"/>
    <w:basedOn w:val="Normaali"/>
    <w:qFormat/>
    <w:pPr>
      <w:suppressAutoHyphens w:val="0"/>
      <w:spacing w:after="240"/>
      <w:ind w:firstLine="709"/>
      <w:jc w:val="both"/>
    </w:pPr>
    <w:rPr>
      <w:lang w:eastAsia="fr-FR" w:bidi="ar-SA"/>
    </w:rPr>
  </w:style>
  <w:style w:type="paragraph" w:styleId="Seliteteksti">
    <w:name w:val="Balloon Text"/>
    <w:basedOn w:val="Normaali"/>
    <w:qFormat/>
    <w:rPr>
      <w:rFonts w:ascii="Segoe UI" w:hAnsi="Segoe UI" w:cs="Mangal"/>
      <w:sz w:val="18"/>
      <w:szCs w:val="16"/>
    </w:rPr>
  </w:style>
  <w:style w:type="paragraph" w:customStyle="1" w:styleId="Contenudetableau">
    <w:name w:val="Contenu de tableau"/>
    <w:basedOn w:val="Normaali"/>
    <w:qFormat/>
    <w:pPr>
      <w:suppressLineNumbers/>
    </w:pPr>
  </w:style>
  <w:style w:type="paragraph" w:styleId="Kommentinteksti">
    <w:name w:val="annotation text"/>
    <w:basedOn w:val="Normaali"/>
    <w:link w:val="KommentintekstiChar"/>
    <w:uiPriority w:val="99"/>
    <w:unhideWhenUsed/>
    <w:rPr>
      <w:rFonts w:cs="Mangal"/>
      <w:sz w:val="20"/>
      <w:szCs w:val="18"/>
    </w:rPr>
  </w:style>
  <w:style w:type="character" w:customStyle="1" w:styleId="KommentintekstiChar">
    <w:name w:val="Kommentin teksti Char"/>
    <w:basedOn w:val="Kappaleenoletusfontti"/>
    <w:link w:val="Kommentinteksti"/>
    <w:uiPriority w:val="99"/>
    <w:rPr>
      <w:rFonts w:ascii="Times New Roman" w:eastAsia="Times New Roman" w:hAnsi="Times New Roman" w:cs="Mangal"/>
      <w:kern w:val="2"/>
      <w:sz w:val="20"/>
      <w:szCs w:val="18"/>
      <w:lang w:eastAsia="zh-CN" w:bidi="hi-IN"/>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A64ECF"/>
    <w:rPr>
      <w:b/>
      <w:bCs/>
    </w:rPr>
  </w:style>
  <w:style w:type="character" w:customStyle="1" w:styleId="KommentinotsikkoChar">
    <w:name w:val="Kommentin otsikko Char"/>
    <w:basedOn w:val="KommentintekstiChar"/>
    <w:link w:val="Kommentinotsikko"/>
    <w:uiPriority w:val="99"/>
    <w:semiHidden/>
    <w:rsid w:val="00A64ECF"/>
    <w:rPr>
      <w:rFonts w:ascii="Times New Roman" w:eastAsia="Times New Roman" w:hAnsi="Times New Roman" w:cs="Mangal"/>
      <w:b/>
      <w:bCs/>
      <w:kern w:val="2"/>
      <w:sz w:val="20"/>
      <w:szCs w:val="18"/>
      <w:lang w:eastAsia="zh-CN" w:bidi="hi-IN"/>
    </w:rPr>
  </w:style>
  <w:style w:type="character" w:styleId="Hyperlinkki">
    <w:name w:val="Hyperlink"/>
    <w:basedOn w:val="Kappaleenoletusfontti"/>
    <w:uiPriority w:val="99"/>
    <w:semiHidden/>
    <w:unhideWhenUsed/>
    <w:rsid w:val="00CD4C4F"/>
    <w:rPr>
      <w:color w:val="0000FF"/>
      <w:u w:val="single"/>
    </w:rPr>
  </w:style>
  <w:style w:type="paragraph" w:styleId="Yltunniste">
    <w:name w:val="header"/>
    <w:basedOn w:val="Normaali"/>
    <w:link w:val="YltunnisteChar"/>
    <w:uiPriority w:val="99"/>
    <w:unhideWhenUsed/>
    <w:rsid w:val="004C2249"/>
    <w:pPr>
      <w:tabs>
        <w:tab w:val="center" w:pos="4680"/>
        <w:tab w:val="right" w:pos="9360"/>
      </w:tabs>
    </w:pPr>
    <w:rPr>
      <w:rFonts w:cs="Mangal"/>
      <w:szCs w:val="21"/>
    </w:rPr>
  </w:style>
  <w:style w:type="character" w:customStyle="1" w:styleId="YltunnisteChar">
    <w:name w:val="Ylätunniste Char"/>
    <w:basedOn w:val="Kappaleenoletusfontti"/>
    <w:link w:val="Yltunniste"/>
    <w:uiPriority w:val="99"/>
    <w:rsid w:val="004C2249"/>
    <w:rPr>
      <w:rFonts w:ascii="Times New Roman" w:eastAsia="Times New Roman" w:hAnsi="Times New Roman" w:cs="Mangal"/>
      <w:kern w:val="2"/>
      <w:sz w:val="24"/>
      <w:szCs w:val="21"/>
      <w:lang w:eastAsia="zh-CN" w:bidi="hi-IN"/>
    </w:rPr>
  </w:style>
  <w:style w:type="paragraph" w:styleId="Alatunniste">
    <w:name w:val="footer"/>
    <w:basedOn w:val="Normaali"/>
    <w:link w:val="AlatunnisteChar"/>
    <w:uiPriority w:val="99"/>
    <w:unhideWhenUsed/>
    <w:rsid w:val="004C2249"/>
    <w:pPr>
      <w:tabs>
        <w:tab w:val="center" w:pos="4680"/>
        <w:tab w:val="right" w:pos="9360"/>
      </w:tabs>
    </w:pPr>
    <w:rPr>
      <w:rFonts w:cs="Mangal"/>
      <w:szCs w:val="21"/>
    </w:rPr>
  </w:style>
  <w:style w:type="character" w:customStyle="1" w:styleId="AlatunnisteChar">
    <w:name w:val="Alatunniste Char"/>
    <w:basedOn w:val="Kappaleenoletusfontti"/>
    <w:link w:val="Alatunniste"/>
    <w:uiPriority w:val="99"/>
    <w:rsid w:val="004C2249"/>
    <w:rPr>
      <w:rFonts w:ascii="Times New Roman" w:eastAsia="Times New Roma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2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4AE2-E9F1-44C5-9FBF-BBE43FA1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544</Words>
  <Characters>4411</Characters>
  <Application>Microsoft Office Word</Application>
  <DocSecurity>0</DocSecurity>
  <Lines>36</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DOZIERES Alexandre</dc:creator>
  <dc:description/>
  <cp:lastModifiedBy>H H</cp:lastModifiedBy>
  <cp:revision>9</cp:revision>
  <dcterms:created xsi:type="dcterms:W3CDTF">2020-12-30T13:00:00Z</dcterms:created>
  <dcterms:modified xsi:type="dcterms:W3CDTF">2021-01-20T14:43:00Z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