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5C06C" w14:textId="7944446A" w:rsidR="00E16AF7" w:rsidRPr="006E4EB6" w:rsidRDefault="00E16AF7" w:rsidP="00E16AF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------IND- 2021 0018 F-- PL- ------ 20210121 --- --- PROJET</w:t>
      </w:r>
    </w:p>
    <w:bookmarkEnd w:id="0"/>
    <w:p w14:paraId="488568CD" w14:textId="77777777" w:rsidR="00FF5321" w:rsidRPr="003277B4" w:rsidRDefault="00FF5321">
      <w:pPr>
        <w:jc w:val="center"/>
        <w:rPr>
          <w:b/>
          <w:lang w:eastAsia="en-US"/>
        </w:rPr>
      </w:pPr>
    </w:p>
    <w:tbl>
      <w:tblPr>
        <w:tblW w:w="3982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8"/>
      </w:tblGrid>
      <w:tr w:rsidR="00ED40B5" w:rsidRPr="003277B4" w14:paraId="267BF435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94D5327" w14:textId="614E656C" w:rsidR="00ED40B5" w:rsidRPr="003277B4" w:rsidRDefault="00ED40B5" w:rsidP="00ED40B5">
            <w:pPr>
              <w:jc w:val="center"/>
            </w:pPr>
            <w:r>
              <w:rPr>
                <w:b/>
              </w:rPr>
              <w:t xml:space="preserve">REPUBLIKA FRANCUSKA</w:t>
            </w:r>
          </w:p>
        </w:tc>
      </w:tr>
      <w:tr w:rsidR="00ED40B5" w:rsidRPr="003277B4" w14:paraId="568A962C" w14:textId="77777777" w:rsidTr="00ED40B5">
        <w:trPr>
          <w:cantSplit/>
          <w:trHeight w:hRule="exact" w:val="113"/>
        </w:trPr>
        <w:tc>
          <w:tcPr>
            <w:tcW w:w="1327" w:type="dxa"/>
            <w:shd w:val="clear" w:color="auto" w:fill="auto"/>
          </w:tcPr>
          <w:p w14:paraId="4072B545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0BA0E313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4CA44F7F" w14:textId="05023332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D40B5" w:rsidRPr="003277B4" w14:paraId="7FB5FAB3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21877BB" w14:textId="460E75B2" w:rsidR="00ED40B5" w:rsidRPr="003277B4" w:rsidRDefault="00ED40B5" w:rsidP="00ED40B5">
            <w:pPr>
              <w:suppressAutoHyphens w:val="0"/>
              <w:spacing w:before="240"/>
              <w:jc w:val="center"/>
            </w:pPr>
            <w:r>
              <w:t xml:space="preserve">Ministerstwo Transformacji Ekologicznej</w:t>
            </w:r>
            <w:r>
              <w:t xml:space="preserve"> </w:t>
            </w:r>
          </w:p>
        </w:tc>
      </w:tr>
      <w:tr w:rsidR="00ED40B5" w:rsidRPr="003277B4" w14:paraId="72B7B2D9" w14:textId="77777777" w:rsidTr="00ED40B5">
        <w:trPr>
          <w:cantSplit/>
          <w:trHeight w:hRule="exact" w:val="227"/>
        </w:trPr>
        <w:tc>
          <w:tcPr>
            <w:tcW w:w="1327" w:type="dxa"/>
            <w:shd w:val="clear" w:color="auto" w:fill="auto"/>
          </w:tcPr>
          <w:p w14:paraId="10AEB7F1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19D3400A" w14:textId="77777777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0794CE36" w14:textId="7B193261" w:rsidR="00ED40B5" w:rsidRPr="003277B4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</w:tr>
    </w:tbl>
    <w:p w14:paraId="2A3D47A3" w14:textId="77777777" w:rsidR="00FF5321" w:rsidRPr="003277B4" w:rsidRDefault="00FF5321">
      <w:pPr>
        <w:jc w:val="center"/>
        <w:rPr>
          <w:b/>
          <w:lang w:eastAsia="en-US"/>
        </w:rPr>
      </w:pPr>
    </w:p>
    <w:p w14:paraId="0BF1F955" w14:textId="77777777" w:rsidR="00FF5321" w:rsidRPr="003277B4" w:rsidRDefault="0078133A">
      <w:pPr>
        <w:jc w:val="center"/>
        <w:rPr>
          <w:b/>
        </w:rPr>
      </w:pPr>
      <w:r>
        <w:rPr>
          <w:b/>
        </w:rPr>
        <w:t xml:space="preserve">Projekt dekretu</w:t>
      </w:r>
    </w:p>
    <w:p w14:paraId="5CF6DF6F" w14:textId="77777777" w:rsidR="00FF5321" w:rsidRPr="003277B4" w:rsidRDefault="00FF5321">
      <w:pPr>
        <w:jc w:val="center"/>
        <w:rPr>
          <w:b/>
        </w:rPr>
      </w:pPr>
    </w:p>
    <w:p w14:paraId="05E68FF3" w14:textId="77777777" w:rsidR="00FF5321" w:rsidRPr="003277B4" w:rsidRDefault="0078133A">
      <w:pPr>
        <w:jc w:val="center"/>
        <w:rPr>
          <w:b/>
        </w:rPr>
      </w:pPr>
      <w:r>
        <w:rPr>
          <w:b/>
        </w:rPr>
        <w:t xml:space="preserve">w sprawie zakazu instalowania systemów ogrzewania i podgrzewania wody użytkowej działających głównie na paliwa o dużej emisji gazów cieplarnianych w budynkach mieszkalnych lub budynkach przeznaczonych na działalność zawodową</w:t>
      </w:r>
    </w:p>
    <w:p w14:paraId="792D22F5" w14:textId="77777777" w:rsidR="00FF5321" w:rsidRPr="003277B4" w:rsidRDefault="00FF5321">
      <w:pPr>
        <w:rPr>
          <w:b/>
        </w:rPr>
      </w:pPr>
    </w:p>
    <w:p w14:paraId="53A30E5C" w14:textId="77777777" w:rsidR="00FF5321" w:rsidRPr="003277B4" w:rsidRDefault="0078133A">
      <w:pPr>
        <w:spacing w:after="600"/>
        <w:jc w:val="center"/>
      </w:pPr>
      <w:r>
        <w:t xml:space="preserve">NR REF:</w:t>
      </w:r>
      <w:r>
        <w:t xml:space="preserve"> </w:t>
      </w:r>
      <w:r>
        <w:t xml:space="preserve">TRER2021746D</w:t>
      </w:r>
    </w:p>
    <w:p w14:paraId="316AB4EB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Grupy docelowe: właściciele budynków mieszkalnych lub budynków przeznaczonych na działalność zawodową, którzy chcą zainstalować nowe urządzenie grzewcze lub urządzenie do podgrzewania wody użytkowej.</w:t>
      </w:r>
      <w:r>
        <w:rPr>
          <w:i/>
        </w:rPr>
        <w:t xml:space="preserve"> </w:t>
      </w:r>
    </w:p>
    <w:p w14:paraId="65AB5883" w14:textId="77777777" w:rsidR="00FF5321" w:rsidRPr="003277B4" w:rsidRDefault="00FF5321">
      <w:pPr>
        <w:jc w:val="both"/>
      </w:pPr>
    </w:p>
    <w:p w14:paraId="796F7BD1" w14:textId="77777777" w:rsidR="00FF5321" w:rsidRPr="003277B4" w:rsidRDefault="0078133A">
      <w:pPr>
        <w:jc w:val="both"/>
        <w:rPr>
          <w:i/>
        </w:rPr>
      </w:pPr>
      <w:r>
        <w:rPr>
          <w:i/>
        </w:rPr>
        <w:t xml:space="preserve">Przedmiot: zdefiniowanie maksymalnego progu emisji gazów cieplarnianych w systemach ogrzewania lub podgrzewania wody użytkowej, które mogą być instalowane w budynkach mieszkalnych lub budynkach przeznaczonych na działalność zawodową.</w:t>
      </w:r>
      <w:r>
        <w:rPr>
          <w:i/>
        </w:rPr>
        <w:t xml:space="preserve"> </w:t>
      </w:r>
    </w:p>
    <w:p w14:paraId="44EE0626" w14:textId="77777777" w:rsidR="00FF5321" w:rsidRPr="003277B4" w:rsidRDefault="00FF5321">
      <w:pPr>
        <w:jc w:val="both"/>
        <w:rPr>
          <w:b/>
          <w:i/>
        </w:rPr>
      </w:pPr>
    </w:p>
    <w:p w14:paraId="7A6EB824" w14:textId="3944557D" w:rsidR="00FF5321" w:rsidRPr="003277B4" w:rsidRDefault="0078133A">
      <w:pPr>
        <w:jc w:val="both"/>
      </w:pPr>
      <w:r>
        <w:rPr>
          <w:i/>
        </w:rPr>
        <w:t xml:space="preserve">Wejście w życie: przepisy wchodzą w życie w dniu 1 lipca 2021 r. w przypadku budynków nowych i 1 stycznia 2022 r. w przypadku budynków istniejących.</w:t>
      </w:r>
    </w:p>
    <w:p w14:paraId="049B4334" w14:textId="77777777" w:rsidR="00A64ECF" w:rsidRPr="003277B4" w:rsidRDefault="00A64ECF">
      <w:pPr>
        <w:jc w:val="both"/>
        <w:rPr>
          <w:i/>
        </w:rPr>
      </w:pPr>
    </w:p>
    <w:p w14:paraId="1EE0064D" w14:textId="791A0A26" w:rsidR="00453C0B" w:rsidRPr="003277B4" w:rsidRDefault="0078133A" w:rsidP="00453C0B">
      <w:pPr>
        <w:jc w:val="both"/>
        <w:rPr>
          <w:i/>
        </w:rPr>
      </w:pPr>
      <w:r>
        <w:rPr>
          <w:i/>
        </w:rPr>
        <w:t xml:space="preserve">Uwaga:</w:t>
      </w:r>
      <w:r>
        <w:rPr>
          <w:i/>
        </w:rPr>
        <w:t xml:space="preserve"> </w:t>
      </w:r>
      <w:r>
        <w:rPr>
          <w:i/>
        </w:rPr>
        <w:t xml:space="preserve">art. L. 111-9 i L. 111-10 kodeksu budownictwa i mieszkalnictwa dopuszczają określenie w drodze dekretu Rady Stanu charakterystyki energetycznej i środowiskowej kompatybilnej z celami krajowej polityki energetycznej, odpowiednio dla budynków nowych i istniejących.</w:t>
      </w:r>
      <w:r>
        <w:rPr>
          <w:i/>
        </w:rPr>
        <w:t xml:space="preserve"> </w:t>
      </w:r>
    </w:p>
    <w:p w14:paraId="536DDAC3" w14:textId="0C88F7DB" w:rsidR="00FF5321" w:rsidRPr="003277B4" w:rsidRDefault="00453C0B" w:rsidP="00453C0B">
      <w:pPr>
        <w:jc w:val="both"/>
        <w:rPr>
          <w:i/>
        </w:rPr>
      </w:pPr>
      <w:r>
        <w:rPr>
          <w:i/>
        </w:rPr>
        <w:t xml:space="preserve">Niniejszy dekret określa kryteria wymiany systemów ogrzewania i podgrzewania wody użytkowej, w szczególności pod kątem emisji gazów cieplarnianych, w nowych i istniejących budynkach mieszkalnych lub budynkach przeznaczonych na działalność zawodową.</w:t>
      </w:r>
    </w:p>
    <w:p w14:paraId="386E3F82" w14:textId="77777777" w:rsidR="00FF5321" w:rsidRPr="003277B4" w:rsidRDefault="00FF5321">
      <w:pPr>
        <w:jc w:val="both"/>
        <w:rPr>
          <w:i/>
        </w:rPr>
      </w:pPr>
    </w:p>
    <w:p w14:paraId="788741CE" w14:textId="77777777" w:rsidR="00FF5321" w:rsidRPr="003277B4" w:rsidRDefault="0078133A">
      <w:pPr>
        <w:jc w:val="both"/>
      </w:pPr>
      <w:r>
        <w:rPr>
          <w:i/>
        </w:rPr>
        <w:t xml:space="preserve">Teksty podstawowe: tekst niniejszego dekretu jest dostępny w witrynie Légifrance (</w:t>
      </w:r>
      <w:hyperlink r:id="rId8">
        <w:r>
          <w:rPr>
            <w:rStyle w:val="LienInternet"/>
            <w:i/>
          </w:rPr>
          <w:t xml:space="preserve">http://www.legifrance.gouv.fr</w:t>
        </w:r>
      </w:hyperlink>
      <w:r>
        <w:rPr>
          <w:i/>
        </w:rPr>
        <w:t xml:space="preserve">)</w:t>
      </w:r>
    </w:p>
    <w:p w14:paraId="77F46508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75D4E501" w14:textId="77777777" w:rsidR="00FF5321" w:rsidRPr="003277B4" w:rsidRDefault="0078133A">
      <w:pPr>
        <w:pStyle w:val="SNAutorit"/>
        <w:spacing w:before="0" w:after="0"/>
        <w:ind w:firstLine="709"/>
        <w:jc w:val="both"/>
      </w:pPr>
      <w:r>
        <w:t xml:space="preserve">Premier,</w:t>
      </w:r>
    </w:p>
    <w:p w14:paraId="0362565F" w14:textId="77777777" w:rsidR="00FF5321" w:rsidRPr="003277B4" w:rsidRDefault="00FF5321">
      <w:pPr>
        <w:pStyle w:val="SNAutorit"/>
        <w:spacing w:before="0" w:after="0"/>
        <w:ind w:firstLine="709"/>
        <w:jc w:val="both"/>
      </w:pPr>
    </w:p>
    <w:p w14:paraId="6E98297D" w14:textId="0D9078BA" w:rsidR="00FF5321" w:rsidRPr="003277B4" w:rsidRDefault="0078133A">
      <w:pPr>
        <w:pStyle w:val="SNRapport"/>
        <w:spacing w:before="0" w:after="0"/>
        <w:ind w:firstLine="709"/>
        <w:jc w:val="both"/>
      </w:pPr>
      <w:r>
        <w:t xml:space="preserve">na podstawie sprawozdania Minister ds. Transformacji Ekologicznej,</w:t>
      </w:r>
    </w:p>
    <w:p w14:paraId="5E7C9C57" w14:textId="77777777" w:rsidR="00FF5321" w:rsidRPr="003277B4" w:rsidRDefault="00FF5321">
      <w:pPr>
        <w:pStyle w:val="NormalWeb"/>
        <w:spacing w:before="0" w:after="0"/>
      </w:pPr>
    </w:p>
    <w:p w14:paraId="6D86A03A" w14:textId="77777777" w:rsidR="00A64ECF" w:rsidRPr="003277B4" w:rsidRDefault="00A64ECF">
      <w:pPr>
        <w:pStyle w:val="NormalWeb"/>
        <w:spacing w:before="0" w:after="0"/>
        <w:ind w:firstLine="709"/>
      </w:pPr>
      <w: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 w szczególności powiadomienie nr 2016/677/F,</w:t>
      </w:r>
    </w:p>
    <w:p w14:paraId="60BDBD1E" w14:textId="77777777" w:rsidR="00A64ECF" w:rsidRPr="003277B4" w:rsidRDefault="00A64ECF">
      <w:pPr>
        <w:pStyle w:val="NormalWeb"/>
        <w:spacing w:before="0" w:after="0"/>
        <w:ind w:firstLine="709"/>
      </w:pPr>
    </w:p>
    <w:p w14:paraId="6A0CFF0A" w14:textId="77777777" w:rsidR="00A64ECF" w:rsidRPr="003277B4" w:rsidRDefault="00A64ECF">
      <w:pPr>
        <w:pStyle w:val="NormalWeb"/>
        <w:spacing w:before="0" w:after="0"/>
        <w:ind w:firstLine="709"/>
      </w:pPr>
      <w:r>
        <w:t xml:space="preserve">uwzględniając rozporządzenie Parlamentu Europejskiego i Rady (UE) nr 305/2011 z dnia 9 marca 2011 r. ustanawiające zharmonizowane warunki wprowadzania do obrotu wyrobów budowlanych i uchylające dyrektywę Rady nr 89/106/EWG,</w:t>
      </w:r>
      <w:r>
        <w:t xml:space="preserve"> </w:t>
      </w:r>
    </w:p>
    <w:p w14:paraId="0FA105FE" w14:textId="77777777" w:rsidR="00A64ECF" w:rsidRPr="003277B4" w:rsidRDefault="00A64ECF">
      <w:pPr>
        <w:pStyle w:val="NormalWeb"/>
        <w:spacing w:before="0" w:after="0"/>
        <w:ind w:firstLine="709"/>
      </w:pPr>
    </w:p>
    <w:p w14:paraId="2F6F8F35" w14:textId="7A7422A7" w:rsidR="00FF5321" w:rsidRPr="003277B4" w:rsidRDefault="0078133A">
      <w:pPr>
        <w:pStyle w:val="NormalWeb"/>
        <w:spacing w:before="0" w:after="0"/>
        <w:ind w:firstLine="709"/>
      </w:pPr>
      <w:r>
        <w:t xml:space="preserve">uwzględniając kodeks budownictwa i mieszkalnictwa, w szczególności art. L. 111-9 i L. 111-10,</w:t>
      </w:r>
    </w:p>
    <w:p w14:paraId="65D5A4FD" w14:textId="77777777" w:rsidR="00FF5321" w:rsidRPr="003277B4" w:rsidRDefault="00FF5321">
      <w:pPr>
        <w:pStyle w:val="NormalWeb"/>
        <w:spacing w:before="0" w:after="0"/>
        <w:rPr>
          <w:sz w:val="22"/>
          <w:szCs w:val="22"/>
        </w:rPr>
      </w:pPr>
    </w:p>
    <w:p w14:paraId="50277BB7" w14:textId="6A22B7FF" w:rsidR="00FF5321" w:rsidRPr="003277B4" w:rsidRDefault="0078133A">
      <w:pPr>
        <w:pStyle w:val="NormalWeb"/>
        <w:spacing w:before="0" w:after="0"/>
        <w:ind w:firstLine="709"/>
      </w:pPr>
      <w:r>
        <w:t xml:space="preserve">uwzględniając opinię Wysokiej Rady ds. Budownictwa i Efektywności Energetycznej z dnia DD.MM.RRRR,</w:t>
      </w:r>
    </w:p>
    <w:p w14:paraId="15C1F459" w14:textId="77777777" w:rsidR="00FF5321" w:rsidRPr="003277B4" w:rsidRDefault="00FF5321">
      <w:pPr>
        <w:pStyle w:val="NormalWeb"/>
        <w:spacing w:before="0" w:after="0"/>
        <w:ind w:firstLine="709"/>
      </w:pPr>
    </w:p>
    <w:p w14:paraId="4CC7BE24" w14:textId="50F9A447" w:rsidR="00FF5321" w:rsidRPr="003277B4" w:rsidRDefault="0078133A">
      <w:pPr>
        <w:pStyle w:val="NormalWeb"/>
        <w:spacing w:before="0" w:after="0"/>
        <w:ind w:firstLine="709"/>
      </w:pPr>
      <w:r>
        <w:t xml:space="preserve">uwzględniając opinię Wysokiej Rady ds. Energii z dnia DD.MM.RRRR,</w:t>
      </w:r>
    </w:p>
    <w:p w14:paraId="25D653AE" w14:textId="77777777" w:rsidR="00FF5321" w:rsidRPr="003277B4" w:rsidRDefault="00FF5321">
      <w:pPr>
        <w:pStyle w:val="NormalWeb"/>
        <w:spacing w:before="0" w:after="0"/>
      </w:pPr>
    </w:p>
    <w:p w14:paraId="2A550391" w14:textId="14200E30" w:rsidR="00FF5321" w:rsidRPr="003277B4" w:rsidRDefault="0078133A">
      <w:pPr>
        <w:pStyle w:val="NormalWeb"/>
        <w:spacing w:before="0" w:after="0"/>
        <w:ind w:firstLine="709"/>
      </w:pPr>
      <w:r>
        <w:t xml:space="preserve">uwzględniając opinię Krajowej Rady ds. Oceny Norm z dnia DD.MM.RRRR,</w:t>
      </w:r>
    </w:p>
    <w:p w14:paraId="1A76A4D9" w14:textId="77777777" w:rsidR="00FF5321" w:rsidRPr="003277B4" w:rsidRDefault="00FF5321">
      <w:pPr>
        <w:pStyle w:val="NormalWeb"/>
        <w:spacing w:before="0" w:after="0"/>
        <w:ind w:firstLine="709"/>
      </w:pPr>
    </w:p>
    <w:p w14:paraId="549EE422" w14:textId="513DF819" w:rsidR="00FF5321" w:rsidRPr="003277B4" w:rsidRDefault="0078133A">
      <w:pPr>
        <w:pStyle w:val="NormalWeb"/>
        <w:spacing w:before="0" w:after="0"/>
        <w:ind w:firstLine="709"/>
      </w:pPr>
      <w:r>
        <w:t xml:space="preserve">uwzględniając uwagi sformułowane podczas konsultacji publicznych przeprowadzonych w dniach od DD.MM.RRRR do DD.MM.RRRR, na podstawie art. L. 123-19-1 kodeksu środowiska,</w:t>
      </w:r>
    </w:p>
    <w:p w14:paraId="6EA2DB3E" w14:textId="77777777" w:rsidR="00FF5321" w:rsidRPr="003277B4" w:rsidRDefault="00FF5321">
      <w:pPr>
        <w:pStyle w:val="NormalWeb"/>
        <w:spacing w:before="0" w:after="0"/>
        <w:ind w:firstLine="709"/>
      </w:pPr>
    </w:p>
    <w:p w14:paraId="78C1D321" w14:textId="77777777" w:rsidR="00FF5321" w:rsidRPr="003277B4" w:rsidRDefault="0078133A">
      <w:pPr>
        <w:pStyle w:val="NormalWeb"/>
        <w:spacing w:before="0" w:after="0"/>
        <w:ind w:firstLine="709"/>
      </w:pPr>
      <w:r>
        <w:t xml:space="preserve">po wysłuchaniu Rady Stanu (Sekcja Robót Publicznych),</w:t>
      </w:r>
    </w:p>
    <w:p w14:paraId="3ECD91B3" w14:textId="77777777" w:rsidR="00FF5321" w:rsidRPr="003277B4" w:rsidRDefault="00FF5321">
      <w:pPr>
        <w:pStyle w:val="SNVisa"/>
        <w:spacing w:before="0" w:after="0"/>
        <w:ind w:firstLine="709"/>
        <w:jc w:val="both"/>
      </w:pPr>
    </w:p>
    <w:p w14:paraId="6F5B4B7A" w14:textId="77777777" w:rsidR="00FF5321" w:rsidRPr="003277B4" w:rsidRDefault="00FF5321">
      <w:pPr>
        <w:pStyle w:val="SNActe"/>
        <w:spacing w:before="0" w:after="0"/>
        <w:ind w:firstLine="709"/>
      </w:pPr>
    </w:p>
    <w:p w14:paraId="1C6B8427" w14:textId="77777777" w:rsidR="00FF5321" w:rsidRPr="003277B4" w:rsidRDefault="00FF5321">
      <w:pPr>
        <w:pStyle w:val="SNActe"/>
        <w:spacing w:before="0" w:after="0"/>
        <w:ind w:firstLine="709"/>
      </w:pPr>
    </w:p>
    <w:p w14:paraId="63B99752" w14:textId="77777777" w:rsidR="00FF5321" w:rsidRPr="003277B4" w:rsidRDefault="00FF5321">
      <w:pPr>
        <w:pStyle w:val="SNActe"/>
        <w:spacing w:before="0" w:after="0"/>
        <w:ind w:firstLine="709"/>
      </w:pPr>
    </w:p>
    <w:p w14:paraId="61EF05BF" w14:textId="77777777" w:rsidR="00FF5321" w:rsidRPr="003277B4" w:rsidRDefault="0078133A" w:rsidP="000E5B68">
      <w:pPr>
        <w:pStyle w:val="SNActe"/>
        <w:keepNext/>
        <w:spacing w:before="0" w:after="0"/>
        <w:ind w:firstLine="709"/>
      </w:pPr>
      <w:r>
        <w:t xml:space="preserve">Przyjmuje następujący dekret:</w:t>
      </w:r>
    </w:p>
    <w:p w14:paraId="29BC4BE0" w14:textId="77777777" w:rsidR="00FF5321" w:rsidRPr="003277B4" w:rsidRDefault="00FF5321" w:rsidP="000E5B68">
      <w:pPr>
        <w:pStyle w:val="SNActe"/>
        <w:keepNext/>
        <w:spacing w:before="0" w:after="0"/>
        <w:ind w:firstLine="709"/>
      </w:pPr>
    </w:p>
    <w:p w14:paraId="37B7A1E6" w14:textId="77777777" w:rsidR="00FF5321" w:rsidRPr="003277B4" w:rsidRDefault="0078133A" w:rsidP="000E5B68">
      <w:pPr>
        <w:pStyle w:val="SNArticle"/>
        <w:keepNext/>
        <w:spacing w:before="0" w:after="0"/>
        <w:ind w:firstLine="709"/>
      </w:pPr>
      <w:r>
        <w:t xml:space="preserve">Artykuł 1</w:t>
      </w:r>
    </w:p>
    <w:p w14:paraId="1ACAC003" w14:textId="77777777" w:rsidR="00FF5321" w:rsidRPr="003277B4" w:rsidRDefault="00FF5321" w:rsidP="000E5B68">
      <w:pPr>
        <w:pStyle w:val="BodyText"/>
        <w:keepNext/>
        <w:spacing w:after="0"/>
        <w:rPr>
          <w:bCs/>
        </w:rPr>
      </w:pPr>
    </w:p>
    <w:p w14:paraId="6F34E331" w14:textId="7D73E037" w:rsidR="00FF5321" w:rsidRPr="003277B4" w:rsidRDefault="0078133A" w:rsidP="000E5B68">
      <w:pPr>
        <w:pStyle w:val="BodyText"/>
        <w:keepNext/>
        <w:spacing w:after="0"/>
        <w:ind w:firstLine="709"/>
      </w:pPr>
      <w:r>
        <w:t xml:space="preserve">Na początku księgi I tytuł III kodeksu budownictwa i mieszkalnictwa wprowadza się rozdział wstępny w brzmieniu:</w:t>
      </w:r>
    </w:p>
    <w:p w14:paraId="5AFCC02A" w14:textId="77777777" w:rsidR="00FF5321" w:rsidRPr="003277B4" w:rsidRDefault="0078133A">
      <w:pPr>
        <w:pStyle w:val="western"/>
      </w:pPr>
      <w:r>
        <w:t xml:space="preserve">„Rozdział wstępny:</w:t>
      </w:r>
      <w:r>
        <w:t xml:space="preserve"> </w:t>
      </w:r>
      <w:r>
        <w:t xml:space="preserve">Efektywność środowiskowa systemów ogrzewania i podgrzewania wody użytkowej</w:t>
      </w:r>
    </w:p>
    <w:p w14:paraId="2D6504B8" w14:textId="77777777" w:rsidR="00FF5321" w:rsidRPr="003277B4" w:rsidRDefault="0078133A" w:rsidP="000E5B68">
      <w:pPr>
        <w:pStyle w:val="western"/>
        <w:keepNext/>
      </w:pPr>
      <w:r>
        <w:t xml:space="preserve">Art. R.130-1:</w:t>
      </w:r>
    </w:p>
    <w:p w14:paraId="1772CB2E" w14:textId="36BB6966" w:rsidR="00FF5321" w:rsidRPr="003277B4" w:rsidRDefault="00DF19CD">
      <w:pPr>
        <w:pStyle w:val="western"/>
      </w:pPr>
      <w:r>
        <w:t xml:space="preserve">I. – Wprowadza się zakaz instalowania w budynkach systemów ogrzewania lub podgrzewania wody użytkowej zużywających głównie paliwa o emisji gazów cieplarnianych wynoszącej co najmniej 250 g ekwiwalentu CO2 na kWh wartości opałowej, również w przypadku wymiany istniejących urządzeń.</w:t>
      </w:r>
    </w:p>
    <w:p w14:paraId="6280E9C6" w14:textId="7CE3AEF9" w:rsidR="0060561A" w:rsidRPr="003277B4" w:rsidRDefault="00DF19CD" w:rsidP="000E5B68">
      <w:pPr>
        <w:pStyle w:val="western"/>
        <w:keepNext/>
      </w:pPr>
      <w:r>
        <w:t xml:space="preserve">II.</w:t>
      </w:r>
      <w:r>
        <w:t xml:space="preserve"> </w:t>
      </w:r>
      <w:r>
        <w:t xml:space="preserve">– Przepis ten nie ma zastosowania do istniejących budynków w przypadku uzasadnienia:</w:t>
      </w:r>
    </w:p>
    <w:p w14:paraId="42FC266F" w14:textId="314ED723" w:rsidR="0060561A" w:rsidRPr="003277B4" w:rsidRDefault="0060561A">
      <w:pPr>
        <w:pStyle w:val="western"/>
      </w:pPr>
      <w:r>
        <w:t xml:space="preserve">1° technicznego braku możliwości zastąpienia istniejących urządzeń systemem ogrzewania lub podgrzewania wody użytkowej o poziomie emisji gazów cieplarnianych zgodnym z progiem określonym w ust. I, w szczególności ze względu na powierzchnię zabudowy, w przypadku braku zgodności ze służebnościami lub przepisami ustawowymi lub wykonawczymi dotyczącymi prawa do gruntu lub prawa własności;</w:t>
      </w:r>
    </w:p>
    <w:p w14:paraId="29E9705D" w14:textId="1001564D" w:rsidR="00DF19CD" w:rsidRPr="003277B4" w:rsidRDefault="0060561A">
      <w:pPr>
        <w:pStyle w:val="western"/>
      </w:pPr>
      <w:r>
        <w:t xml:space="preserve">2° braku rozwiązania umożliwiającego podłączenie do sieci ciepłowniczej lub sieci gazu ziemnego oraz jeżeli zainstalowanie nowego urządzenia zgodnego z przepisami ust. I wymaga przeprowadzenia robót modernizacyjnych w publicznej sieci dystrybucji energii elektrycznej.</w:t>
      </w:r>
      <w:r>
        <w:t xml:space="preserve"> </w:t>
      </w:r>
    </w:p>
    <w:p w14:paraId="69B08D63" w14:textId="5F7836C7" w:rsidR="00166E29" w:rsidRPr="003277B4" w:rsidRDefault="00DF19CD" w:rsidP="009D5007">
      <w:pPr>
        <w:pStyle w:val="western"/>
        <w:spacing w:before="0"/>
      </w:pPr>
      <w:r>
        <w:t xml:space="preserve">III.</w:t>
      </w:r>
      <w:r>
        <w:t xml:space="preserve"> </w:t>
      </w:r>
      <w:r>
        <w:t xml:space="preserve">– Inwestor potwierdza, że budynek jest objęty jednym z przypadków określonych w ust. II, przedstawiając notatkę sporządzoną przez fachowca lub na jego odpowiedzialność.</w:t>
      </w:r>
    </w:p>
    <w:p w14:paraId="6492B3BD" w14:textId="52124137" w:rsidR="00FF5321" w:rsidRPr="003277B4" w:rsidRDefault="00166E29" w:rsidP="00426DA9">
      <w:pPr>
        <w:pStyle w:val="western"/>
        <w:spacing w:before="0" w:after="0"/>
      </w:pPr>
      <w:r>
        <w:t xml:space="preserve">IV.</w:t>
      </w:r>
      <w:r>
        <w:t xml:space="preserve"> </w:t>
      </w:r>
      <w:r>
        <w:t xml:space="preserve">– Przepisy niniejszego art. mają zastosowanie do konstrukcji budynków nowych, w przypadku których wniosek o pozwolenie na budowę został złożony po dniu 1 lipca 2021 r., i do budynków istniejących, w których roboty określone w ust. I rozpoczęły się po dniu 1 stycznia 2022 r.</w:t>
      </w:r>
      <w:r>
        <w:t xml:space="preserve"> </w:t>
      </w:r>
      <w:r>
        <w:t xml:space="preserve">”.</w:t>
      </w:r>
    </w:p>
    <w:p w14:paraId="74EC101B" w14:textId="0E40A002" w:rsidR="00FF5321" w:rsidRPr="003277B4" w:rsidRDefault="00FF5321">
      <w:pPr>
        <w:ind w:firstLine="709"/>
      </w:pPr>
    </w:p>
    <w:p w14:paraId="1F32D1D3" w14:textId="77777777" w:rsidR="00FF5321" w:rsidRPr="003277B4" w:rsidRDefault="00FF5321">
      <w:pPr>
        <w:ind w:firstLine="709"/>
        <w:rPr>
          <w:bCs/>
        </w:rPr>
      </w:pPr>
    </w:p>
    <w:p w14:paraId="7BA8426C" w14:textId="6047382D" w:rsidR="00FF5321" w:rsidRPr="003277B4" w:rsidRDefault="0078133A" w:rsidP="000E5B68">
      <w:pPr>
        <w:keepNext/>
        <w:ind w:firstLine="709"/>
        <w:jc w:val="center"/>
        <w:rPr>
          <w:b/>
          <w:bCs/>
        </w:rPr>
      </w:pPr>
      <w:r>
        <w:rPr>
          <w:b/>
        </w:rPr>
        <w:t xml:space="preserve">Artykuł 2</w:t>
      </w:r>
    </w:p>
    <w:p w14:paraId="010920F9" w14:textId="77777777" w:rsidR="00FF5321" w:rsidRPr="003277B4" w:rsidRDefault="00FF5321" w:rsidP="000E5B68">
      <w:pPr>
        <w:keepNext/>
        <w:ind w:firstLine="709"/>
        <w:jc w:val="both"/>
      </w:pPr>
    </w:p>
    <w:p w14:paraId="5642AE1F" w14:textId="20E782C7" w:rsidR="00FF5321" w:rsidRPr="003277B4" w:rsidRDefault="0078133A">
      <w:pPr>
        <w:ind w:firstLine="709"/>
        <w:jc w:val="both"/>
      </w:pPr>
      <w:r>
        <w:t xml:space="preserve">Za wykonanie niniejszego dekretu, który zostanie opublikowany w </w:t>
      </w:r>
      <w:r>
        <w:rPr>
          <w:i/>
        </w:rPr>
        <w:t xml:space="preserve">Dzienniku Urzędowym</w:t>
      </w:r>
      <w:r>
        <w:t xml:space="preserve"> Republiki Francuskiej, odpowiadają Minister Transformacji Ekologicznej oraz minister oddelegowana przy Minister Transformacji Ekologicznej, właściwa ds. mieszkalnictwa.</w:t>
      </w:r>
    </w:p>
    <w:p w14:paraId="571EC7E8" w14:textId="77777777" w:rsidR="00FF5321" w:rsidRPr="003277B4" w:rsidRDefault="00FF5321">
      <w:pPr>
        <w:ind w:firstLine="709"/>
        <w:jc w:val="both"/>
      </w:pPr>
    </w:p>
    <w:p w14:paraId="52E8031F" w14:textId="77777777" w:rsidR="00FF5321" w:rsidRPr="003277B4" w:rsidRDefault="00FF5321">
      <w:pPr>
        <w:ind w:firstLine="709"/>
        <w:jc w:val="both"/>
      </w:pPr>
    </w:p>
    <w:p w14:paraId="29CC8F0F" w14:textId="6C90C636" w:rsidR="00FF5321" w:rsidRPr="003277B4" w:rsidRDefault="0078133A">
      <w:r>
        <w:t xml:space="preserve">Sporządzono dnia</w:t>
      </w:r>
      <w:r>
        <w:t xml:space="preserve"> </w:t>
      </w:r>
    </w:p>
    <w:p w14:paraId="0910EF1F" w14:textId="69B22225" w:rsidR="00544005" w:rsidRPr="003277B4" w:rsidRDefault="00544005"/>
    <w:p w14:paraId="71D4D3E2" w14:textId="2EFAA8A8" w:rsidR="00544005" w:rsidRPr="003277B4" w:rsidRDefault="00544005">
      <w:r>
        <w:t xml:space="preserve">Premier</w:t>
      </w:r>
    </w:p>
    <w:p w14:paraId="27990147" w14:textId="77777777" w:rsidR="00FF5321" w:rsidRPr="003277B4" w:rsidRDefault="00FF5321"/>
    <w:p w14:paraId="33D2B791" w14:textId="77777777" w:rsidR="00FF5321" w:rsidRPr="003277B4" w:rsidRDefault="00FF5321">
      <w:pPr>
        <w:rPr>
          <w:lang w:eastAsia="fr-FR"/>
        </w:rPr>
      </w:pPr>
    </w:p>
    <w:p w14:paraId="35D9070D" w14:textId="77777777" w:rsidR="00FF5321" w:rsidRPr="003277B4" w:rsidRDefault="0078133A">
      <w:pPr>
        <w:suppressAutoHyphens w:val="0"/>
        <w:jc w:val="right"/>
      </w:pPr>
      <w:r>
        <w:t xml:space="preserve">Minister Transformacji Ekologicznej</w:t>
      </w:r>
    </w:p>
    <w:p w14:paraId="61F03B3D" w14:textId="77777777" w:rsidR="00FF5321" w:rsidRPr="003277B4" w:rsidRDefault="00FF5321">
      <w:pPr>
        <w:suppressAutoHyphens w:val="0"/>
        <w:rPr>
          <w:lang w:eastAsia="fr-FR"/>
        </w:rPr>
      </w:pPr>
    </w:p>
    <w:p w14:paraId="581D71DE" w14:textId="77777777" w:rsidR="00FF5321" w:rsidRPr="003277B4" w:rsidRDefault="00FF5321">
      <w:pPr>
        <w:suppressAutoHyphens w:val="0"/>
        <w:rPr>
          <w:lang w:eastAsia="fr-FR"/>
        </w:rPr>
      </w:pPr>
    </w:p>
    <w:p w14:paraId="7CA64243" w14:textId="77777777" w:rsidR="00FF5321" w:rsidRPr="003277B4" w:rsidRDefault="0078133A">
      <w:pPr>
        <w:suppressAutoHyphens w:val="0"/>
        <w:jc w:val="right"/>
      </w:pPr>
      <w:r>
        <w:t xml:space="preserve">Barbara POMPILI</w:t>
      </w:r>
    </w:p>
    <w:p w14:paraId="114904C5" w14:textId="77777777" w:rsidR="00FF5321" w:rsidRPr="003277B4" w:rsidRDefault="00FF5321">
      <w:pPr>
        <w:suppressAutoHyphens w:val="0"/>
        <w:jc w:val="right"/>
        <w:rPr>
          <w:lang w:eastAsia="fr-FR"/>
        </w:rPr>
      </w:pPr>
    </w:p>
    <w:p w14:paraId="3948B9EE" w14:textId="3DC220BF" w:rsidR="00FF5321" w:rsidRPr="003277B4" w:rsidRDefault="0078133A" w:rsidP="00564508">
      <w:pPr>
        <w:suppressAutoHyphens w:val="0"/>
        <w:ind w:right="4032"/>
      </w:pPr>
      <w:r>
        <w:t xml:space="preserve">Minister oddelegowana przy Minister Transformacji Ekologicznej właściwa ds. transportu</w:t>
      </w:r>
    </w:p>
    <w:p w14:paraId="3611BA6D" w14:textId="77777777" w:rsidR="00FF5321" w:rsidRPr="003277B4" w:rsidRDefault="00FF5321">
      <w:pPr>
        <w:suppressAutoHyphens w:val="0"/>
        <w:rPr>
          <w:lang w:eastAsia="fr-FR"/>
        </w:rPr>
      </w:pPr>
    </w:p>
    <w:p w14:paraId="6129AEB4" w14:textId="2AF7261A" w:rsidR="00FF5321" w:rsidRPr="003277B4" w:rsidRDefault="0078133A" w:rsidP="0078133A">
      <w:pPr>
        <w:suppressAutoHyphens w:val="0"/>
      </w:pPr>
      <w:r>
        <w:t xml:space="preserve">Emmanuelle WARGON</w:t>
      </w:r>
    </w:p>
    <w:sectPr w:rsidR="00FF5321" w:rsidRPr="003277B4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E025D1" w14:textId="77777777" w:rsidR="00AE2648" w:rsidRDefault="00AE2648" w:rsidP="004C2249">
      <w:r>
        <w:separator/>
      </w:r>
    </w:p>
  </w:endnote>
  <w:endnote w:type="continuationSeparator" w:id="0">
    <w:p w14:paraId="6D4AFAE0" w14:textId="77777777" w:rsidR="00AE2648" w:rsidRDefault="00AE2648" w:rsidP="004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 'Times New Roman'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5D978" w14:textId="77777777" w:rsidR="00AE2648" w:rsidRDefault="00AE2648" w:rsidP="004C2249">
      <w:r>
        <w:separator/>
      </w:r>
    </w:p>
  </w:footnote>
  <w:footnote w:type="continuationSeparator" w:id="0">
    <w:p w14:paraId="333ACE6C" w14:textId="77777777" w:rsidR="00AE2648" w:rsidRDefault="00AE2648" w:rsidP="004C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61417"/>
    <w:multiLevelType w:val="hybridMultilevel"/>
    <w:tmpl w:val="11240A9E"/>
    <w:lvl w:ilvl="0" w:tplc="46EC62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44660"/>
    <w:multiLevelType w:val="hybridMultilevel"/>
    <w:tmpl w:val="7EAAA912"/>
    <w:lvl w:ilvl="0" w:tplc="3CC0EA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21"/>
    <w:rsid w:val="00093A8C"/>
    <w:rsid w:val="000A51D1"/>
    <w:rsid w:val="000E5B68"/>
    <w:rsid w:val="00144D22"/>
    <w:rsid w:val="00166E29"/>
    <w:rsid w:val="003157C1"/>
    <w:rsid w:val="003277B4"/>
    <w:rsid w:val="00355D19"/>
    <w:rsid w:val="003D48E8"/>
    <w:rsid w:val="003F1679"/>
    <w:rsid w:val="00425342"/>
    <w:rsid w:val="00426DA9"/>
    <w:rsid w:val="00453C0B"/>
    <w:rsid w:val="0047200C"/>
    <w:rsid w:val="00487E9D"/>
    <w:rsid w:val="004C2249"/>
    <w:rsid w:val="0052541C"/>
    <w:rsid w:val="00544005"/>
    <w:rsid w:val="00564508"/>
    <w:rsid w:val="005816B7"/>
    <w:rsid w:val="0060561A"/>
    <w:rsid w:val="00622B0C"/>
    <w:rsid w:val="006455FC"/>
    <w:rsid w:val="006D7694"/>
    <w:rsid w:val="006E4EB6"/>
    <w:rsid w:val="0078133A"/>
    <w:rsid w:val="007B58F9"/>
    <w:rsid w:val="00834E5E"/>
    <w:rsid w:val="009019C9"/>
    <w:rsid w:val="00936FB4"/>
    <w:rsid w:val="009D5007"/>
    <w:rsid w:val="00A64ECF"/>
    <w:rsid w:val="00AE2648"/>
    <w:rsid w:val="00B40FF8"/>
    <w:rsid w:val="00B41E7E"/>
    <w:rsid w:val="00BB2011"/>
    <w:rsid w:val="00C0605D"/>
    <w:rsid w:val="00C12090"/>
    <w:rsid w:val="00CA5186"/>
    <w:rsid w:val="00CD4C4F"/>
    <w:rsid w:val="00CD630A"/>
    <w:rsid w:val="00DF19CD"/>
    <w:rsid w:val="00E16AF7"/>
    <w:rsid w:val="00E94691"/>
    <w:rsid w:val="00ED40B5"/>
    <w:rsid w:val="00EE77FC"/>
    <w:rsid w:val="00F052DF"/>
    <w:rsid w:val="00F411CA"/>
    <w:rsid w:val="00FF458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86843"/>
  <w15:docId w15:val="{F7FFC9C0-778D-449E-9136-74790765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 w:val="22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basedOn w:val="DefaultParagraphFont"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240" w:after="240"/>
      <w:jc w:val="center"/>
    </w:pPr>
    <w:rPr>
      <w:b/>
    </w:rPr>
  </w:style>
  <w:style w:type="paragraph" w:customStyle="1" w:styleId="Default">
    <w:name w:val="Default"/>
    <w:qFormat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lang w:eastAsia="fr-FR" w:bidi="ar-SA"/>
    </w:rPr>
  </w:style>
  <w:style w:type="paragraph" w:customStyle="1" w:styleId="corpsdetexte">
    <w:name w:val="corps de texte"/>
    <w:basedOn w:val="Normal"/>
    <w:qFormat/>
    <w:pPr>
      <w:suppressAutoHyphens w:val="0"/>
      <w:spacing w:after="240"/>
      <w:ind w:firstLine="709"/>
      <w:jc w:val="both"/>
    </w:pPr>
    <w:rPr>
      <w:lang w:eastAsia="fr-FR" w:bidi="ar-SA"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ECF"/>
    <w:rPr>
      <w:rFonts w:ascii="Times New Roman" w:eastAsia="Times New Roman" w:hAnsi="Times New Roman" w:cs="Mangal"/>
      <w:b/>
      <w:bCs/>
      <w:kern w:val="2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CD4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74AE2-E9F1-44C5-9FBF-BBE43FA1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DOZIERES Alexandre</dc:creator>
  <dc:description/>
  <cp:lastModifiedBy>Liu, Lei</cp:lastModifiedBy>
  <cp:revision>7</cp:revision>
  <dcterms:created xsi:type="dcterms:W3CDTF">2020-12-30T13:00:00Z</dcterms:created>
  <dcterms:modified xsi:type="dcterms:W3CDTF">2021-01-18T02:25:00Z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