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390" w:type="dxa"/>
        <w:tblInd w:w="108" w:type="dxa"/>
        <w:tblLayout w:type="fixed"/>
        <w:tblLook w:val="0000" w:firstRow="0" w:lastRow="0" w:firstColumn="0" w:lastColumn="0" w:noHBand="0" w:noVBand="0"/>
      </w:tblPr>
      <w:tblGrid>
        <w:gridCol w:w="4973"/>
        <w:gridCol w:w="4417"/>
      </w:tblGrid>
      <w:tr w:rsidR="002D7106" w14:paraId="3F99993F" w14:textId="77777777" w:rsidTr="0073759D">
        <w:tc>
          <w:tcPr>
            <w:tcW w:w="9390" w:type="dxa"/>
            <w:gridSpan w:val="2"/>
            <w:shd w:val="clear" w:color="auto" w:fill="auto"/>
          </w:tcPr>
          <w:p w14:paraId="2194080D" w14:textId="04E9B5EB" w:rsidR="002D7106" w:rsidRDefault="006E6B03">
            <w:pPr>
              <w:rPr>
                <w:b/>
              </w:rPr>
            </w:pPr>
            <w:r>
              <w:rPr>
                <w:noProof/>
              </w:rPr>
              <w:drawing>
                <wp:inline distT="0" distB="0" distL="0" distR="0" wp14:anchorId="23F71BCF" wp14:editId="563330F3">
                  <wp:extent cx="428625"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solidFill>
                            <a:srgbClr val="FFFFFF"/>
                          </a:solidFill>
                          <a:ln>
                            <a:noFill/>
                          </a:ln>
                        </pic:spPr>
                      </pic:pic>
                    </a:graphicData>
                  </a:graphic>
                </wp:inline>
              </w:drawing>
            </w:r>
          </w:p>
          <w:p w14:paraId="4705ABB8" w14:textId="06F6EBCF" w:rsidR="002D7106" w:rsidRDefault="007145A4">
            <w:pPr>
              <w:spacing w:line="340" w:lineRule="exact"/>
            </w:pPr>
            <w:r>
              <w:rPr>
                <w:b/>
                <w:noProof/>
              </w:rPr>
              <mc:AlternateContent>
                <mc:Choice Requires="wps">
                  <w:drawing>
                    <wp:anchor distT="0" distB="0" distL="114300" distR="114300" simplePos="0" relativeHeight="251659264" behindDoc="0" locked="0" layoutInCell="1" allowOverlap="1" wp14:anchorId="49C1277C" wp14:editId="2E5D50BE">
                      <wp:simplePos x="0" y="0"/>
                      <wp:positionH relativeFrom="column">
                        <wp:posOffset>497434</wp:posOffset>
                      </wp:positionH>
                      <wp:positionV relativeFrom="paragraph">
                        <wp:posOffset>226543</wp:posOffset>
                      </wp:positionV>
                      <wp:extent cx="1473225" cy="558165"/>
                      <wp:effectExtent l="0" t="0" r="0" b="0"/>
                      <wp:wrapNone/>
                      <wp:docPr id="3" name="Text Box 3"/>
                      <wp:cNvGraphicFramePr/>
                      <a:graphic xmlns:a="http://schemas.openxmlformats.org/drawingml/2006/main">
                        <a:graphicData uri="http://schemas.microsoft.com/office/word/2010/wordprocessingShape">
                          <wps:wsp>
                            <wps:cNvSpPr txBox="1"/>
                            <wps:spPr>
                              <a:xfrm>
                                <a:off x="0" y="0"/>
                                <a:ext cx="1473225" cy="558165"/>
                              </a:xfrm>
                              <a:prstGeom prst="rect">
                                <a:avLst/>
                              </a:prstGeom>
                              <a:solidFill>
                                <a:schemeClr val="lt1"/>
                              </a:solidFill>
                              <a:ln w="6350">
                                <a:noFill/>
                              </a:ln>
                            </wps:spPr>
                            <wps:txbx>
                              <w:txbxContent>
                                <w:p w14:paraId="0230C0CC" w14:textId="5653554F" w:rsidR="007145A4" w:rsidRPr="007145A4" w:rsidRDefault="007145A4" w:rsidP="007145A4">
                                  <w:pPr>
                                    <w:ind w:left="180"/>
                                    <w:rPr>
                                      <w:rFonts w:asciiTheme="minorHAnsi" w:hAnsiTheme="minorHAnsi" w:cstheme="minorHAnsi"/>
                                      <w:b/>
                                      <w:bCs/>
                                      <w:color w:val="001B58"/>
                                      <w:sz w:val="24"/>
                                      <w:szCs w:val="24"/>
                                    </w:rPr>
                                  </w:pPr>
                                  <w:r>
                                    <w:rPr>
                                      <w:rFonts w:asciiTheme="minorHAnsi" w:hAnsiTheme="minorHAnsi"/>
                                      <w:b/>
                                      <w:color w:val="001B58"/>
                                      <w:sz w:val="24"/>
                                    </w:rPr>
                                    <w:t>НОПП</w:t>
                                  </w:r>
                                </w:p>
                                <w:p w14:paraId="45127187" w14:textId="73FC6D8F" w:rsidR="007145A4" w:rsidRPr="007145A4" w:rsidRDefault="007145A4" w:rsidP="007145A4">
                                  <w:pPr>
                                    <w:ind w:left="180"/>
                                    <w:rPr>
                                      <w:rFonts w:asciiTheme="minorHAnsi" w:hAnsiTheme="minorHAnsi" w:cstheme="minorHAnsi"/>
                                      <w:color w:val="001B58"/>
                                    </w:rPr>
                                  </w:pPr>
                                  <w:r>
                                    <w:rPr>
                                      <w:rFonts w:asciiTheme="minorHAnsi" w:hAnsiTheme="minorHAnsi"/>
                                      <w:color w:val="001B58"/>
                                    </w:rPr>
                                    <w:t>Независим орган</w:t>
                                  </w:r>
                                  <w:r>
                                    <w:rPr>
                                      <w:rFonts w:asciiTheme="minorHAnsi" w:hAnsiTheme="minorHAnsi"/>
                                      <w:color w:val="001B58"/>
                                    </w:rPr>
                                    <w:br/>
                                    <w:t>за публични приходи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9C1277C" id="_x0000_t202" coordsize="21600,21600" o:spt="202" path="m,l,21600r21600,l21600,xe">
                      <v:stroke joinstyle="miter"/>
                      <v:path gradientshapeok="t" o:connecttype="rect"/>
                    </v:shapetype>
                    <v:shape id="Text Box 3" o:spid="_x0000_s1026" type="#_x0000_t202" style="position:absolute;margin-left:39.15pt;margin-top:17.85pt;width:116pt;height:4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bGIgIAAEQEAAAOAAAAZHJzL2Uyb0RvYy54bWysU8Fu2zAMvQ/YPwi6L07SJSuMOEWWIsOA&#10;oi2QDj0rspQYkEWNUmJnXz9KtpOt22nYRaZM8ol8fFzctbVhJ4W+AlvwyWjMmbISysruC/7tZfPh&#10;ljMfhC2FAasKflae3y3fv1s0LldTOIApFTICsT5vXMEPIbg8y7w8qFr4EThlyakBaxHoivusRNEQ&#10;em2y6Xg8zxrA0iFI5T39ve+cfJnwtVYyPGntVWCm4FRbSCemcxfPbLkQ+R6FO1SyL0P8QxW1qCw9&#10;eoG6F0GwI1Z/QNWVRPCgw0hCnYHWlVSpB+pmMn7TzfYgnEq9EDneXWjy/w9WPp627hlZaD9DSwOM&#10;hDTO555+xn5ajXX8UqWM/ETh+UKbagOTMenjp5vpdMaZJN9sdjuZzyJMds126MMXBTWLRsGRxpLY&#10;EqcHH7rQISQ+5sFU5aYyJl2iFNTaIDsJGqIJqUYC/y3KWNYUfH4zGydgCzG9QzaWarn2FK3Q7tq+&#10;0R2UZ+ofoZOGd3JTUZEPwodngaQFapn0HZ7o0AboEegtzg6AP/72P8bTiMjLWUPaKrj/fhSoODNf&#10;LQ0vCnEwcDB2g2GP9Rqo0wltjpPJpAQMZjA1Qv1Ksl/FV8glrKS3Ch4Gcx06hdPaSLVapSCSmxPh&#10;wW6djNCR2Uj5S/sq0PVzCTTRRxhUJ/I34+liY6aF1TGArtLsIqEdiz3PJNU0/X6t4i78ek9R1+Vf&#10;/gQAAP//AwBQSwMEFAAGAAgAAAAhAI8LQ+zgAAAACQEAAA8AAABkcnMvZG93bnJldi54bWxMj8FO&#10;wzAMhu9IvENkJC6IpVuhrUrTCZA4IIEQA+3sNaEtS5zSZFvH02NOcLT/T78/V8vJWbE3Y+g9KZjP&#10;EhCGGq97ahW8vz1cFiBCRNJoPRkFRxNgWZ+eVFhqf6BXs1/FVnAJhRIVdDEOpZSh6YzDMPODIc4+&#10;/Ogw8ji2Uo944HJn5SJJMumwJ77Q4WDuO9NsVzunoDhePV+ss3z9aV8e77rv9ouetqjU+dl0ewMi&#10;min+wfCrz+pQs9PG70gHYRXkRcqkgvQ6B8F5Ok94sWFwkWYg60r+/6D+AQAA//8DAFBLAQItABQA&#10;BgAIAAAAIQC2gziS/gAAAOEBAAATAAAAAAAAAAAAAAAAAAAAAABbQ29udGVudF9UeXBlc10ueG1s&#10;UEsBAi0AFAAGAAgAAAAhADj9If/WAAAAlAEAAAsAAAAAAAAAAAAAAAAALwEAAF9yZWxzLy5yZWxz&#10;UEsBAi0AFAAGAAgAAAAhABlK5sYiAgAARAQAAA4AAAAAAAAAAAAAAAAALgIAAGRycy9lMm9Eb2Mu&#10;eG1sUEsBAi0AFAAGAAgAAAAhAI8LQ+zgAAAACQEAAA8AAAAAAAAAAAAAAAAAfAQAAGRycy9kb3du&#10;cmV2LnhtbFBLBQYAAAAABAAEAPMAAACJBQAAAAA=&#10;" fillcolor="white [3201]" stroked="f" strokeweight=".5pt">
                      <v:textbox inset="0,0,0,0">
                        <w:txbxContent>
                          <w:p w14:paraId="0230C0CC" w14:textId="5653554F" w:rsidR="007145A4" w:rsidRPr="007145A4" w:rsidRDefault="007145A4" w:rsidP="007145A4">
                            <w:pPr>
                              <w:ind w:left="180"/>
                              <w:rPr>
                                <w:rFonts w:asciiTheme="minorHAnsi" w:hAnsiTheme="minorHAnsi" w:cstheme="minorHAnsi"/>
                                <w:b/>
                                <w:bCs/>
                                <w:color w:val="001B58"/>
                                <w:sz w:val="24"/>
                                <w:szCs w:val="24"/>
                              </w:rPr>
                            </w:pPr>
                            <w:r>
                              <w:rPr>
                                <w:rFonts w:asciiTheme="minorHAnsi" w:hAnsiTheme="minorHAnsi"/>
                                <w:b/>
                                <w:color w:val="001B58"/>
                                <w:sz w:val="24"/>
                              </w:rPr>
                              <w:t>НОПП</w:t>
                            </w:r>
                          </w:p>
                          <w:p w14:paraId="45127187" w14:textId="73FC6D8F" w:rsidR="007145A4" w:rsidRPr="007145A4" w:rsidRDefault="007145A4" w:rsidP="007145A4">
                            <w:pPr>
                              <w:ind w:left="180"/>
                              <w:rPr>
                                <w:rFonts w:asciiTheme="minorHAnsi" w:hAnsiTheme="minorHAnsi" w:cstheme="minorHAnsi"/>
                                <w:color w:val="001B58"/>
                              </w:rPr>
                            </w:pPr>
                            <w:r>
                              <w:rPr>
                                <w:rFonts w:asciiTheme="minorHAnsi" w:hAnsiTheme="minorHAnsi"/>
                                <w:color w:val="001B58"/>
                              </w:rPr>
                              <w:t>Независим орган</w:t>
                            </w:r>
                            <w:r>
                              <w:rPr>
                                <w:rFonts w:asciiTheme="minorHAnsi" w:hAnsiTheme="minorHAnsi"/>
                                <w:color w:val="001B58"/>
                              </w:rPr>
                              <w:br/>
                              <w:t>за публични приходи</w:t>
                            </w:r>
                          </w:p>
                        </w:txbxContent>
                      </v:textbox>
                    </v:shape>
                  </w:pict>
                </mc:Fallback>
              </mc:AlternateContent>
            </w:r>
            <w:r>
              <w:rPr>
                <w:b/>
              </w:rPr>
              <w:t>РЕПУБЛИКА ГЪРЦИЯ</w:t>
            </w:r>
            <w:r>
              <w:rPr>
                <w:noProof/>
              </w:rPr>
              <w:drawing>
                <wp:anchor distT="0" distB="0" distL="114300" distR="114300" simplePos="0" relativeHeight="251657728" behindDoc="1" locked="0" layoutInCell="1" allowOverlap="1" wp14:anchorId="59F28E1E" wp14:editId="2C6C9E0C">
                  <wp:simplePos x="0" y="0"/>
                  <wp:positionH relativeFrom="column">
                    <wp:posOffset>-33655</wp:posOffset>
                  </wp:positionH>
                  <wp:positionV relativeFrom="paragraph">
                    <wp:posOffset>227965</wp:posOffset>
                  </wp:positionV>
                  <wp:extent cx="2007235" cy="5581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7235"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2D7106" w14:paraId="38FB1E5C" w14:textId="77777777" w:rsidTr="0073759D">
        <w:tc>
          <w:tcPr>
            <w:tcW w:w="9390" w:type="dxa"/>
            <w:gridSpan w:val="2"/>
            <w:shd w:val="clear" w:color="auto" w:fill="auto"/>
          </w:tcPr>
          <w:p w14:paraId="0298D2D8" w14:textId="77777777" w:rsidR="002D7106" w:rsidRDefault="006E6B03">
            <w:pPr>
              <w:spacing w:line="340" w:lineRule="exact"/>
            </w:pPr>
            <w:r>
              <w:rPr>
                <w:b/>
              </w:rPr>
              <w:t>ГЕНЕРАЛНА ДИРЕКЦИЯ НА ГЛАВНАТА ДЪРЖАВНА ХИМИЧЕСКА ЛАБОРАТОРИЯ (ГДХЛ)</w:t>
            </w:r>
          </w:p>
          <w:p w14:paraId="3BDD4A7D" w14:textId="77777777" w:rsidR="002D7106" w:rsidRDefault="006E6B03">
            <w:pPr>
              <w:spacing w:line="340" w:lineRule="exact"/>
            </w:pPr>
            <w:r>
              <w:rPr>
                <w:b/>
              </w:rPr>
              <w:t>Дирекция „Енергетика, промишлени и химически продукти“</w:t>
            </w:r>
          </w:p>
          <w:p w14:paraId="337F62B9" w14:textId="3C80CF64" w:rsidR="002D7106" w:rsidRDefault="00CD7716">
            <w:pPr>
              <w:spacing w:line="340" w:lineRule="exact"/>
            </w:pPr>
            <w:r>
              <w:rPr>
                <w:b/>
              </w:rPr>
              <w:t>Отдел Б — Химически продукти</w:t>
            </w:r>
          </w:p>
        </w:tc>
      </w:tr>
      <w:tr w:rsidR="002D7106" w14:paraId="68DF052B" w14:textId="77777777" w:rsidTr="0073759D">
        <w:tc>
          <w:tcPr>
            <w:tcW w:w="4973" w:type="dxa"/>
            <w:shd w:val="clear" w:color="auto" w:fill="auto"/>
          </w:tcPr>
          <w:p w14:paraId="14C89062" w14:textId="77777777" w:rsidR="002D7106" w:rsidRDefault="002D7106">
            <w:pPr>
              <w:rPr>
                <w:b/>
              </w:rPr>
            </w:pPr>
          </w:p>
        </w:tc>
        <w:tc>
          <w:tcPr>
            <w:tcW w:w="4417" w:type="dxa"/>
            <w:shd w:val="clear" w:color="auto" w:fill="auto"/>
          </w:tcPr>
          <w:p w14:paraId="6D57B4B9" w14:textId="69FE398D" w:rsidR="002D7106" w:rsidRDefault="006E6B03">
            <w:pPr>
              <w:spacing w:line="340" w:lineRule="exact"/>
              <w:jc w:val="both"/>
            </w:pPr>
            <w:r>
              <w:rPr>
                <w:b/>
              </w:rPr>
              <w:t>Атина, 19.12.2022 г.</w:t>
            </w:r>
          </w:p>
          <w:p w14:paraId="58BD1517" w14:textId="07B5F17F" w:rsidR="002D7106" w:rsidRDefault="006E6B03">
            <w:pPr>
              <w:spacing w:line="340" w:lineRule="exact"/>
              <w:jc w:val="both"/>
            </w:pPr>
            <w:r>
              <w:rPr>
                <w:b/>
              </w:rPr>
              <w:t xml:space="preserve">Протокол № 30/004/000/1693 </w:t>
            </w:r>
          </w:p>
        </w:tc>
      </w:tr>
      <w:tr w:rsidR="002D7106" w14:paraId="03712E77" w14:textId="77777777" w:rsidTr="0073759D">
        <w:tc>
          <w:tcPr>
            <w:tcW w:w="4973" w:type="dxa"/>
            <w:shd w:val="clear" w:color="auto" w:fill="auto"/>
          </w:tcPr>
          <w:p w14:paraId="4ED63F73" w14:textId="492DB4FC" w:rsidR="002D7106" w:rsidRDefault="006E6B03">
            <w:pPr>
              <w:spacing w:line="340" w:lineRule="exact"/>
              <w:jc w:val="both"/>
            </w:pPr>
            <w:r>
              <w:rPr>
                <w:b/>
              </w:rPr>
              <w:t>Адрес: 16, An. Tsocha str., 115 21 Athens</w:t>
            </w:r>
          </w:p>
        </w:tc>
        <w:tc>
          <w:tcPr>
            <w:tcW w:w="4417" w:type="dxa"/>
            <w:shd w:val="clear" w:color="auto" w:fill="auto"/>
          </w:tcPr>
          <w:p w14:paraId="0C4D1026" w14:textId="77777777" w:rsidR="002D7106" w:rsidRDefault="002D7106">
            <w:pPr>
              <w:spacing w:line="340" w:lineRule="exact"/>
              <w:jc w:val="both"/>
              <w:rPr>
                <w:b/>
                <w:bCs/>
              </w:rPr>
            </w:pPr>
          </w:p>
        </w:tc>
      </w:tr>
      <w:tr w:rsidR="002D7106" w14:paraId="773B038D" w14:textId="77777777" w:rsidTr="0073759D">
        <w:tc>
          <w:tcPr>
            <w:tcW w:w="4973" w:type="dxa"/>
            <w:shd w:val="clear" w:color="auto" w:fill="auto"/>
          </w:tcPr>
          <w:p w14:paraId="28104899" w14:textId="34A0F3E3" w:rsidR="002D7106" w:rsidRDefault="006E6B03">
            <w:pPr>
              <w:spacing w:line="340" w:lineRule="exact"/>
              <w:jc w:val="both"/>
            </w:pPr>
            <w:r>
              <w:rPr>
                <w:b/>
              </w:rPr>
              <w:t>Информация: Elli – Maria Apergi</w:t>
            </w:r>
          </w:p>
        </w:tc>
        <w:tc>
          <w:tcPr>
            <w:tcW w:w="4417" w:type="dxa"/>
            <w:shd w:val="clear" w:color="auto" w:fill="auto"/>
          </w:tcPr>
          <w:p w14:paraId="13BDE65C" w14:textId="77777777" w:rsidR="002D7106" w:rsidRDefault="006E6B03">
            <w:pPr>
              <w:spacing w:line="340" w:lineRule="exact"/>
              <w:jc w:val="both"/>
            </w:pPr>
            <w:r>
              <w:rPr>
                <w:b/>
                <w:u w:val="single"/>
              </w:rPr>
              <w:t>До</w:t>
            </w:r>
          </w:p>
        </w:tc>
      </w:tr>
      <w:tr w:rsidR="002D7106" w14:paraId="4B336E39" w14:textId="77777777" w:rsidTr="0073759D">
        <w:tc>
          <w:tcPr>
            <w:tcW w:w="4973" w:type="dxa"/>
            <w:shd w:val="clear" w:color="auto" w:fill="auto"/>
          </w:tcPr>
          <w:p w14:paraId="2E0437E7" w14:textId="640105AF" w:rsidR="002D7106" w:rsidRDefault="006E6B03">
            <w:pPr>
              <w:spacing w:line="340" w:lineRule="exact"/>
              <w:jc w:val="both"/>
            </w:pPr>
            <w:r>
              <w:rPr>
                <w:b/>
              </w:rPr>
              <w:t>Тел.: 210 6479406</w:t>
            </w:r>
          </w:p>
        </w:tc>
        <w:tc>
          <w:tcPr>
            <w:tcW w:w="4417" w:type="dxa"/>
            <w:shd w:val="clear" w:color="auto" w:fill="auto"/>
          </w:tcPr>
          <w:p w14:paraId="72E1602C" w14:textId="77777777" w:rsidR="002D7106" w:rsidRDefault="006E6B03">
            <w:pPr>
              <w:spacing w:line="340" w:lineRule="exact"/>
              <w:jc w:val="both"/>
            </w:pPr>
            <w:r>
              <w:rPr>
                <w:b/>
              </w:rPr>
              <w:t>Върховен съвет по химикалите</w:t>
            </w:r>
          </w:p>
        </w:tc>
      </w:tr>
      <w:tr w:rsidR="002D7106" w:rsidRPr="00424FBE" w14:paraId="798B3D59" w14:textId="77777777" w:rsidTr="0073759D">
        <w:tc>
          <w:tcPr>
            <w:tcW w:w="4973" w:type="dxa"/>
            <w:shd w:val="clear" w:color="auto" w:fill="auto"/>
          </w:tcPr>
          <w:p w14:paraId="0F184C76" w14:textId="77777777" w:rsidR="002D7106" w:rsidRPr="00424FBE" w:rsidRDefault="006E6B03">
            <w:pPr>
              <w:spacing w:line="340" w:lineRule="exact"/>
              <w:jc w:val="both"/>
            </w:pPr>
            <w:r>
              <w:rPr>
                <w:b/>
              </w:rPr>
              <w:t xml:space="preserve">електронна поща: </w:t>
            </w:r>
            <w:hyperlink r:id="rId7" w:history="1">
              <w:r>
                <w:rPr>
                  <w:b/>
                </w:rPr>
                <w:t>e.dima@aade.gr</w:t>
              </w:r>
            </w:hyperlink>
            <w:r>
              <w:rPr>
                <w:b/>
              </w:rPr>
              <w:t xml:space="preserve">, </w:t>
            </w:r>
            <w:hyperlink r:id="rId8" w:history="1">
              <w:r>
                <w:rPr>
                  <w:b/>
                </w:rPr>
                <w:t>e.apergi@aade.gr</w:t>
              </w:r>
            </w:hyperlink>
            <w:r>
              <w:rPr>
                <w:b/>
              </w:rPr>
              <w:t xml:space="preserve"> </w:t>
            </w:r>
          </w:p>
        </w:tc>
        <w:tc>
          <w:tcPr>
            <w:tcW w:w="4417" w:type="dxa"/>
            <w:shd w:val="clear" w:color="auto" w:fill="auto"/>
          </w:tcPr>
          <w:p w14:paraId="323A16D8" w14:textId="77777777" w:rsidR="002D7106" w:rsidRPr="00424FBE" w:rsidRDefault="002D7106">
            <w:pPr>
              <w:spacing w:line="340" w:lineRule="exact"/>
              <w:jc w:val="both"/>
              <w:rPr>
                <w:b/>
                <w:bCs/>
                <w:lang w:val="it-IT"/>
              </w:rPr>
            </w:pPr>
          </w:p>
        </w:tc>
      </w:tr>
      <w:tr w:rsidR="002D7106" w14:paraId="25757648" w14:textId="77777777" w:rsidTr="0073759D">
        <w:tc>
          <w:tcPr>
            <w:tcW w:w="4973" w:type="dxa"/>
            <w:shd w:val="clear" w:color="auto" w:fill="auto"/>
          </w:tcPr>
          <w:p w14:paraId="6DBD7A36" w14:textId="77777777" w:rsidR="002D7106" w:rsidRPr="00424FBE" w:rsidRDefault="002D7106">
            <w:pPr>
              <w:spacing w:line="340" w:lineRule="exact"/>
              <w:jc w:val="both"/>
              <w:rPr>
                <w:b/>
                <w:bCs/>
                <w:lang w:val="it-IT"/>
              </w:rPr>
            </w:pPr>
          </w:p>
        </w:tc>
        <w:tc>
          <w:tcPr>
            <w:tcW w:w="4417" w:type="dxa"/>
            <w:shd w:val="clear" w:color="auto" w:fill="auto"/>
          </w:tcPr>
          <w:p w14:paraId="190665A0" w14:textId="77777777" w:rsidR="002D7106" w:rsidRDefault="006E6B03">
            <w:pPr>
              <w:spacing w:line="340" w:lineRule="exact"/>
              <w:jc w:val="both"/>
            </w:pPr>
            <w:r>
              <w:rPr>
                <w:b/>
                <w:u w:val="single"/>
              </w:rPr>
              <w:t>Вътрешно разпространение:</w:t>
            </w:r>
          </w:p>
        </w:tc>
      </w:tr>
      <w:tr w:rsidR="002D7106" w14:paraId="068164B0" w14:textId="77777777" w:rsidTr="0073759D">
        <w:tc>
          <w:tcPr>
            <w:tcW w:w="4973" w:type="dxa"/>
            <w:shd w:val="clear" w:color="auto" w:fill="auto"/>
          </w:tcPr>
          <w:p w14:paraId="264762C1" w14:textId="77777777" w:rsidR="002D7106" w:rsidRDefault="002D7106">
            <w:pPr>
              <w:spacing w:line="340" w:lineRule="exact"/>
              <w:jc w:val="both"/>
              <w:rPr>
                <w:b/>
                <w:bCs/>
              </w:rPr>
            </w:pPr>
          </w:p>
        </w:tc>
        <w:tc>
          <w:tcPr>
            <w:tcW w:w="4417" w:type="dxa"/>
            <w:shd w:val="clear" w:color="auto" w:fill="auto"/>
          </w:tcPr>
          <w:p w14:paraId="1BA43B3D" w14:textId="46244341" w:rsidR="002D7106" w:rsidRDefault="006E6B03">
            <w:pPr>
              <w:spacing w:line="340" w:lineRule="exact"/>
              <w:jc w:val="both"/>
            </w:pPr>
            <w:r>
              <w:rPr>
                <w:b/>
              </w:rPr>
              <w:t>1. Служба на ръководителя на генералната дирекция на ГДХЛ</w:t>
            </w:r>
          </w:p>
        </w:tc>
      </w:tr>
      <w:tr w:rsidR="00301A8E" w14:paraId="7CC59617" w14:textId="77777777" w:rsidTr="0073759D">
        <w:tc>
          <w:tcPr>
            <w:tcW w:w="4973" w:type="dxa"/>
            <w:shd w:val="clear" w:color="auto" w:fill="auto"/>
          </w:tcPr>
          <w:p w14:paraId="2D005907" w14:textId="77777777" w:rsidR="00301A8E" w:rsidRDefault="00301A8E">
            <w:pPr>
              <w:spacing w:line="340" w:lineRule="exact"/>
              <w:jc w:val="both"/>
              <w:rPr>
                <w:b/>
                <w:bCs/>
              </w:rPr>
            </w:pPr>
          </w:p>
        </w:tc>
        <w:tc>
          <w:tcPr>
            <w:tcW w:w="4417" w:type="dxa"/>
            <w:vMerge w:val="restart"/>
            <w:shd w:val="clear" w:color="auto" w:fill="auto"/>
          </w:tcPr>
          <w:p w14:paraId="01643804" w14:textId="766E70E2" w:rsidR="00301A8E" w:rsidRDefault="00301A8E" w:rsidP="00301A8E">
            <w:pPr>
              <w:spacing w:line="340" w:lineRule="exact"/>
              <w:ind w:right="555"/>
            </w:pPr>
            <w:r>
              <w:rPr>
                <w:b/>
                <w:u w:val="single"/>
              </w:rPr>
              <w:t>2. Дирекция „Енергетика, промишлени и химически продукти“</w:t>
            </w:r>
          </w:p>
        </w:tc>
      </w:tr>
      <w:tr w:rsidR="00301A8E" w14:paraId="3BC2082F" w14:textId="77777777" w:rsidTr="0073759D">
        <w:tc>
          <w:tcPr>
            <w:tcW w:w="4973" w:type="dxa"/>
            <w:shd w:val="clear" w:color="auto" w:fill="auto"/>
          </w:tcPr>
          <w:p w14:paraId="431BE9BE" w14:textId="77777777" w:rsidR="00301A8E" w:rsidRDefault="00301A8E">
            <w:pPr>
              <w:spacing w:line="340" w:lineRule="exact"/>
              <w:jc w:val="both"/>
              <w:rPr>
                <w:b/>
                <w:bCs/>
              </w:rPr>
            </w:pPr>
          </w:p>
        </w:tc>
        <w:tc>
          <w:tcPr>
            <w:tcW w:w="4417" w:type="dxa"/>
            <w:vMerge/>
            <w:shd w:val="clear" w:color="auto" w:fill="auto"/>
          </w:tcPr>
          <w:p w14:paraId="20E2E6EE" w14:textId="3EEBDCE3" w:rsidR="00301A8E" w:rsidRDefault="00301A8E">
            <w:pPr>
              <w:spacing w:line="340" w:lineRule="exact"/>
              <w:jc w:val="both"/>
            </w:pPr>
          </w:p>
        </w:tc>
      </w:tr>
    </w:tbl>
    <w:p w14:paraId="1DC0D71B" w14:textId="77777777" w:rsidR="002D7106" w:rsidRDefault="002D7106">
      <w:pPr>
        <w:spacing w:line="340" w:lineRule="exact"/>
        <w:jc w:val="both"/>
        <w:rPr>
          <w:b/>
        </w:rPr>
      </w:pPr>
    </w:p>
    <w:p w14:paraId="0A08ED18" w14:textId="4AEE2B02" w:rsidR="002D7106" w:rsidRDefault="006E6B03">
      <w:pPr>
        <w:spacing w:line="340" w:lineRule="exact"/>
        <w:jc w:val="both"/>
      </w:pPr>
      <w:r>
        <w:rPr>
          <w:b/>
        </w:rPr>
        <w:t>Относно</w:t>
      </w:r>
      <w:r>
        <w:t xml:space="preserve">: </w:t>
      </w:r>
      <w:r>
        <w:rPr>
          <w:b/>
        </w:rPr>
        <w:t xml:space="preserve">Определяне на мерки за контрол и санкции във връзка с прилагането на Регламент (ЕО) № 1907/2006 на Европейския парламент и на Съвета </w:t>
      </w:r>
      <w:bookmarkStart w:id="0" w:name="_Hlk122350013"/>
      <w:bookmarkEnd w:id="0"/>
    </w:p>
    <w:p w14:paraId="137C73BC" w14:textId="77777777" w:rsidR="002D7106" w:rsidRDefault="002D7106">
      <w:pPr>
        <w:spacing w:before="120" w:after="120" w:line="276" w:lineRule="auto"/>
        <w:jc w:val="both"/>
      </w:pPr>
    </w:p>
    <w:p w14:paraId="2870A7C0" w14:textId="77777777" w:rsidR="002D7106" w:rsidRDefault="006E6B03">
      <w:pPr>
        <w:spacing w:before="120" w:after="120" w:line="276" w:lineRule="auto"/>
        <w:jc w:val="both"/>
      </w:pPr>
      <w:r>
        <w:t>Като се има предвид, че:</w:t>
      </w:r>
    </w:p>
    <w:p w14:paraId="04E029ED" w14:textId="2351B195" w:rsidR="002D7106" w:rsidRDefault="006E6B03">
      <w:pPr>
        <w:numPr>
          <w:ilvl w:val="0"/>
          <w:numId w:val="5"/>
        </w:numPr>
        <w:spacing w:before="120" w:after="120" w:line="276" w:lineRule="auto"/>
        <w:contextualSpacing/>
        <w:jc w:val="both"/>
      </w:pPr>
      <w:r>
        <w:t xml:space="preserve">Регламент (ЕО) № 1907/2006 на Европейския парламент и на Съвета относно регистрацията, оценката, разрешаването и ограничаването на химикали (REACH) беше приет с цел по-добра защита на човешкото здраве и околната среда от рисковете, свързани с химикалите, и повишаване на конкурентоспособността на химическата промишленост на ЕС. Той също така насърчава алтернативни методи за оценка на риска от вещества с цел намаляване на броя на изпитванията, извършвани върху животни. </w:t>
      </w:r>
    </w:p>
    <w:p w14:paraId="26B50CEA" w14:textId="1C3C196E" w:rsidR="002D7106" w:rsidRDefault="006E6B03">
      <w:pPr>
        <w:numPr>
          <w:ilvl w:val="0"/>
          <w:numId w:val="5"/>
        </w:numPr>
        <w:spacing w:before="120" w:after="120" w:line="276" w:lineRule="auto"/>
        <w:contextualSpacing/>
        <w:jc w:val="both"/>
      </w:pPr>
      <w:r>
        <w:t>Дирекция „Енергетика, промишленост и химически продукти“ е определена с Решение № 3013966/2726/2007 на държавния секретар по икономическите въпроси и финансите като национален компетентен орган за прилагането на разпоредбите на горепосочения регламент;</w:t>
      </w:r>
    </w:p>
    <w:p w14:paraId="0ABD401B" w14:textId="7BBABE52" w:rsidR="002D7106" w:rsidRDefault="006E6B03">
      <w:pPr>
        <w:numPr>
          <w:ilvl w:val="0"/>
          <w:numId w:val="5"/>
        </w:numPr>
        <w:spacing w:before="120" w:after="120" w:line="276" w:lineRule="auto"/>
        <w:contextualSpacing/>
        <w:jc w:val="both"/>
      </w:pPr>
      <w:r>
        <w:t>Впоследствие, въз основа на правомощието, предоставено с членове 125 и 126 от регламента, с Решение № 450/2008 (Β΄ 2553) на държавния секретар по икономическите въпроси и финансите са въведени мерки за контрол във връзка с прилагането на регламента, а с Решение № 82/2009 (Β΄ 581) на държавния секретар по икономическите въпроси и финансите са предвидени санкции.</w:t>
      </w:r>
    </w:p>
    <w:p w14:paraId="19511025" w14:textId="2BB062A2" w:rsidR="002D7106" w:rsidRDefault="006E6B03">
      <w:pPr>
        <w:numPr>
          <w:ilvl w:val="0"/>
          <w:numId w:val="5"/>
        </w:numPr>
        <w:spacing w:before="120" w:after="120" w:line="276" w:lineRule="auto"/>
        <w:contextualSpacing/>
        <w:jc w:val="both"/>
      </w:pPr>
      <w:r>
        <w:t>Измина повече от десетилетие от изготвянето на горепосочените решения, през което време се промениха икономическата и социалната среда.</w:t>
      </w:r>
    </w:p>
    <w:p w14:paraId="55E52818" w14:textId="77777777" w:rsidR="002D7106" w:rsidRDefault="002D7106">
      <w:pPr>
        <w:spacing w:before="120" w:after="120" w:line="276" w:lineRule="auto"/>
        <w:contextualSpacing/>
        <w:jc w:val="both"/>
      </w:pPr>
    </w:p>
    <w:p w14:paraId="533FF397" w14:textId="31773D5F" w:rsidR="002D7106" w:rsidRDefault="006E6B03">
      <w:pPr>
        <w:spacing w:before="120" w:after="120" w:line="276" w:lineRule="auto"/>
        <w:jc w:val="both"/>
      </w:pPr>
      <w:r>
        <w:rPr>
          <w:b/>
        </w:rPr>
        <w:t>Необходимо е да се актуализират мерките за контрол и санкциите във връзка с прилагането на Регламент (ЕО) № 1907/2006 на Европейския парламент и на Съвета.</w:t>
      </w:r>
    </w:p>
    <w:p w14:paraId="5770BDA6" w14:textId="77777777" w:rsidR="002D7106" w:rsidRDefault="006E6B03">
      <w:pPr>
        <w:spacing w:before="120" w:after="120" w:line="276" w:lineRule="auto"/>
        <w:jc w:val="both"/>
      </w:pPr>
      <w:r>
        <w:lastRenderedPageBreak/>
        <w:t>С проекта на новото решение се консолидират в единен текст мерките за контрол и санкциите във връзка с прилагането на регламента, за да се улеснят всички заинтересовани страни, като същевременно се изяснят процедурите за контрол и се модернизират административните санкции.</w:t>
      </w:r>
    </w:p>
    <w:p w14:paraId="1B286252" w14:textId="77777777" w:rsidR="002D7106" w:rsidRDefault="006E6B03">
      <w:pPr>
        <w:spacing w:before="120" w:after="120" w:line="276" w:lineRule="auto"/>
        <w:jc w:val="both"/>
      </w:pPr>
      <w:r>
        <w:t>Основната разлика между проекта на новото решение и отменените разпоредби е формулирането и уточняването на критериите за налагане на мерки и санкции, като по този начин се цели те да бъдат увеличени по отношение на икономическите оператори в нарушение, за да се спази принципът на пропорционалност, като същевременно се опазват човешкото здраве, околната среда и всеки друг аспект от обществен интерес.</w:t>
      </w:r>
    </w:p>
    <w:p w14:paraId="7750B588" w14:textId="77777777" w:rsidR="002D7106" w:rsidRDefault="006E6B03">
      <w:pPr>
        <w:spacing w:before="120" w:after="120" w:line="276" w:lineRule="auto"/>
        <w:jc w:val="both"/>
      </w:pPr>
      <w:r>
        <w:t>Освен това се повишава прозрачността на решенията на ръководството, като се избягва широкият безкритериен диапазон от цени за всяко нарушение.</w:t>
      </w:r>
    </w:p>
    <w:p w14:paraId="6E512920" w14:textId="77777777" w:rsidR="002D7106" w:rsidRDefault="006E6B03">
      <w:pPr>
        <w:spacing w:before="120" w:after="120" w:line="276" w:lineRule="auto"/>
        <w:jc w:val="both"/>
      </w:pPr>
      <w:r>
        <w:t xml:space="preserve">Разпоредбите </w:t>
      </w:r>
      <w:bookmarkStart w:id="1" w:name="_Hlk122350719"/>
      <w:r>
        <w:t>на настоящия проект</w:t>
      </w:r>
      <w:bookmarkEnd w:id="1"/>
      <w:r>
        <w:t xml:space="preserve"> не водят до разходи в ущърб на държавния бюджет.</w:t>
      </w:r>
    </w:p>
    <w:p w14:paraId="3AA3A13E" w14:textId="77777777" w:rsidR="002D7106" w:rsidRDefault="006E6B03">
      <w:pPr>
        <w:spacing w:before="120" w:after="120" w:line="276" w:lineRule="auto"/>
        <w:jc w:val="both"/>
      </w:pPr>
      <w:r>
        <w:t>Разпоредбите на настоящия проект са разработени след консултации с отделите по химикалите, които отговарят за прилагането и изпълнението на тези санкции.</w:t>
      </w:r>
    </w:p>
    <w:p w14:paraId="326DA1AA" w14:textId="7608711C" w:rsidR="002D7106" w:rsidRDefault="006E6B03">
      <w:pPr>
        <w:spacing w:before="120" w:after="120" w:line="276" w:lineRule="auto"/>
        <w:jc w:val="both"/>
      </w:pPr>
      <w:r>
        <w:rPr>
          <w:b/>
        </w:rPr>
        <w:t>С оглед на гореизложеното, ние представяме следния ПРОЕКТ за одобрение от Върховния съвет по химикалите (ВСХ) и оставаме на Ваше разположение за всякакви разяснения или информация.</w:t>
      </w:r>
    </w:p>
    <w:p w14:paraId="32DFBDF1" w14:textId="65E376EF" w:rsidR="002D7106" w:rsidRDefault="006E6B03">
      <w:pPr>
        <w:spacing w:before="120" w:after="120" w:line="276" w:lineRule="auto"/>
        <w:jc w:val="both"/>
      </w:pPr>
      <w:r>
        <w:t>Дирекция „Енергетика, промишленост и химически продукти“ на Главната държавна химическа лаборатория (ГДХЛ), при упражняване на правомощията си като национален компетентен орган за Европейския регламент REACH относно химикалите, пристъпва към приемането на национални мерки за контрол и санкции във връзка с прилагането на Регламент (ЕО) № 1907/2006 на Европейския парламент и на Съвета.</w:t>
      </w:r>
    </w:p>
    <w:p w14:paraId="4C868F75" w14:textId="48D0D5ED" w:rsidR="002D7106" w:rsidRDefault="006E6B03">
      <w:pPr>
        <w:spacing w:before="120" w:after="120" w:line="276" w:lineRule="auto"/>
        <w:jc w:val="both"/>
      </w:pPr>
      <w:r>
        <w:t xml:space="preserve">След съгласуване на предложението с ВСХ, проектът ще бъде представен за обществена консултация за срок от три месеца в съответствие с Директива (ЕС) 2015/1535 на Европейския парламент и на Съвета от 9 септември 2015 година, установяваща процедура за предоставяне на информация в сферата на техническите регламенти и правила относно услугите на информационното общество, която е транспонирана в националното законодателство с Президентски указ 81/2018. </w:t>
      </w:r>
    </w:p>
    <w:p w14:paraId="613A4B3A" w14:textId="5F0027E3" w:rsidR="002D7106" w:rsidRDefault="006E6B03">
      <w:pPr>
        <w:spacing w:before="120" w:after="120" w:line="276" w:lineRule="auto"/>
        <w:jc w:val="both"/>
      </w:pPr>
      <w:r>
        <w:t>След приключване на обществената консултация забележките/коментарите, които ще бъдат направени, ще бъдат обсъдени/одобрени от ВСХ, за да се разработи окончателния ПРОЕКТ на съвместно министерско решение, което да бъде изпратено за подписване от компетентното Министерство на финансите и Министерство на развитието и инвестициите.</w:t>
      </w:r>
    </w:p>
    <w:p w14:paraId="1464D41A" w14:textId="77777777" w:rsidR="002D7106" w:rsidRDefault="006E6B03">
      <w:pPr>
        <w:spacing w:before="120" w:after="120" w:line="276" w:lineRule="auto"/>
        <w:ind w:left="4320" w:firstLine="720"/>
        <w:jc w:val="both"/>
      </w:pPr>
      <w:r>
        <w:t>Eftychia Dima</w:t>
      </w:r>
    </w:p>
    <w:p w14:paraId="7B29AFBA" w14:textId="77777777" w:rsidR="002D7106" w:rsidRDefault="006E6B03">
      <w:pPr>
        <w:spacing w:before="120" w:after="120" w:line="276" w:lineRule="auto"/>
        <w:ind w:left="4320" w:firstLine="720"/>
        <w:jc w:val="both"/>
      </w:pPr>
      <w:r>
        <w:t>Ръководител на дирекцията</w:t>
      </w:r>
    </w:p>
    <w:p w14:paraId="09475AF3" w14:textId="344A7397" w:rsidR="002D7106" w:rsidRDefault="006E6B03" w:rsidP="00907705">
      <w:pPr>
        <w:jc w:val="center"/>
      </w:pPr>
      <w:r>
        <w:rPr>
          <w:b/>
        </w:rPr>
        <w:t>ПРОЕКТОПРЕДЛОЖЕНИЕ</w:t>
      </w:r>
    </w:p>
    <w:p w14:paraId="1178D0CE" w14:textId="77777777" w:rsidR="002D7106" w:rsidRDefault="002D7106">
      <w:pPr>
        <w:rPr>
          <w:rFonts w:cs="MgHelveticaUCPol"/>
        </w:rPr>
      </w:pPr>
    </w:p>
    <w:p w14:paraId="62EF2EF9" w14:textId="77777777" w:rsidR="002D7106" w:rsidRDefault="006E6B03">
      <w:pPr>
        <w:jc w:val="center"/>
      </w:pPr>
      <w:r>
        <w:t>Член 1</w:t>
      </w:r>
    </w:p>
    <w:p w14:paraId="0CE9F2E2" w14:textId="77777777" w:rsidR="002D7106" w:rsidRDefault="006E6B03">
      <w:pPr>
        <w:jc w:val="center"/>
      </w:pPr>
      <w:r>
        <w:t>Мерки за контрол</w:t>
      </w:r>
    </w:p>
    <w:p w14:paraId="06177536" w14:textId="77777777" w:rsidR="002D7106" w:rsidRDefault="002D7106">
      <w:pPr>
        <w:jc w:val="center"/>
        <w:rPr>
          <w:rFonts w:cs="MgHelveticaUCPol"/>
        </w:rPr>
      </w:pPr>
    </w:p>
    <w:p w14:paraId="4CF8596E" w14:textId="77777777" w:rsidR="002D7106" w:rsidRDefault="006E6B03">
      <w:pPr>
        <w:numPr>
          <w:ilvl w:val="0"/>
          <w:numId w:val="1"/>
        </w:numPr>
        <w:spacing w:line="276" w:lineRule="auto"/>
        <w:ind w:left="0" w:firstLine="0"/>
        <w:contextualSpacing/>
        <w:jc w:val="both"/>
      </w:pPr>
      <w:r>
        <w:rPr>
          <w:color w:val="000000"/>
        </w:rPr>
        <w:t>За да се следи прилагането на разпоредбите на Регламент № 1907/2006/ЕО по отношение на вещества в чиста форма, смеси и изделия, при местата на производство, съхранение и общо боравене с такива продукти се извършват инспекции, проверки и вземане на проби.</w:t>
      </w:r>
    </w:p>
    <w:p w14:paraId="6E8BAF5E" w14:textId="77777777" w:rsidR="002D7106" w:rsidRDefault="006E6B03">
      <w:pPr>
        <w:numPr>
          <w:ilvl w:val="0"/>
          <w:numId w:val="1"/>
        </w:numPr>
        <w:spacing w:line="276" w:lineRule="auto"/>
        <w:ind w:left="0" w:firstLine="0"/>
        <w:contextualSpacing/>
        <w:jc w:val="both"/>
      </w:pPr>
      <w:r>
        <w:rPr>
          <w:color w:val="000000"/>
        </w:rPr>
        <w:t>Процедурите за вземане на проби и изследване на проби от химически вещества, смеси и изделия, които попадат в обхвата на разпоредбите на Регламент (ЕО) № 1907/2006, се извършват по начин, подобен на предвидения в общите разпоредби на Кодекса за храните, напитките и техническите вещества.</w:t>
      </w:r>
    </w:p>
    <w:p w14:paraId="7FD3A441" w14:textId="77777777" w:rsidR="002D7106" w:rsidRDefault="006E6B03">
      <w:pPr>
        <w:numPr>
          <w:ilvl w:val="0"/>
          <w:numId w:val="1"/>
        </w:numPr>
        <w:spacing w:line="276" w:lineRule="auto"/>
        <w:ind w:left="0" w:firstLine="0"/>
        <w:contextualSpacing/>
        <w:jc w:val="both"/>
      </w:pPr>
      <w:r>
        <w:t xml:space="preserve">Отделите на генералната дирекция на ГДХЛ на Независимия орган за публични приходи (НОПП), отговарящи за контрола, надзора и инспекцията, изготвят и провеждат програми за </w:t>
      </w:r>
      <w:r>
        <w:lastRenderedPageBreak/>
        <w:t xml:space="preserve">инспекции/контрол в предприятия, които произвеждат, опаковат, съхраняват и/или обезвреждат химически продукти, смеси и изделия, под надзора и координацията на дирекция „Енергетика, промишлени и химически продукти“ на същата генерална дирекция, която отговаря за прилагането на разпоредбите на Регламент (ЕО) № 1907/2006. </w:t>
      </w:r>
    </w:p>
    <w:p w14:paraId="75513C3C" w14:textId="05EB9683" w:rsidR="002D7106" w:rsidRDefault="006E6B03">
      <w:pPr>
        <w:spacing w:line="276" w:lineRule="auto"/>
        <w:contextualSpacing/>
        <w:jc w:val="both"/>
      </w:pPr>
      <w:r>
        <w:t>Инспекциите се извършват със или без предварително уведомяване на дружеството за предстоящата инспекция/контрол. Инспекция/контрол без предварително уведомяване на дружеството се извършва в случай на жалба, създаване на съвместни екипи с други органи, заповед на прокурора или служебно, при проверки за съответствие на ограничителни административни мерки, както и за опазване на човешкото здраве и околната среда.</w:t>
      </w:r>
    </w:p>
    <w:p w14:paraId="4880B5EB" w14:textId="77777777" w:rsidR="002D7106" w:rsidRDefault="006E6B03">
      <w:pPr>
        <w:numPr>
          <w:ilvl w:val="0"/>
          <w:numId w:val="1"/>
        </w:numPr>
        <w:spacing w:line="276" w:lineRule="auto"/>
        <w:ind w:left="0" w:firstLine="0"/>
        <w:contextualSpacing/>
        <w:jc w:val="both"/>
      </w:pPr>
      <w:r>
        <w:rPr>
          <w:color w:val="000000"/>
        </w:rPr>
        <w:t>Служителите на клон „Дипломирани химици“ на ГДХЛ, които извършват инспекцията/контрола, изготвят писмен доклад от инспекцията и го представят на ръководителя на организационната единица на ГДХЛ</w:t>
      </w:r>
      <w:r>
        <w:t xml:space="preserve"> в рамките на двадесет (20) работни дни, под чиято териториална юрисдикция работи дружеството:</w:t>
      </w:r>
    </w:p>
    <w:p w14:paraId="0CCFD669" w14:textId="77777777" w:rsidR="002D7106" w:rsidRDefault="006E6B03">
      <w:pPr>
        <w:spacing w:line="276" w:lineRule="auto"/>
        <w:jc w:val="both"/>
      </w:pPr>
      <w:r>
        <w:t xml:space="preserve">а) от края на инспекцията/контрола, ако </w:t>
      </w:r>
      <w:r>
        <w:rPr>
          <w:color w:val="000000"/>
        </w:rPr>
        <w:t>не е извършено вземане на проби,</w:t>
      </w:r>
      <w:r>
        <w:t xml:space="preserve"> </w:t>
      </w:r>
    </w:p>
    <w:p w14:paraId="1C612C0D" w14:textId="3DE41EB7" w:rsidR="002D7106" w:rsidRDefault="006E6B03">
      <w:pPr>
        <w:spacing w:line="276" w:lineRule="auto"/>
        <w:jc w:val="both"/>
      </w:pPr>
      <w:r>
        <w:rPr>
          <w:color w:val="000000"/>
        </w:rPr>
        <w:t>б) от финализирането на резултата от лабораторното изследване, ако са извършени вземане на проби и анализ на проба/проби.</w:t>
      </w:r>
      <w:r>
        <w:t xml:space="preserve"> </w:t>
      </w:r>
    </w:p>
    <w:p w14:paraId="56E3A126" w14:textId="77777777" w:rsidR="002D7106" w:rsidRDefault="006E6B03">
      <w:pPr>
        <w:spacing w:line="276" w:lineRule="auto"/>
        <w:jc w:val="both"/>
      </w:pPr>
      <w:r>
        <w:rPr>
          <w:color w:val="000000"/>
        </w:rPr>
        <w:t>Горепосоченият ръководител на организационната единица на ГДХЛ незабавно изпраща доклада от инспекцията на управителя на дружеството с препоръчано писмо или по електронен път с обратна разписка.</w:t>
      </w:r>
    </w:p>
    <w:p w14:paraId="75AA1202" w14:textId="77777777" w:rsidR="002D7106" w:rsidRDefault="006E6B03">
      <w:pPr>
        <w:numPr>
          <w:ilvl w:val="0"/>
          <w:numId w:val="1"/>
        </w:numPr>
        <w:spacing w:line="276" w:lineRule="auto"/>
        <w:ind w:left="0" w:firstLine="0"/>
        <w:contextualSpacing/>
        <w:jc w:val="both"/>
      </w:pPr>
      <w:r>
        <w:rPr>
          <w:color w:val="000000"/>
        </w:rPr>
        <w:t>Ако при инспекцията/контрола се установи несъответствие с разпоредбите на Регламент (ЕС) № 1907/2006</w:t>
      </w:r>
      <w:r>
        <w:t>:</w:t>
      </w:r>
    </w:p>
    <w:p w14:paraId="1881C373" w14:textId="7984F0D3" w:rsidR="002D7106" w:rsidRDefault="006E6B03">
      <w:pPr>
        <w:spacing w:line="276" w:lineRule="auto"/>
        <w:jc w:val="both"/>
      </w:pPr>
      <w:r>
        <w:t xml:space="preserve">а) </w:t>
      </w:r>
      <w:r>
        <w:rPr>
          <w:color w:val="000000"/>
        </w:rPr>
        <w:t>управителят на дружеството има право в рамките на двадесет (20) работни дни след получаване на доклада от инспекцията да предостави на ръководителя на организационната единица на ГДХЛ,</w:t>
      </w:r>
      <w:r>
        <w:t xml:space="preserve"> под чиято териториална юрисдикция попада дружеството, писмени обяснения за констатираните несъответствия.</w:t>
      </w:r>
    </w:p>
    <w:p w14:paraId="4533DBD5" w14:textId="50D1A42E" w:rsidR="002D7106" w:rsidRDefault="006E6B03">
      <w:pPr>
        <w:spacing w:line="276" w:lineRule="auto"/>
        <w:jc w:val="both"/>
      </w:pPr>
      <w:r>
        <w:t>Ако не бъдат предоставени писмени обяснения или предоставените обяснения не бъдат счетени за задоволителни от гореспоменатия ръководител, ръководителят на компетентния отдел по химикалите на ГДХЛ налага административни санкции за установените нарушения в съответствие с членове 2, 3 и 4 от настоящото решение;</w:t>
      </w:r>
    </w:p>
    <w:p w14:paraId="71855809" w14:textId="77777777" w:rsidR="002D7106" w:rsidRDefault="006E6B03">
      <w:pPr>
        <w:spacing w:line="276" w:lineRule="auto"/>
        <w:jc w:val="both"/>
      </w:pPr>
      <w:r>
        <w:rPr>
          <w:color w:val="000000"/>
        </w:rPr>
        <w:t xml:space="preserve">б) </w:t>
      </w:r>
      <w:r>
        <w:t>ако е възможно да се приложат коригиращи мерки, се определят срокове за тяхното подаване и изпълнение от страна на дружеството. Тези дати могат да варират, в зависимост от естеството на несъответствието</w:t>
      </w:r>
      <w:r>
        <w:rPr>
          <w:color w:val="000000"/>
        </w:rPr>
        <w:t>, от един (1) до три (3) месеца след получаване на доклада от инспекцията от управителя на дружеството.</w:t>
      </w:r>
    </w:p>
    <w:p w14:paraId="238F536C" w14:textId="365C50D8" w:rsidR="002D7106" w:rsidRDefault="006E6B03">
      <w:pPr>
        <w:spacing w:line="276" w:lineRule="auto"/>
        <w:jc w:val="both"/>
      </w:pPr>
      <w:r>
        <w:rPr>
          <w:color w:val="000000"/>
        </w:rPr>
        <w:t xml:space="preserve">След това служителите на ГДХЛ, които са извършили инспекцията, оценяват коригиращите мерки и тяхното прилагане за тяхната коректност и адекватност. След оценката ръководителя на организационната единица на ГДХЛ, </w:t>
      </w:r>
      <w:r>
        <w:t xml:space="preserve">под чиято териториална юрисдикция попада дружеството, предава </w:t>
      </w:r>
      <w:r>
        <w:rPr>
          <w:color w:val="000000"/>
        </w:rPr>
        <w:t>на управителя на дружеството, с препоръчано писмо, заключението от инспекцията.</w:t>
      </w:r>
    </w:p>
    <w:p w14:paraId="4C801D57" w14:textId="1B68576F" w:rsidR="002D7106" w:rsidRDefault="006E6B03">
      <w:pPr>
        <w:spacing w:line="276" w:lineRule="auto"/>
        <w:jc w:val="both"/>
      </w:pPr>
      <w:r>
        <w:t>Ако коригиращите мерки не бъдат представени и/или приложени или се установи, че са неточни и/или недостатъчни, ръководителят на компетентната служба по химикалите налага предписаните административни санкции, както е описано в членове 2, 3 и 4 от настоящото решение.</w:t>
      </w:r>
    </w:p>
    <w:p w14:paraId="69F27AE7" w14:textId="46B54D57" w:rsidR="002D7106" w:rsidRDefault="006E6B03">
      <w:pPr>
        <w:spacing w:line="276" w:lineRule="auto"/>
        <w:jc w:val="both"/>
      </w:pPr>
      <w:r>
        <w:t>6. В случай на изследване на проби, ако се установи, че те са в нарушение на разпоредбите на Регламент (ЕО) № 1907/2006, на отговорните лица се налагат административните санкции, предвидени в членове 2, 3 и 4 от настоящото решение.</w:t>
      </w:r>
    </w:p>
    <w:p w14:paraId="1661EA21" w14:textId="77777777" w:rsidR="002D7106" w:rsidRDefault="002D7106">
      <w:pPr>
        <w:spacing w:line="276" w:lineRule="auto"/>
        <w:jc w:val="both"/>
        <w:rPr>
          <w:rFonts w:cs="MyriadPro-Regular"/>
          <w:color w:val="2E74B5"/>
        </w:rPr>
      </w:pPr>
    </w:p>
    <w:p w14:paraId="455FB148" w14:textId="77777777" w:rsidR="002D7106" w:rsidRDefault="006E6B03">
      <w:pPr>
        <w:jc w:val="center"/>
      </w:pPr>
      <w:r>
        <w:rPr>
          <w:color w:val="000000"/>
        </w:rPr>
        <w:t>Член 2</w:t>
      </w:r>
    </w:p>
    <w:p w14:paraId="0320E0F7" w14:textId="77777777" w:rsidR="002D7106" w:rsidRDefault="006E6B03">
      <w:pPr>
        <w:jc w:val="center"/>
      </w:pPr>
      <w:r>
        <w:rPr>
          <w:color w:val="000000"/>
        </w:rPr>
        <w:t>Санкции и мерки за контрол — общи принципи</w:t>
      </w:r>
    </w:p>
    <w:p w14:paraId="1F6313FD" w14:textId="77777777" w:rsidR="002D7106" w:rsidRDefault="002D7106">
      <w:pPr>
        <w:rPr>
          <w:rFonts w:cs="MgHelveticaUCPol"/>
          <w:color w:val="000000"/>
        </w:rPr>
      </w:pPr>
    </w:p>
    <w:p w14:paraId="3702837D" w14:textId="77777777" w:rsidR="002D7106" w:rsidRDefault="006E6B03">
      <w:pPr>
        <w:numPr>
          <w:ilvl w:val="0"/>
          <w:numId w:val="2"/>
        </w:numPr>
        <w:tabs>
          <w:tab w:val="left" w:pos="426"/>
        </w:tabs>
        <w:spacing w:line="276" w:lineRule="auto"/>
        <w:ind w:left="0" w:firstLine="0"/>
        <w:contextualSpacing/>
        <w:jc w:val="both"/>
      </w:pPr>
      <w:r>
        <w:rPr>
          <w:color w:val="000000"/>
        </w:rPr>
        <w:t>Производството, пускането на пазара и/или употребата на химически вещества в чиста форма, в смеси и в изделия, както и пускането на пазара и/или употребата на смеси и изделия се разрешават, ако те отговарят на разпоредбите на Регламент (ЕО) № 1907/2006. В противен случай се прилагат мерки и санкции.</w:t>
      </w:r>
    </w:p>
    <w:p w14:paraId="767B3430" w14:textId="77777777" w:rsidR="002D7106" w:rsidRDefault="006E6B03">
      <w:pPr>
        <w:numPr>
          <w:ilvl w:val="0"/>
          <w:numId w:val="2"/>
        </w:numPr>
        <w:tabs>
          <w:tab w:val="left" w:pos="426"/>
        </w:tabs>
        <w:spacing w:line="276" w:lineRule="auto"/>
        <w:ind w:left="0" w:firstLine="0"/>
        <w:contextualSpacing/>
        <w:jc w:val="both"/>
      </w:pPr>
      <w:r>
        <w:rPr>
          <w:color w:val="000000"/>
        </w:rPr>
        <w:lastRenderedPageBreak/>
        <w:t>Наложените мерки и санкции са пропорционални въз основа на оценка на риска за защитата на обществения интерес, породен от установеното нарушение, и са предназначени да предотвратят или намалят риска за човешкото здраве, околната среда и всеки друг аспект от обществен интерес.</w:t>
      </w:r>
    </w:p>
    <w:p w14:paraId="6F8E1736" w14:textId="77777777" w:rsidR="002D7106" w:rsidRDefault="006E6B03">
      <w:pPr>
        <w:numPr>
          <w:ilvl w:val="0"/>
          <w:numId w:val="2"/>
        </w:numPr>
        <w:tabs>
          <w:tab w:val="left" w:pos="426"/>
        </w:tabs>
        <w:spacing w:line="276" w:lineRule="auto"/>
        <w:ind w:left="0" w:firstLine="0"/>
        <w:contextualSpacing/>
        <w:jc w:val="both"/>
      </w:pPr>
      <w:r>
        <w:rPr>
          <w:color w:val="000000"/>
        </w:rPr>
        <w:t>Наложените мерки и санкции са, както следва:</w:t>
      </w:r>
    </w:p>
    <w:p w14:paraId="391D6389" w14:textId="77777777" w:rsidR="002D7106" w:rsidRDefault="006E6B03">
      <w:pPr>
        <w:tabs>
          <w:tab w:val="left" w:pos="426"/>
        </w:tabs>
        <w:spacing w:line="276" w:lineRule="auto"/>
        <w:contextualSpacing/>
        <w:jc w:val="both"/>
      </w:pPr>
      <w:r>
        <w:rPr>
          <w:color w:val="000000"/>
        </w:rPr>
        <w:t>а) налагане на глоба;</w:t>
      </w:r>
    </w:p>
    <w:p w14:paraId="37804E6B" w14:textId="1E721BAE" w:rsidR="002D7106" w:rsidRDefault="006E6B03">
      <w:pPr>
        <w:spacing w:line="276" w:lineRule="auto"/>
        <w:jc w:val="both"/>
      </w:pPr>
      <w:r>
        <w:rPr>
          <w:color w:val="000000"/>
        </w:rPr>
        <w:t>б) допълнителни ограничителни административни мерки, забраняващи</w:t>
      </w:r>
      <w:r>
        <w:t xml:space="preserve"> пускането на пазара, и налагащи изтеглянето от пазара или </w:t>
      </w:r>
      <w:r>
        <w:rPr>
          <w:color w:val="000000"/>
        </w:rPr>
        <w:t>конфискация на продукти и изтегляне от пазара</w:t>
      </w:r>
      <w:r>
        <w:t>.</w:t>
      </w:r>
    </w:p>
    <w:p w14:paraId="504D3BEE" w14:textId="77777777" w:rsidR="002D7106" w:rsidRDefault="002D7106">
      <w:pPr>
        <w:tabs>
          <w:tab w:val="left" w:pos="426"/>
        </w:tabs>
        <w:contextualSpacing/>
        <w:jc w:val="both"/>
        <w:rPr>
          <w:rFonts w:cs="MyriadPro-Regular"/>
          <w:color w:val="000000"/>
        </w:rPr>
      </w:pPr>
    </w:p>
    <w:p w14:paraId="3E010A3A" w14:textId="77777777" w:rsidR="002D7106" w:rsidRDefault="006E6B03">
      <w:pPr>
        <w:jc w:val="center"/>
      </w:pPr>
      <w:r>
        <w:rPr>
          <w:color w:val="000000"/>
        </w:rPr>
        <w:t>Член 3</w:t>
      </w:r>
    </w:p>
    <w:p w14:paraId="48F23B12" w14:textId="77777777" w:rsidR="002D7106" w:rsidRDefault="006E6B03">
      <w:pPr>
        <w:jc w:val="center"/>
      </w:pPr>
      <w:r>
        <w:rPr>
          <w:color w:val="000000"/>
        </w:rPr>
        <w:t>Класификация на нарушенията и налагане на глоби</w:t>
      </w:r>
    </w:p>
    <w:p w14:paraId="0FD0FFE1" w14:textId="77777777" w:rsidR="002D7106" w:rsidRDefault="002D7106">
      <w:pPr>
        <w:jc w:val="center"/>
        <w:rPr>
          <w:rFonts w:cs="MgHelveticaUCPol"/>
          <w:color w:val="000000"/>
        </w:rPr>
      </w:pPr>
    </w:p>
    <w:p w14:paraId="5FF50226" w14:textId="77777777" w:rsidR="002D7106" w:rsidRDefault="006E6B03">
      <w:pPr>
        <w:numPr>
          <w:ilvl w:val="0"/>
          <w:numId w:val="3"/>
        </w:numPr>
        <w:tabs>
          <w:tab w:val="left" w:pos="426"/>
        </w:tabs>
        <w:spacing w:line="276" w:lineRule="auto"/>
        <w:ind w:left="0" w:firstLine="0"/>
        <w:contextualSpacing/>
        <w:jc w:val="both"/>
      </w:pPr>
      <w:r>
        <w:rPr>
          <w:color w:val="000000"/>
        </w:rPr>
        <w:t>Налагането на глобата следва принципа на пропорционалност. При определянето на глобата се вземат предвид:</w:t>
      </w:r>
    </w:p>
    <w:p w14:paraId="55605A79" w14:textId="77777777" w:rsidR="002D7106" w:rsidRDefault="006E6B03">
      <w:pPr>
        <w:tabs>
          <w:tab w:val="left" w:pos="426"/>
        </w:tabs>
        <w:spacing w:line="276" w:lineRule="auto"/>
        <w:contextualSpacing/>
        <w:jc w:val="both"/>
      </w:pPr>
      <w:r>
        <w:rPr>
          <w:color w:val="000000"/>
        </w:rPr>
        <w:t>а) тежестта на нарушенията, въз основа на които се определя максималната базова цена (МБЦ) на глобата в съответствие с параграф 2, буква а);</w:t>
      </w:r>
    </w:p>
    <w:p w14:paraId="6C7BB8A9" w14:textId="77777777" w:rsidR="002D7106" w:rsidRDefault="006E6B03">
      <w:pPr>
        <w:tabs>
          <w:tab w:val="left" w:pos="426"/>
        </w:tabs>
        <w:spacing w:line="276" w:lineRule="auto"/>
        <w:contextualSpacing/>
        <w:jc w:val="both"/>
      </w:pPr>
      <w:r>
        <w:rPr>
          <w:color w:val="000000"/>
        </w:rPr>
        <w:t>б) статутът на контролирания икономически оператор, въз основа на който се установява коефициентът за определяне на глобата (КОГ) в съответствие с параграф 2, буква б);</w:t>
      </w:r>
    </w:p>
    <w:p w14:paraId="61680A07" w14:textId="77777777" w:rsidR="002D7106" w:rsidRDefault="006E6B03">
      <w:pPr>
        <w:tabs>
          <w:tab w:val="left" w:pos="426"/>
        </w:tabs>
        <w:spacing w:line="276" w:lineRule="auto"/>
        <w:contextualSpacing/>
        <w:jc w:val="both"/>
      </w:pPr>
      <w:r>
        <w:rPr>
          <w:color w:val="000000"/>
        </w:rPr>
        <w:t xml:space="preserve">в) редица оперативни фактори, които са изброени и оценени в съответствие с параграф 2, буква в), като се посочват степента и впоследствие коефициентът за налагане на глобата (КНГ). </w:t>
      </w:r>
    </w:p>
    <w:p w14:paraId="6F559844" w14:textId="77777777" w:rsidR="002D7106" w:rsidRDefault="006E6B03">
      <w:pPr>
        <w:numPr>
          <w:ilvl w:val="0"/>
          <w:numId w:val="3"/>
        </w:numPr>
        <w:tabs>
          <w:tab w:val="left" w:pos="426"/>
        </w:tabs>
        <w:ind w:left="0" w:firstLine="0"/>
        <w:contextualSpacing/>
        <w:jc w:val="both"/>
      </w:pPr>
      <w:r>
        <w:rPr>
          <w:color w:val="000000"/>
        </w:rPr>
        <w:t>За целите на изчисляването на размера на глобата се изчислява следното:</w:t>
      </w:r>
    </w:p>
    <w:p w14:paraId="41BF4DDB" w14:textId="77777777" w:rsidR="002D7106" w:rsidRDefault="002D7106">
      <w:pPr>
        <w:tabs>
          <w:tab w:val="left" w:pos="426"/>
        </w:tabs>
        <w:contextualSpacing/>
        <w:jc w:val="both"/>
        <w:rPr>
          <w:rFonts w:cs="MyriadPro-Regular"/>
          <w:color w:val="000000"/>
        </w:rPr>
      </w:pPr>
    </w:p>
    <w:p w14:paraId="631AACCA" w14:textId="77777777" w:rsidR="002D7106" w:rsidRDefault="006E6B03">
      <w:pPr>
        <w:tabs>
          <w:tab w:val="left" w:pos="426"/>
        </w:tabs>
        <w:spacing w:line="276" w:lineRule="auto"/>
        <w:jc w:val="both"/>
      </w:pPr>
      <w:r>
        <w:rPr>
          <w:color w:val="000000"/>
        </w:rPr>
        <w:t>а) определяне на максималната базова цена (MБЦ) на глобата, като се използва таблицата по-долу:</w:t>
      </w:r>
    </w:p>
    <w:p w14:paraId="1163A03F" w14:textId="77777777" w:rsidR="002D7106" w:rsidRDefault="002D7106">
      <w:pPr>
        <w:tabs>
          <w:tab w:val="left" w:pos="426"/>
        </w:tabs>
        <w:jc w:val="both"/>
        <w:rPr>
          <w:rFonts w:cs="MyriadPro-Regular"/>
          <w:color w:val="000000"/>
        </w:rPr>
      </w:pPr>
    </w:p>
    <w:tbl>
      <w:tblPr>
        <w:tblW w:w="0" w:type="auto"/>
        <w:tblInd w:w="103" w:type="dxa"/>
        <w:tblLayout w:type="fixed"/>
        <w:tblLook w:val="0000" w:firstRow="0" w:lastRow="0" w:firstColumn="0" w:lastColumn="0" w:noHBand="0" w:noVBand="0"/>
      </w:tblPr>
      <w:tblGrid>
        <w:gridCol w:w="3401"/>
        <w:gridCol w:w="3119"/>
        <w:gridCol w:w="1786"/>
      </w:tblGrid>
      <w:tr w:rsidR="002D7106" w14:paraId="7DD254F4" w14:textId="77777777">
        <w:trPr>
          <w:trHeight w:val="1500"/>
        </w:trPr>
        <w:tc>
          <w:tcPr>
            <w:tcW w:w="34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0742B7" w14:textId="6DA93048" w:rsidR="002D7106" w:rsidRDefault="006E6B03">
            <w:r>
              <w:rPr>
                <w:b/>
                <w:color w:val="000000"/>
              </w:rPr>
              <w:t>Нарушения от категория А — Разпоредби на Регламент (ЕО) № 1907/2006</w:t>
            </w:r>
          </w:p>
        </w:tc>
        <w:tc>
          <w:tcPr>
            <w:tcW w:w="3119" w:type="dxa"/>
            <w:tcBorders>
              <w:top w:val="single" w:sz="4" w:space="0" w:color="000000"/>
              <w:bottom w:val="single" w:sz="4" w:space="0" w:color="000000"/>
              <w:right w:val="single" w:sz="4" w:space="0" w:color="000000"/>
            </w:tcBorders>
            <w:shd w:val="clear" w:color="auto" w:fill="E7E6E6"/>
            <w:vAlign w:val="center"/>
          </w:tcPr>
          <w:p w14:paraId="4F97384D" w14:textId="483C0435" w:rsidR="002D7106" w:rsidRDefault="006E6B03">
            <w:r>
              <w:rPr>
                <w:b/>
                <w:color w:val="000000"/>
              </w:rPr>
              <w:t>Членове от Регламент (ЕО) № 1907/2006, за които се отнасят нарушенията</w:t>
            </w:r>
          </w:p>
        </w:tc>
        <w:tc>
          <w:tcPr>
            <w:tcW w:w="1786" w:type="dxa"/>
            <w:tcBorders>
              <w:top w:val="single" w:sz="4" w:space="0" w:color="000000"/>
              <w:bottom w:val="single" w:sz="4" w:space="0" w:color="000000"/>
              <w:right w:val="single" w:sz="4" w:space="0" w:color="000000"/>
            </w:tcBorders>
            <w:shd w:val="clear" w:color="auto" w:fill="E7E6E6"/>
            <w:vAlign w:val="center"/>
          </w:tcPr>
          <w:p w14:paraId="7757C94C" w14:textId="0766FF67" w:rsidR="002D7106" w:rsidRDefault="006E6B03">
            <w:r>
              <w:rPr>
                <w:b/>
                <w:color w:val="000000"/>
              </w:rPr>
              <w:t>Максимална базова цена (МБЦ) за вещество/смес/изделие и за нарушение</w:t>
            </w:r>
            <w:r>
              <w:rPr>
                <w:b/>
                <w:color w:val="000000"/>
              </w:rPr>
              <w:br/>
              <w:t>в евро</w:t>
            </w:r>
          </w:p>
        </w:tc>
      </w:tr>
      <w:tr w:rsidR="002D7106" w14:paraId="1BA7AA06" w14:textId="77777777">
        <w:trPr>
          <w:trHeight w:val="540"/>
        </w:trPr>
        <w:tc>
          <w:tcPr>
            <w:tcW w:w="3401" w:type="dxa"/>
            <w:tcBorders>
              <w:left w:val="single" w:sz="4" w:space="0" w:color="000000"/>
              <w:bottom w:val="single" w:sz="4" w:space="0" w:color="000000"/>
              <w:right w:val="single" w:sz="4" w:space="0" w:color="000000"/>
            </w:tcBorders>
            <w:shd w:val="clear" w:color="auto" w:fill="auto"/>
            <w:vAlign w:val="center"/>
          </w:tcPr>
          <w:p w14:paraId="091207A9" w14:textId="7D84EBFE" w:rsidR="002D7106" w:rsidRDefault="006E6B03">
            <w:r>
              <w:rPr>
                <w:color w:val="000000"/>
              </w:rPr>
              <w:t xml:space="preserve">Нарушения във връзка със задължението за регистрация </w:t>
            </w:r>
          </w:p>
        </w:tc>
        <w:tc>
          <w:tcPr>
            <w:tcW w:w="3119" w:type="dxa"/>
            <w:tcBorders>
              <w:bottom w:val="single" w:sz="4" w:space="0" w:color="000000"/>
              <w:right w:val="single" w:sz="4" w:space="0" w:color="000000"/>
            </w:tcBorders>
            <w:shd w:val="clear" w:color="auto" w:fill="auto"/>
            <w:vAlign w:val="center"/>
          </w:tcPr>
          <w:p w14:paraId="13BC8AFB" w14:textId="77777777" w:rsidR="002D7106" w:rsidRDefault="006E6B03">
            <w:r>
              <w:rPr>
                <w:color w:val="000000"/>
              </w:rPr>
              <w:t xml:space="preserve">Нарушения </w:t>
            </w:r>
            <w:r>
              <w:t>на членове 5, 6, 7, 8</w:t>
            </w:r>
          </w:p>
        </w:tc>
        <w:tc>
          <w:tcPr>
            <w:tcW w:w="1786" w:type="dxa"/>
            <w:tcBorders>
              <w:bottom w:val="single" w:sz="4" w:space="0" w:color="000000"/>
              <w:right w:val="single" w:sz="4" w:space="0" w:color="000000"/>
            </w:tcBorders>
            <w:shd w:val="clear" w:color="auto" w:fill="auto"/>
            <w:vAlign w:val="bottom"/>
          </w:tcPr>
          <w:p w14:paraId="432C7595" w14:textId="77777777" w:rsidR="002D7106" w:rsidRDefault="006E6B03">
            <w:r>
              <w:rPr>
                <w:color w:val="000000"/>
              </w:rPr>
              <w:t>10 000</w:t>
            </w:r>
          </w:p>
        </w:tc>
      </w:tr>
      <w:tr w:rsidR="002D7106" w14:paraId="112868D1" w14:textId="77777777">
        <w:trPr>
          <w:trHeight w:val="700"/>
        </w:trPr>
        <w:tc>
          <w:tcPr>
            <w:tcW w:w="3401" w:type="dxa"/>
            <w:tcBorders>
              <w:left w:val="single" w:sz="4" w:space="0" w:color="000000"/>
              <w:bottom w:val="single" w:sz="4" w:space="0" w:color="000000"/>
              <w:right w:val="single" w:sz="4" w:space="0" w:color="000000"/>
            </w:tcBorders>
            <w:shd w:val="clear" w:color="auto" w:fill="FFFFFF"/>
            <w:vAlign w:val="bottom"/>
          </w:tcPr>
          <w:p w14:paraId="0A327A4E" w14:textId="77777777" w:rsidR="002D7106" w:rsidRDefault="006E6B03">
            <w:r>
              <w:rPr>
                <w:color w:val="000000"/>
              </w:rPr>
              <w:t>Нарушения на изискванията за освобождаване от регистрация</w:t>
            </w:r>
          </w:p>
        </w:tc>
        <w:tc>
          <w:tcPr>
            <w:tcW w:w="3119" w:type="dxa"/>
            <w:tcBorders>
              <w:bottom w:val="single" w:sz="4" w:space="0" w:color="000000"/>
              <w:right w:val="single" w:sz="4" w:space="0" w:color="000000"/>
            </w:tcBorders>
            <w:shd w:val="clear" w:color="auto" w:fill="auto"/>
            <w:vAlign w:val="center"/>
          </w:tcPr>
          <w:p w14:paraId="4D8AB8CF" w14:textId="77777777" w:rsidR="002D7106" w:rsidRDefault="006E6B03">
            <w:r>
              <w:rPr>
                <w:color w:val="000000"/>
              </w:rPr>
              <w:t xml:space="preserve">Нарушения </w:t>
            </w:r>
            <w:r>
              <w:t>на член 9</w:t>
            </w:r>
          </w:p>
        </w:tc>
        <w:tc>
          <w:tcPr>
            <w:tcW w:w="1786" w:type="dxa"/>
            <w:tcBorders>
              <w:bottom w:val="single" w:sz="4" w:space="0" w:color="000000"/>
              <w:right w:val="single" w:sz="4" w:space="0" w:color="000000"/>
            </w:tcBorders>
            <w:shd w:val="clear" w:color="auto" w:fill="auto"/>
            <w:vAlign w:val="center"/>
          </w:tcPr>
          <w:p w14:paraId="5DE0B90F" w14:textId="77777777" w:rsidR="002D7106" w:rsidRDefault="006E6B03">
            <w:r>
              <w:rPr>
                <w:color w:val="000000"/>
              </w:rPr>
              <w:t>5 000</w:t>
            </w:r>
          </w:p>
        </w:tc>
      </w:tr>
      <w:tr w:rsidR="002D7106" w14:paraId="6265CFBC" w14:textId="77777777">
        <w:trPr>
          <w:trHeight w:val="900"/>
        </w:trPr>
        <w:tc>
          <w:tcPr>
            <w:tcW w:w="3401" w:type="dxa"/>
            <w:tcBorders>
              <w:left w:val="single" w:sz="4" w:space="0" w:color="000000"/>
              <w:bottom w:val="single" w:sz="4" w:space="0" w:color="000000"/>
              <w:right w:val="single" w:sz="4" w:space="0" w:color="000000"/>
            </w:tcBorders>
            <w:shd w:val="clear" w:color="auto" w:fill="FFFFFF"/>
            <w:vAlign w:val="bottom"/>
          </w:tcPr>
          <w:p w14:paraId="5649D0C6" w14:textId="07494E88" w:rsidR="002D7106" w:rsidRDefault="006E6B03">
            <w:r>
              <w:rPr>
                <w:color w:val="000000"/>
              </w:rPr>
              <w:t xml:space="preserve">Нарушения на задължението за регистрация на някои видове междинни и изолирани продукти </w:t>
            </w:r>
          </w:p>
        </w:tc>
        <w:tc>
          <w:tcPr>
            <w:tcW w:w="3119" w:type="dxa"/>
            <w:tcBorders>
              <w:bottom w:val="single" w:sz="4" w:space="0" w:color="000000"/>
              <w:right w:val="single" w:sz="4" w:space="0" w:color="000000"/>
            </w:tcBorders>
            <w:shd w:val="clear" w:color="auto" w:fill="auto"/>
            <w:vAlign w:val="center"/>
          </w:tcPr>
          <w:p w14:paraId="68DB1445" w14:textId="77777777" w:rsidR="002D7106" w:rsidRDefault="006E6B03">
            <w:r>
              <w:rPr>
                <w:color w:val="000000"/>
              </w:rPr>
              <w:t xml:space="preserve">Нарушения </w:t>
            </w:r>
            <w:r>
              <w:t>на членове 17 и 18</w:t>
            </w:r>
          </w:p>
        </w:tc>
        <w:tc>
          <w:tcPr>
            <w:tcW w:w="1786" w:type="dxa"/>
            <w:tcBorders>
              <w:bottom w:val="single" w:sz="4" w:space="0" w:color="000000"/>
              <w:right w:val="single" w:sz="4" w:space="0" w:color="000000"/>
            </w:tcBorders>
            <w:shd w:val="clear" w:color="auto" w:fill="auto"/>
            <w:vAlign w:val="center"/>
          </w:tcPr>
          <w:p w14:paraId="37A57AD3" w14:textId="77777777" w:rsidR="002D7106" w:rsidRDefault="006E6B03">
            <w:r>
              <w:rPr>
                <w:color w:val="000000"/>
              </w:rPr>
              <w:t>5 000</w:t>
            </w:r>
          </w:p>
        </w:tc>
      </w:tr>
      <w:tr w:rsidR="002D7106" w14:paraId="18A51558" w14:textId="77777777">
        <w:trPr>
          <w:trHeight w:val="600"/>
        </w:trPr>
        <w:tc>
          <w:tcPr>
            <w:tcW w:w="3401" w:type="dxa"/>
            <w:tcBorders>
              <w:left w:val="single" w:sz="4" w:space="0" w:color="000000"/>
              <w:bottom w:val="single" w:sz="4" w:space="0" w:color="000000"/>
              <w:right w:val="single" w:sz="4" w:space="0" w:color="000000"/>
            </w:tcBorders>
            <w:shd w:val="clear" w:color="auto" w:fill="auto"/>
            <w:vAlign w:val="bottom"/>
          </w:tcPr>
          <w:p w14:paraId="76DF4C64" w14:textId="77777777" w:rsidR="002D7106" w:rsidRDefault="006E6B03">
            <w:r>
              <w:rPr>
                <w:color w:val="000000"/>
              </w:rPr>
              <w:t>Нарушения на изискванията за предоставяне на информация за целите на регистрацията</w:t>
            </w:r>
          </w:p>
        </w:tc>
        <w:tc>
          <w:tcPr>
            <w:tcW w:w="3119" w:type="dxa"/>
            <w:tcBorders>
              <w:bottom w:val="single" w:sz="4" w:space="0" w:color="000000"/>
              <w:right w:val="single" w:sz="4" w:space="0" w:color="000000"/>
            </w:tcBorders>
            <w:shd w:val="clear" w:color="auto" w:fill="auto"/>
            <w:vAlign w:val="center"/>
          </w:tcPr>
          <w:p w14:paraId="6F828426" w14:textId="5352B3D7" w:rsidR="002D7106" w:rsidRDefault="006E6B03">
            <w:r>
              <w:t>Нарушения на членове 10, 12, 13 и 14</w:t>
            </w:r>
          </w:p>
        </w:tc>
        <w:tc>
          <w:tcPr>
            <w:tcW w:w="1786" w:type="dxa"/>
            <w:tcBorders>
              <w:bottom w:val="single" w:sz="4" w:space="0" w:color="000000"/>
              <w:right w:val="single" w:sz="4" w:space="0" w:color="000000"/>
            </w:tcBorders>
            <w:shd w:val="clear" w:color="auto" w:fill="auto"/>
            <w:vAlign w:val="center"/>
          </w:tcPr>
          <w:p w14:paraId="7D148E54" w14:textId="77777777" w:rsidR="002D7106" w:rsidRDefault="006E6B03">
            <w:r>
              <w:rPr>
                <w:color w:val="000000"/>
              </w:rPr>
              <w:t>5 000</w:t>
            </w:r>
          </w:p>
        </w:tc>
      </w:tr>
      <w:tr w:rsidR="002D7106" w14:paraId="5671ADFE" w14:textId="77777777">
        <w:trPr>
          <w:trHeight w:val="600"/>
        </w:trPr>
        <w:tc>
          <w:tcPr>
            <w:tcW w:w="3401" w:type="dxa"/>
            <w:tcBorders>
              <w:left w:val="single" w:sz="4" w:space="0" w:color="000000"/>
              <w:bottom w:val="single" w:sz="4" w:space="0" w:color="000000"/>
              <w:right w:val="single" w:sz="4" w:space="0" w:color="000000"/>
            </w:tcBorders>
            <w:shd w:val="clear" w:color="auto" w:fill="auto"/>
            <w:vAlign w:val="center"/>
          </w:tcPr>
          <w:p w14:paraId="103088F2" w14:textId="77777777" w:rsidR="002D7106" w:rsidRDefault="006E6B03">
            <w:r>
              <w:rPr>
                <w:color w:val="000000"/>
              </w:rPr>
              <w:t xml:space="preserve">Нарушения по отношение на съвместното подаване на данни </w:t>
            </w:r>
          </w:p>
        </w:tc>
        <w:tc>
          <w:tcPr>
            <w:tcW w:w="3119" w:type="dxa"/>
            <w:tcBorders>
              <w:bottom w:val="single" w:sz="4" w:space="0" w:color="000000"/>
              <w:right w:val="single" w:sz="4" w:space="0" w:color="000000"/>
            </w:tcBorders>
            <w:shd w:val="clear" w:color="auto" w:fill="auto"/>
            <w:vAlign w:val="center"/>
          </w:tcPr>
          <w:p w14:paraId="31025354" w14:textId="77777777" w:rsidR="002D7106" w:rsidRDefault="006E6B03">
            <w:r>
              <w:rPr>
                <w:color w:val="000000"/>
              </w:rPr>
              <w:t>Нарушения на членове 11 и 19</w:t>
            </w:r>
          </w:p>
        </w:tc>
        <w:tc>
          <w:tcPr>
            <w:tcW w:w="1786" w:type="dxa"/>
            <w:tcBorders>
              <w:bottom w:val="single" w:sz="4" w:space="0" w:color="000000"/>
              <w:right w:val="single" w:sz="4" w:space="0" w:color="000000"/>
            </w:tcBorders>
            <w:shd w:val="clear" w:color="auto" w:fill="auto"/>
            <w:vAlign w:val="center"/>
          </w:tcPr>
          <w:p w14:paraId="414385D2" w14:textId="77777777" w:rsidR="002D7106" w:rsidRDefault="006E6B03">
            <w:r>
              <w:rPr>
                <w:color w:val="000000"/>
              </w:rPr>
              <w:t>1 000</w:t>
            </w:r>
          </w:p>
        </w:tc>
      </w:tr>
      <w:tr w:rsidR="002D7106" w14:paraId="3976C038" w14:textId="77777777">
        <w:trPr>
          <w:trHeight w:val="540"/>
        </w:trPr>
        <w:tc>
          <w:tcPr>
            <w:tcW w:w="3401" w:type="dxa"/>
            <w:tcBorders>
              <w:left w:val="single" w:sz="4" w:space="0" w:color="000000"/>
              <w:bottom w:val="single" w:sz="4" w:space="0" w:color="000000"/>
              <w:right w:val="single" w:sz="4" w:space="0" w:color="000000"/>
            </w:tcBorders>
            <w:shd w:val="clear" w:color="auto" w:fill="auto"/>
            <w:vAlign w:val="bottom"/>
          </w:tcPr>
          <w:p w14:paraId="622CC7E8" w14:textId="77777777" w:rsidR="002D7106" w:rsidRDefault="006E6B03">
            <w:r>
              <w:rPr>
                <w:color w:val="000000"/>
              </w:rPr>
              <w:t>Нарушения на допълнителни задължения на регистрантите</w:t>
            </w:r>
          </w:p>
        </w:tc>
        <w:tc>
          <w:tcPr>
            <w:tcW w:w="3119" w:type="dxa"/>
            <w:tcBorders>
              <w:bottom w:val="single" w:sz="4" w:space="0" w:color="000000"/>
              <w:right w:val="single" w:sz="4" w:space="0" w:color="000000"/>
            </w:tcBorders>
            <w:shd w:val="clear" w:color="auto" w:fill="auto"/>
            <w:vAlign w:val="center"/>
          </w:tcPr>
          <w:p w14:paraId="6AFDF8EE" w14:textId="77777777" w:rsidR="002D7106" w:rsidRDefault="006E6B03">
            <w:r>
              <w:rPr>
                <w:color w:val="000000"/>
              </w:rPr>
              <w:t>Нарушения на членове 21 и 22</w:t>
            </w:r>
          </w:p>
        </w:tc>
        <w:tc>
          <w:tcPr>
            <w:tcW w:w="1786" w:type="dxa"/>
            <w:tcBorders>
              <w:bottom w:val="single" w:sz="4" w:space="0" w:color="000000"/>
              <w:right w:val="single" w:sz="4" w:space="0" w:color="000000"/>
            </w:tcBorders>
            <w:shd w:val="clear" w:color="auto" w:fill="auto"/>
            <w:vAlign w:val="center"/>
          </w:tcPr>
          <w:p w14:paraId="2C43A0A6" w14:textId="77777777" w:rsidR="002D7106" w:rsidRDefault="006E6B03">
            <w:r>
              <w:rPr>
                <w:color w:val="000000"/>
              </w:rPr>
              <w:t>1 000</w:t>
            </w:r>
          </w:p>
        </w:tc>
      </w:tr>
      <w:tr w:rsidR="002D7106" w14:paraId="35DE343C" w14:textId="77777777">
        <w:trPr>
          <w:trHeight w:val="900"/>
        </w:trPr>
        <w:tc>
          <w:tcPr>
            <w:tcW w:w="3401" w:type="dxa"/>
            <w:tcBorders>
              <w:left w:val="single" w:sz="4" w:space="0" w:color="000000"/>
              <w:bottom w:val="single" w:sz="4" w:space="0" w:color="000000"/>
              <w:right w:val="single" w:sz="4" w:space="0" w:color="000000"/>
            </w:tcBorders>
            <w:shd w:val="clear" w:color="auto" w:fill="auto"/>
            <w:vAlign w:val="bottom"/>
          </w:tcPr>
          <w:p w14:paraId="1BB8FBDD" w14:textId="77777777" w:rsidR="002D7106" w:rsidRDefault="006E6B03">
            <w:r>
              <w:rPr>
                <w:color w:val="000000"/>
              </w:rPr>
              <w:t>Нарушения по отношение на обмена на данни от изследванията — отказ за предоставяне на проучване или доказателство за разходи</w:t>
            </w:r>
          </w:p>
        </w:tc>
        <w:tc>
          <w:tcPr>
            <w:tcW w:w="3119" w:type="dxa"/>
            <w:tcBorders>
              <w:bottom w:val="single" w:sz="4" w:space="0" w:color="000000"/>
              <w:right w:val="single" w:sz="4" w:space="0" w:color="000000"/>
            </w:tcBorders>
            <w:shd w:val="clear" w:color="auto" w:fill="auto"/>
            <w:vAlign w:val="center"/>
          </w:tcPr>
          <w:p w14:paraId="22A306C2" w14:textId="77777777" w:rsidR="002D7106" w:rsidRDefault="006E6B03">
            <w:r>
              <w:rPr>
                <w:color w:val="000000"/>
              </w:rPr>
              <w:t>Нарушения на член 30</w:t>
            </w:r>
          </w:p>
        </w:tc>
        <w:tc>
          <w:tcPr>
            <w:tcW w:w="1786" w:type="dxa"/>
            <w:tcBorders>
              <w:bottom w:val="single" w:sz="4" w:space="0" w:color="000000"/>
              <w:right w:val="single" w:sz="4" w:space="0" w:color="000000"/>
            </w:tcBorders>
            <w:shd w:val="clear" w:color="auto" w:fill="auto"/>
            <w:vAlign w:val="center"/>
          </w:tcPr>
          <w:p w14:paraId="6347002A" w14:textId="77777777" w:rsidR="002D7106" w:rsidRDefault="006E6B03">
            <w:r>
              <w:rPr>
                <w:color w:val="000000"/>
              </w:rPr>
              <w:t>5 000</w:t>
            </w:r>
          </w:p>
        </w:tc>
      </w:tr>
      <w:tr w:rsidR="002D7106" w14:paraId="0FF17441" w14:textId="77777777">
        <w:trPr>
          <w:trHeight w:val="906"/>
        </w:trPr>
        <w:tc>
          <w:tcPr>
            <w:tcW w:w="3401" w:type="dxa"/>
            <w:vMerge w:val="restart"/>
            <w:tcBorders>
              <w:top w:val="single" w:sz="4" w:space="0" w:color="000000"/>
              <w:left w:val="single" w:sz="4" w:space="0" w:color="000000"/>
              <w:right w:val="single" w:sz="4" w:space="0" w:color="000000"/>
            </w:tcBorders>
            <w:shd w:val="clear" w:color="auto" w:fill="FFFFFF"/>
            <w:vAlign w:val="bottom"/>
          </w:tcPr>
          <w:p w14:paraId="2886A7A2" w14:textId="310F3A64" w:rsidR="002D7106" w:rsidRDefault="006E6B03">
            <w:r>
              <w:rPr>
                <w:color w:val="000000"/>
              </w:rPr>
              <w:t xml:space="preserve">Нарушения на задълженията на доставчиците да предоставят и актуализират информация по </w:t>
            </w:r>
            <w:r>
              <w:rPr>
                <w:color w:val="000000"/>
              </w:rPr>
              <w:lastRenderedPageBreak/>
              <w:t>веригата на доставки и да съхраняват информация</w:t>
            </w:r>
          </w:p>
        </w:tc>
        <w:tc>
          <w:tcPr>
            <w:tcW w:w="3119" w:type="dxa"/>
            <w:tcBorders>
              <w:top w:val="single" w:sz="4" w:space="0" w:color="000000"/>
              <w:bottom w:val="single" w:sz="4" w:space="0" w:color="000000"/>
              <w:right w:val="single" w:sz="4" w:space="0" w:color="000000"/>
            </w:tcBorders>
            <w:shd w:val="clear" w:color="auto" w:fill="auto"/>
            <w:vAlign w:val="center"/>
          </w:tcPr>
          <w:p w14:paraId="50D9B06A" w14:textId="1C8FC441" w:rsidR="002D7106" w:rsidRDefault="006E6B03">
            <w:r>
              <w:rPr>
                <w:color w:val="000000"/>
              </w:rPr>
              <w:lastRenderedPageBreak/>
              <w:t>Нарушения на член 31</w:t>
            </w:r>
          </w:p>
          <w:p w14:paraId="4A51C60C" w14:textId="77777777" w:rsidR="002D7106" w:rsidRDefault="006E6B03">
            <w:r>
              <w:rPr>
                <w:color w:val="000000"/>
              </w:rPr>
              <w:t xml:space="preserve">(максималната цена се налага, ако не е предоставена </w:t>
            </w:r>
            <w:r>
              <w:rPr>
                <w:color w:val="000000"/>
              </w:rPr>
              <w:lastRenderedPageBreak/>
              <w:t>информация от какъвто и да е вид)</w:t>
            </w:r>
          </w:p>
        </w:tc>
        <w:tc>
          <w:tcPr>
            <w:tcW w:w="1786" w:type="dxa"/>
            <w:tcBorders>
              <w:bottom w:val="single" w:sz="4" w:space="0" w:color="000000"/>
              <w:right w:val="single" w:sz="4" w:space="0" w:color="000000"/>
            </w:tcBorders>
            <w:shd w:val="clear" w:color="auto" w:fill="auto"/>
            <w:vAlign w:val="center"/>
          </w:tcPr>
          <w:p w14:paraId="3E2797A5" w14:textId="77777777" w:rsidR="002D7106" w:rsidRDefault="006E6B03">
            <w:r>
              <w:rPr>
                <w:color w:val="000000"/>
              </w:rPr>
              <w:lastRenderedPageBreak/>
              <w:t xml:space="preserve">500 до 5 000 </w:t>
            </w:r>
          </w:p>
        </w:tc>
      </w:tr>
      <w:tr w:rsidR="002D7106" w14:paraId="28DFA1EB" w14:textId="77777777">
        <w:trPr>
          <w:trHeight w:val="636"/>
        </w:trPr>
        <w:tc>
          <w:tcPr>
            <w:tcW w:w="3401" w:type="dxa"/>
            <w:vMerge/>
            <w:tcBorders>
              <w:left w:val="single" w:sz="4" w:space="0" w:color="000000"/>
              <w:bottom w:val="single" w:sz="4" w:space="0" w:color="000000"/>
              <w:right w:val="single" w:sz="4" w:space="0" w:color="000000"/>
            </w:tcBorders>
            <w:shd w:val="clear" w:color="auto" w:fill="FFFFFF"/>
            <w:vAlign w:val="bottom"/>
          </w:tcPr>
          <w:p w14:paraId="3D0596E3" w14:textId="77777777" w:rsidR="002D7106" w:rsidRDefault="002D7106">
            <w:pPr>
              <w:rPr>
                <w:color w:val="000000"/>
              </w:rPr>
            </w:pPr>
          </w:p>
        </w:tc>
        <w:tc>
          <w:tcPr>
            <w:tcW w:w="3119" w:type="dxa"/>
            <w:tcBorders>
              <w:top w:val="single" w:sz="4" w:space="0" w:color="000000"/>
              <w:bottom w:val="single" w:sz="4" w:space="0" w:color="000000"/>
              <w:right w:val="single" w:sz="4" w:space="0" w:color="000000"/>
            </w:tcBorders>
            <w:shd w:val="clear" w:color="auto" w:fill="auto"/>
            <w:vAlign w:val="center"/>
          </w:tcPr>
          <w:p w14:paraId="1A7A61ED" w14:textId="77777777" w:rsidR="002D7106" w:rsidRDefault="006E6B03">
            <w:r>
              <w:rPr>
                <w:color w:val="000000"/>
              </w:rPr>
              <w:t>Нарушения на членове 32, 33, 34, 35, 36</w:t>
            </w:r>
          </w:p>
        </w:tc>
        <w:tc>
          <w:tcPr>
            <w:tcW w:w="1786" w:type="dxa"/>
            <w:tcBorders>
              <w:bottom w:val="single" w:sz="4" w:space="0" w:color="000000"/>
              <w:right w:val="single" w:sz="4" w:space="0" w:color="000000"/>
            </w:tcBorders>
            <w:shd w:val="clear" w:color="auto" w:fill="auto"/>
            <w:vAlign w:val="center"/>
          </w:tcPr>
          <w:p w14:paraId="640B844E" w14:textId="77777777" w:rsidR="002D7106" w:rsidRDefault="006E6B03">
            <w:r>
              <w:rPr>
                <w:color w:val="000000"/>
              </w:rPr>
              <w:t>500</w:t>
            </w:r>
          </w:p>
        </w:tc>
      </w:tr>
      <w:tr w:rsidR="002D7106" w14:paraId="585FB785" w14:textId="77777777">
        <w:trPr>
          <w:trHeight w:val="1305"/>
        </w:trPr>
        <w:tc>
          <w:tcPr>
            <w:tcW w:w="34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537855" w14:textId="17B6E54F" w:rsidR="002D7106" w:rsidRDefault="006E6B03">
            <w:r>
              <w:rPr>
                <w:color w:val="000000"/>
              </w:rPr>
              <w:t>Нарушения, свързани с оценката на безопасността на химическото вещество, и откриване на прилагането и препоръки за мерки за намаляване на риска от потребители надолу по веригата</w:t>
            </w:r>
          </w:p>
        </w:tc>
        <w:tc>
          <w:tcPr>
            <w:tcW w:w="3119" w:type="dxa"/>
            <w:tcBorders>
              <w:top w:val="single" w:sz="4" w:space="0" w:color="000000"/>
              <w:bottom w:val="single" w:sz="4" w:space="0" w:color="000000"/>
              <w:right w:val="single" w:sz="4" w:space="0" w:color="000000"/>
            </w:tcBorders>
            <w:shd w:val="clear" w:color="auto" w:fill="auto"/>
            <w:vAlign w:val="center"/>
          </w:tcPr>
          <w:p w14:paraId="6B3C250D" w14:textId="77777777" w:rsidR="002D7106" w:rsidRDefault="006E6B03">
            <w:r>
              <w:rPr>
                <w:color w:val="000000"/>
              </w:rPr>
              <w:t>Нарушения на член 37</w:t>
            </w:r>
          </w:p>
        </w:tc>
        <w:tc>
          <w:tcPr>
            <w:tcW w:w="1786" w:type="dxa"/>
            <w:tcBorders>
              <w:bottom w:val="single" w:sz="4" w:space="0" w:color="000000"/>
              <w:right w:val="single" w:sz="4" w:space="0" w:color="000000"/>
            </w:tcBorders>
            <w:shd w:val="clear" w:color="auto" w:fill="auto"/>
            <w:vAlign w:val="center"/>
          </w:tcPr>
          <w:p w14:paraId="7D664B32" w14:textId="77777777" w:rsidR="002D7106" w:rsidRDefault="006E6B03">
            <w:r>
              <w:rPr>
                <w:color w:val="000000"/>
              </w:rPr>
              <w:t>2 000</w:t>
            </w:r>
          </w:p>
        </w:tc>
      </w:tr>
      <w:tr w:rsidR="002D7106" w14:paraId="74B96BEF" w14:textId="77777777">
        <w:trPr>
          <w:trHeight w:val="1050"/>
        </w:trPr>
        <w:tc>
          <w:tcPr>
            <w:tcW w:w="34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05AFB" w14:textId="69821FC6" w:rsidR="002D7106" w:rsidRDefault="006E6B03">
            <w:r>
              <w:rPr>
                <w:color w:val="000000"/>
              </w:rPr>
              <w:t>Нарушения на задълженията на потребителите надолу по веригата да предоставят и съхраняват информация</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F3E13" w14:textId="77777777" w:rsidR="002D7106" w:rsidRDefault="006E6B03">
            <w:r>
              <w:rPr>
                <w:color w:val="000000"/>
              </w:rPr>
              <w:t>Нарушения на членове 38 и 39</w:t>
            </w:r>
          </w:p>
        </w:tc>
        <w:tc>
          <w:tcPr>
            <w:tcW w:w="17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D5883" w14:textId="77777777" w:rsidR="002D7106" w:rsidRDefault="006E6B03">
            <w:r>
              <w:rPr>
                <w:color w:val="000000"/>
              </w:rPr>
              <w:t>1 000</w:t>
            </w:r>
          </w:p>
        </w:tc>
      </w:tr>
      <w:tr w:rsidR="002D7106" w14:paraId="43A58062" w14:textId="77777777">
        <w:trPr>
          <w:trHeight w:val="640"/>
        </w:trPr>
        <w:tc>
          <w:tcPr>
            <w:tcW w:w="34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6EA192" w14:textId="77777777" w:rsidR="002D7106" w:rsidRDefault="006E6B03">
            <w:r>
              <w:rPr>
                <w:color w:val="000000"/>
              </w:rPr>
              <w:t xml:space="preserve">Нарушения на етапа на оценка на досиетата </w:t>
            </w:r>
          </w:p>
        </w:tc>
        <w:tc>
          <w:tcPr>
            <w:tcW w:w="3119" w:type="dxa"/>
            <w:tcBorders>
              <w:top w:val="single" w:sz="4" w:space="0" w:color="000000"/>
              <w:bottom w:val="single" w:sz="4" w:space="0" w:color="000000"/>
              <w:right w:val="single" w:sz="4" w:space="0" w:color="000000"/>
            </w:tcBorders>
            <w:shd w:val="clear" w:color="auto" w:fill="auto"/>
            <w:vAlign w:val="center"/>
          </w:tcPr>
          <w:p w14:paraId="17390754" w14:textId="77777777" w:rsidR="002D7106" w:rsidRDefault="006E6B03">
            <w:r>
              <w:t>Нарушения на членове 40, 41 и 46</w:t>
            </w:r>
          </w:p>
        </w:tc>
        <w:tc>
          <w:tcPr>
            <w:tcW w:w="1786" w:type="dxa"/>
            <w:tcBorders>
              <w:top w:val="single" w:sz="4" w:space="0" w:color="000000"/>
              <w:bottom w:val="single" w:sz="4" w:space="0" w:color="000000"/>
              <w:right w:val="single" w:sz="4" w:space="0" w:color="000000"/>
            </w:tcBorders>
            <w:shd w:val="clear" w:color="auto" w:fill="auto"/>
            <w:vAlign w:val="center"/>
          </w:tcPr>
          <w:p w14:paraId="01DAD838" w14:textId="77777777" w:rsidR="002D7106" w:rsidRDefault="006E6B03">
            <w:r>
              <w:rPr>
                <w:color w:val="000000"/>
              </w:rPr>
              <w:t>5 000</w:t>
            </w:r>
          </w:p>
        </w:tc>
      </w:tr>
      <w:tr w:rsidR="002D7106" w14:paraId="739FE590" w14:textId="77777777">
        <w:trPr>
          <w:trHeight w:val="960"/>
        </w:trPr>
        <w:tc>
          <w:tcPr>
            <w:tcW w:w="3401" w:type="dxa"/>
            <w:tcBorders>
              <w:left w:val="single" w:sz="4" w:space="0" w:color="000000"/>
              <w:bottom w:val="single" w:sz="4" w:space="0" w:color="000000"/>
              <w:right w:val="single" w:sz="4" w:space="0" w:color="000000"/>
            </w:tcBorders>
            <w:shd w:val="clear" w:color="auto" w:fill="FFFFFF"/>
            <w:vAlign w:val="bottom"/>
          </w:tcPr>
          <w:p w14:paraId="3F3B179B" w14:textId="77777777" w:rsidR="002D7106" w:rsidRDefault="006E6B03">
            <w:r>
              <w:rPr>
                <w:color w:val="000000"/>
              </w:rPr>
              <w:t xml:space="preserve">Нарушения на задължението за предоставяне на допълнителна информация </w:t>
            </w:r>
          </w:p>
        </w:tc>
        <w:tc>
          <w:tcPr>
            <w:tcW w:w="3119" w:type="dxa"/>
            <w:tcBorders>
              <w:bottom w:val="single" w:sz="4" w:space="0" w:color="000000"/>
              <w:right w:val="single" w:sz="4" w:space="0" w:color="000000"/>
            </w:tcBorders>
            <w:shd w:val="clear" w:color="auto" w:fill="auto"/>
            <w:vAlign w:val="center"/>
          </w:tcPr>
          <w:p w14:paraId="59056448" w14:textId="77777777" w:rsidR="002D7106" w:rsidRDefault="006E6B03">
            <w:r>
              <w:rPr>
                <w:color w:val="000000"/>
              </w:rPr>
              <w:t>Нарушение на членове 49 и 50</w:t>
            </w:r>
          </w:p>
        </w:tc>
        <w:tc>
          <w:tcPr>
            <w:tcW w:w="1786" w:type="dxa"/>
            <w:tcBorders>
              <w:bottom w:val="single" w:sz="4" w:space="0" w:color="000000"/>
              <w:right w:val="single" w:sz="4" w:space="0" w:color="000000"/>
            </w:tcBorders>
            <w:shd w:val="clear" w:color="auto" w:fill="auto"/>
            <w:vAlign w:val="center"/>
          </w:tcPr>
          <w:p w14:paraId="3EE5093B" w14:textId="77777777" w:rsidR="002D7106" w:rsidRDefault="006E6B03">
            <w:r>
              <w:rPr>
                <w:color w:val="000000"/>
              </w:rPr>
              <w:t>1 500</w:t>
            </w:r>
          </w:p>
        </w:tc>
      </w:tr>
      <w:tr w:rsidR="002D7106" w14:paraId="05ED5674" w14:textId="77777777">
        <w:trPr>
          <w:trHeight w:val="735"/>
        </w:trPr>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6A9F1" w14:textId="77777777" w:rsidR="002D7106" w:rsidRDefault="006E6B03">
            <w:r>
              <w:rPr>
                <w:color w:val="000000"/>
              </w:rPr>
              <w:t>Нарушения на изискванията за лицензиране</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25A4B" w14:textId="77777777" w:rsidR="002D7106" w:rsidRDefault="006E6B03">
            <w:r>
              <w:rPr>
                <w:color w:val="000000"/>
              </w:rPr>
              <w:t xml:space="preserve">Нарушения </w:t>
            </w:r>
            <w:r>
              <w:t>на член 56</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EBD9E" w14:textId="77777777" w:rsidR="002D7106" w:rsidRDefault="006E6B03">
            <w:r>
              <w:rPr>
                <w:color w:val="000000"/>
              </w:rPr>
              <w:t>5 000</w:t>
            </w:r>
          </w:p>
        </w:tc>
      </w:tr>
      <w:tr w:rsidR="002D7106" w14:paraId="7B3A99F6" w14:textId="77777777">
        <w:trPr>
          <w:trHeight w:val="1200"/>
        </w:trPr>
        <w:tc>
          <w:tcPr>
            <w:tcW w:w="34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D1A63F3" w14:textId="77777777" w:rsidR="002D7106" w:rsidRDefault="006E6B03">
            <w:r>
              <w:rPr>
                <w:color w:val="000000"/>
              </w:rPr>
              <w:t xml:space="preserve">Нарушения на прегледа на лицензиите, последващи заявления за лицензиране и задължения на притежателите на лицензии за вещества и потребителите надолу по веригата </w:t>
            </w:r>
          </w:p>
        </w:tc>
        <w:tc>
          <w:tcPr>
            <w:tcW w:w="3119" w:type="dxa"/>
            <w:tcBorders>
              <w:top w:val="single" w:sz="4" w:space="0" w:color="000000"/>
              <w:bottom w:val="single" w:sz="4" w:space="0" w:color="000000"/>
              <w:right w:val="single" w:sz="4" w:space="0" w:color="000000"/>
            </w:tcBorders>
            <w:shd w:val="clear" w:color="auto" w:fill="FFFFFF"/>
            <w:vAlign w:val="center"/>
          </w:tcPr>
          <w:p w14:paraId="787949E0" w14:textId="77777777" w:rsidR="002D7106" w:rsidRDefault="006E6B03">
            <w:r>
              <w:rPr>
                <w:color w:val="000000"/>
              </w:rPr>
              <w:t>Нарушения на членове 61, 63, 65 и 66</w:t>
            </w:r>
          </w:p>
        </w:tc>
        <w:tc>
          <w:tcPr>
            <w:tcW w:w="1786" w:type="dxa"/>
            <w:tcBorders>
              <w:top w:val="single" w:sz="4" w:space="0" w:color="000000"/>
              <w:bottom w:val="single" w:sz="4" w:space="0" w:color="000000"/>
              <w:right w:val="single" w:sz="4" w:space="0" w:color="000000"/>
            </w:tcBorders>
            <w:shd w:val="clear" w:color="auto" w:fill="auto"/>
            <w:vAlign w:val="center"/>
          </w:tcPr>
          <w:p w14:paraId="60140617" w14:textId="77777777" w:rsidR="002D7106" w:rsidRDefault="006E6B03">
            <w:r>
              <w:rPr>
                <w:color w:val="000000"/>
              </w:rPr>
              <w:t>1 000</w:t>
            </w:r>
          </w:p>
        </w:tc>
      </w:tr>
      <w:tr w:rsidR="002D7106" w14:paraId="286DB7C1" w14:textId="77777777">
        <w:trPr>
          <w:trHeight w:val="600"/>
        </w:trPr>
        <w:tc>
          <w:tcPr>
            <w:tcW w:w="34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316B01" w14:textId="77777777" w:rsidR="002D7106" w:rsidRDefault="006E6B03">
            <w:r>
              <w:rPr>
                <w:color w:val="000000"/>
              </w:rPr>
              <w:t xml:space="preserve">Нарушения на ограниченията върху производството, обезвреждането и употребата на вещества </w:t>
            </w:r>
          </w:p>
        </w:tc>
        <w:tc>
          <w:tcPr>
            <w:tcW w:w="3119" w:type="dxa"/>
            <w:tcBorders>
              <w:top w:val="single" w:sz="4" w:space="0" w:color="000000"/>
              <w:bottom w:val="single" w:sz="4" w:space="0" w:color="000000"/>
              <w:right w:val="single" w:sz="4" w:space="0" w:color="000000"/>
            </w:tcBorders>
            <w:shd w:val="clear" w:color="auto" w:fill="FFFFFF"/>
            <w:vAlign w:val="center"/>
          </w:tcPr>
          <w:p w14:paraId="0CE2C9ED" w14:textId="77777777" w:rsidR="002D7106" w:rsidRDefault="006E6B03">
            <w:r>
              <w:t>Нарушения на член 67</w:t>
            </w:r>
          </w:p>
        </w:tc>
        <w:tc>
          <w:tcPr>
            <w:tcW w:w="1786" w:type="dxa"/>
            <w:tcBorders>
              <w:top w:val="single" w:sz="4" w:space="0" w:color="000000"/>
              <w:bottom w:val="single" w:sz="4" w:space="0" w:color="000000"/>
              <w:right w:val="single" w:sz="4" w:space="0" w:color="000000"/>
            </w:tcBorders>
            <w:shd w:val="clear" w:color="auto" w:fill="auto"/>
            <w:vAlign w:val="center"/>
          </w:tcPr>
          <w:p w14:paraId="7369444A" w14:textId="77777777" w:rsidR="002D7106" w:rsidRDefault="006E6B03">
            <w:r>
              <w:rPr>
                <w:color w:val="000000"/>
              </w:rPr>
              <w:t>3 000</w:t>
            </w:r>
          </w:p>
        </w:tc>
      </w:tr>
      <w:tr w:rsidR="002D7106" w14:paraId="21A038BD" w14:textId="77777777">
        <w:trPr>
          <w:trHeight w:val="1500"/>
        </w:trPr>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F3E1C" w14:textId="77777777" w:rsidR="002D7106" w:rsidRDefault="006E6B03">
            <w:r>
              <w:rPr>
                <w:color w:val="000000"/>
              </w:rPr>
              <w:t>Невярно деклариране от дружество пред Агенцията по химикали относно категорията МСП (средни, малки, микропредприятия) съгласно определението за микро-, малки и средни предприятия</w:t>
            </w:r>
          </w:p>
        </w:tc>
        <w:tc>
          <w:tcPr>
            <w:tcW w:w="3119" w:type="dxa"/>
            <w:tcBorders>
              <w:top w:val="single" w:sz="4" w:space="0" w:color="000000"/>
              <w:bottom w:val="single" w:sz="4" w:space="0" w:color="000000"/>
              <w:right w:val="single" w:sz="4" w:space="0" w:color="000000"/>
            </w:tcBorders>
            <w:shd w:val="clear" w:color="auto" w:fill="auto"/>
            <w:vAlign w:val="center"/>
          </w:tcPr>
          <w:p w14:paraId="736E6739" w14:textId="3CBCF20E" w:rsidR="002D7106" w:rsidRDefault="006E6B03">
            <w:r>
              <w:rPr>
                <w:color w:val="000000"/>
              </w:rPr>
              <w:t>Препоръка 2003/361/ЕО на Комисията (L 124/20.5.2003 г.)</w:t>
            </w:r>
          </w:p>
        </w:tc>
        <w:tc>
          <w:tcPr>
            <w:tcW w:w="1786" w:type="dxa"/>
            <w:tcBorders>
              <w:top w:val="single" w:sz="4" w:space="0" w:color="000000"/>
              <w:bottom w:val="single" w:sz="4" w:space="0" w:color="000000"/>
              <w:right w:val="single" w:sz="4" w:space="0" w:color="000000"/>
            </w:tcBorders>
            <w:shd w:val="clear" w:color="auto" w:fill="auto"/>
            <w:vAlign w:val="center"/>
          </w:tcPr>
          <w:p w14:paraId="6D7AF89B" w14:textId="77777777" w:rsidR="002D7106" w:rsidRDefault="006E6B03">
            <w:r>
              <w:rPr>
                <w:color w:val="000000"/>
              </w:rPr>
              <w:t>2 000</w:t>
            </w:r>
          </w:p>
        </w:tc>
      </w:tr>
      <w:tr w:rsidR="002D7106" w14:paraId="50A17BD6" w14:textId="77777777">
        <w:trPr>
          <w:trHeight w:val="1500"/>
        </w:trPr>
        <w:tc>
          <w:tcPr>
            <w:tcW w:w="34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AD69D4" w14:textId="77777777" w:rsidR="002D7106" w:rsidRDefault="006E6B03">
            <w:r>
              <w:rPr>
                <w:b/>
                <w:color w:val="000000"/>
              </w:rPr>
              <w:t>Нарушения от категория Б</w:t>
            </w:r>
          </w:p>
          <w:p w14:paraId="09C1A237" w14:textId="77777777" w:rsidR="002D7106" w:rsidRDefault="006E6B03">
            <w:r>
              <w:rPr>
                <w:b/>
                <w:color w:val="000000"/>
              </w:rPr>
              <w:t>Възпрепятстване на инспекцията/контрола</w:t>
            </w:r>
          </w:p>
        </w:tc>
        <w:tc>
          <w:tcPr>
            <w:tcW w:w="3119" w:type="dxa"/>
            <w:tcBorders>
              <w:top w:val="single" w:sz="4" w:space="0" w:color="000000"/>
              <w:bottom w:val="single" w:sz="4" w:space="0" w:color="000000"/>
              <w:right w:val="single" w:sz="4" w:space="0" w:color="000000"/>
            </w:tcBorders>
            <w:shd w:val="clear" w:color="auto" w:fill="E7E6E6"/>
            <w:vAlign w:val="center"/>
          </w:tcPr>
          <w:p w14:paraId="6478D44C" w14:textId="77777777" w:rsidR="002D7106" w:rsidRDefault="002D7106">
            <w:pPr>
              <w:rPr>
                <w:b/>
                <w:bCs/>
                <w:color w:val="000000"/>
              </w:rPr>
            </w:pPr>
          </w:p>
        </w:tc>
        <w:tc>
          <w:tcPr>
            <w:tcW w:w="1786" w:type="dxa"/>
            <w:tcBorders>
              <w:top w:val="single" w:sz="4" w:space="0" w:color="000000"/>
              <w:bottom w:val="single" w:sz="4" w:space="0" w:color="000000"/>
              <w:right w:val="single" w:sz="4" w:space="0" w:color="000000"/>
            </w:tcBorders>
            <w:shd w:val="clear" w:color="auto" w:fill="E7E6E6"/>
            <w:vAlign w:val="center"/>
          </w:tcPr>
          <w:p w14:paraId="0A7549EB" w14:textId="77777777" w:rsidR="002D7106" w:rsidRDefault="006E6B03">
            <w:r>
              <w:rPr>
                <w:b/>
                <w:color w:val="000000"/>
              </w:rPr>
              <w:t>Максимална базова цена (МБЦ) за вещество/смес/изделие и за нарушение в евро</w:t>
            </w:r>
          </w:p>
        </w:tc>
      </w:tr>
      <w:tr w:rsidR="002D7106" w14:paraId="2B2F3D06" w14:textId="77777777">
        <w:trPr>
          <w:trHeight w:val="1692"/>
        </w:trPr>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31347" w14:textId="75C1589D" w:rsidR="002D7106" w:rsidRDefault="006E6B03" w:rsidP="00E12AE7">
            <w:pPr>
              <w:rPr>
                <w:rFonts w:cs="MgHelveticaUCPol"/>
                <w:color w:val="000000"/>
              </w:rPr>
            </w:pPr>
            <w:r>
              <w:rPr>
                <w:color w:val="000000"/>
              </w:rPr>
              <w:t>Отказ за предоставяне на информация или предоставяне на данни по време на инспекция/контрол за съответствие с разпоредбите на Регламент (ЕО) № 1907/2006</w:t>
            </w:r>
          </w:p>
        </w:tc>
        <w:tc>
          <w:tcPr>
            <w:tcW w:w="3119" w:type="dxa"/>
            <w:tcBorders>
              <w:top w:val="single" w:sz="4" w:space="0" w:color="000000"/>
              <w:bottom w:val="single" w:sz="4" w:space="0" w:color="000000"/>
              <w:right w:val="single" w:sz="4" w:space="0" w:color="000000"/>
            </w:tcBorders>
            <w:shd w:val="clear" w:color="auto" w:fill="auto"/>
            <w:vAlign w:val="center"/>
          </w:tcPr>
          <w:p w14:paraId="4C4788E6" w14:textId="77777777" w:rsidR="002D7106" w:rsidRDefault="002D7106">
            <w:pPr>
              <w:rPr>
                <w:rFonts w:cs="MgHelveticaUCPol"/>
                <w:color w:val="000000"/>
              </w:rPr>
            </w:pPr>
          </w:p>
        </w:tc>
        <w:tc>
          <w:tcPr>
            <w:tcW w:w="1786" w:type="dxa"/>
            <w:tcBorders>
              <w:top w:val="single" w:sz="4" w:space="0" w:color="000000"/>
              <w:bottom w:val="single" w:sz="4" w:space="0" w:color="000000"/>
              <w:right w:val="single" w:sz="4" w:space="0" w:color="000000"/>
            </w:tcBorders>
            <w:shd w:val="clear" w:color="auto" w:fill="auto"/>
            <w:vAlign w:val="center"/>
          </w:tcPr>
          <w:p w14:paraId="6F5BAE01" w14:textId="77777777" w:rsidR="002D7106" w:rsidRDefault="006E6B03">
            <w:r>
              <w:rPr>
                <w:color w:val="000000"/>
              </w:rPr>
              <w:t>5 000</w:t>
            </w:r>
          </w:p>
        </w:tc>
      </w:tr>
      <w:tr w:rsidR="002D7106" w14:paraId="02F3AA24" w14:textId="77777777">
        <w:trPr>
          <w:trHeight w:val="1692"/>
        </w:trPr>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CEF1" w14:textId="77777777" w:rsidR="002D7106" w:rsidRDefault="006E6B03">
            <w:r>
              <w:rPr>
                <w:color w:val="000000"/>
              </w:rPr>
              <w:lastRenderedPageBreak/>
              <w:t>Възпрепятстване на инспекция/контрол или отказ за извършването им</w:t>
            </w:r>
          </w:p>
        </w:tc>
        <w:tc>
          <w:tcPr>
            <w:tcW w:w="3119" w:type="dxa"/>
            <w:tcBorders>
              <w:top w:val="single" w:sz="4" w:space="0" w:color="000000"/>
              <w:bottom w:val="single" w:sz="4" w:space="0" w:color="000000"/>
              <w:right w:val="single" w:sz="4" w:space="0" w:color="000000"/>
            </w:tcBorders>
            <w:shd w:val="clear" w:color="auto" w:fill="auto"/>
            <w:vAlign w:val="center"/>
          </w:tcPr>
          <w:p w14:paraId="40C3E37E" w14:textId="77777777" w:rsidR="002D7106" w:rsidRDefault="002D7106">
            <w:pPr>
              <w:rPr>
                <w:rFonts w:cs="MgHelveticaUCPol"/>
                <w:color w:val="000000"/>
              </w:rPr>
            </w:pPr>
          </w:p>
        </w:tc>
        <w:tc>
          <w:tcPr>
            <w:tcW w:w="1786" w:type="dxa"/>
            <w:tcBorders>
              <w:top w:val="single" w:sz="4" w:space="0" w:color="000000"/>
              <w:bottom w:val="single" w:sz="4" w:space="0" w:color="000000"/>
              <w:right w:val="single" w:sz="4" w:space="0" w:color="000000"/>
            </w:tcBorders>
            <w:shd w:val="clear" w:color="auto" w:fill="auto"/>
            <w:vAlign w:val="center"/>
          </w:tcPr>
          <w:p w14:paraId="35FB40DA" w14:textId="77777777" w:rsidR="002D7106" w:rsidRDefault="006E6B03">
            <w:r>
              <w:rPr>
                <w:color w:val="000000"/>
              </w:rPr>
              <w:t>50 000</w:t>
            </w:r>
          </w:p>
        </w:tc>
      </w:tr>
      <w:tr w:rsidR="002D7106" w14:paraId="09E3235D" w14:textId="77777777">
        <w:trPr>
          <w:trHeight w:val="782"/>
        </w:trPr>
        <w:tc>
          <w:tcPr>
            <w:tcW w:w="34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8D2CA5E" w14:textId="77777777" w:rsidR="002D7106" w:rsidRDefault="006E6B03">
            <w:r>
              <w:rPr>
                <w:b/>
                <w:color w:val="000000"/>
              </w:rPr>
              <w:t>Нарушения от категория В</w:t>
            </w:r>
          </w:p>
          <w:p w14:paraId="29AA6732" w14:textId="77777777" w:rsidR="002D7106" w:rsidRDefault="006E6B03">
            <w:r>
              <w:rPr>
                <w:b/>
                <w:color w:val="000000"/>
              </w:rPr>
              <w:t>Други нарушения</w:t>
            </w:r>
          </w:p>
        </w:tc>
        <w:tc>
          <w:tcPr>
            <w:tcW w:w="3119" w:type="dxa"/>
            <w:tcBorders>
              <w:top w:val="single" w:sz="4" w:space="0" w:color="000000"/>
              <w:bottom w:val="single" w:sz="4" w:space="0" w:color="000000"/>
              <w:right w:val="single" w:sz="4" w:space="0" w:color="000000"/>
            </w:tcBorders>
            <w:shd w:val="clear" w:color="auto" w:fill="E7E6E6"/>
            <w:vAlign w:val="center"/>
          </w:tcPr>
          <w:p w14:paraId="0945BAFD" w14:textId="77777777" w:rsidR="002D7106" w:rsidRDefault="002D7106">
            <w:pPr>
              <w:rPr>
                <w:rFonts w:cs="MgHelveticaUCPol"/>
                <w:color w:val="000000"/>
              </w:rPr>
            </w:pPr>
          </w:p>
        </w:tc>
        <w:tc>
          <w:tcPr>
            <w:tcW w:w="1786" w:type="dxa"/>
            <w:tcBorders>
              <w:top w:val="single" w:sz="4" w:space="0" w:color="000000"/>
              <w:bottom w:val="single" w:sz="4" w:space="0" w:color="000000"/>
              <w:right w:val="single" w:sz="4" w:space="0" w:color="000000"/>
            </w:tcBorders>
            <w:shd w:val="clear" w:color="auto" w:fill="E7E6E6"/>
            <w:vAlign w:val="center"/>
          </w:tcPr>
          <w:p w14:paraId="53233CDF" w14:textId="77777777" w:rsidR="002D7106" w:rsidRDefault="006E6B03">
            <w:r>
              <w:rPr>
                <w:b/>
                <w:color w:val="000000"/>
              </w:rPr>
              <w:t>Максимална базова цена (MБP) за вещество/смес/изделие и за нарушение в евро</w:t>
            </w:r>
          </w:p>
        </w:tc>
      </w:tr>
      <w:tr w:rsidR="002D7106" w14:paraId="6BEC92E4" w14:textId="77777777">
        <w:trPr>
          <w:trHeight w:val="1500"/>
        </w:trPr>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04CEC" w14:textId="77777777" w:rsidR="002D7106" w:rsidRDefault="006E6B03">
            <w:r>
              <w:rPr>
                <w:color w:val="000000"/>
              </w:rPr>
              <w:t>Неизпълнение на наложените мерки за забрана на производството и/или разпространението, и/или употребата</w:t>
            </w:r>
          </w:p>
        </w:tc>
        <w:tc>
          <w:tcPr>
            <w:tcW w:w="3119" w:type="dxa"/>
            <w:tcBorders>
              <w:top w:val="single" w:sz="4" w:space="0" w:color="000000"/>
              <w:bottom w:val="single" w:sz="4" w:space="0" w:color="000000"/>
              <w:right w:val="single" w:sz="4" w:space="0" w:color="000000"/>
            </w:tcBorders>
            <w:shd w:val="clear" w:color="auto" w:fill="auto"/>
            <w:vAlign w:val="center"/>
          </w:tcPr>
          <w:p w14:paraId="7723E507" w14:textId="77777777" w:rsidR="002D7106" w:rsidRDefault="002D7106">
            <w:pPr>
              <w:rPr>
                <w:b/>
                <w:bCs/>
                <w:color w:val="000000"/>
              </w:rPr>
            </w:pPr>
          </w:p>
        </w:tc>
        <w:tc>
          <w:tcPr>
            <w:tcW w:w="1786" w:type="dxa"/>
            <w:tcBorders>
              <w:top w:val="single" w:sz="4" w:space="0" w:color="000000"/>
              <w:bottom w:val="single" w:sz="4" w:space="0" w:color="000000"/>
              <w:right w:val="single" w:sz="4" w:space="0" w:color="000000"/>
            </w:tcBorders>
            <w:shd w:val="clear" w:color="auto" w:fill="auto"/>
            <w:vAlign w:val="center"/>
          </w:tcPr>
          <w:p w14:paraId="371641F1" w14:textId="77777777" w:rsidR="002D7106" w:rsidRDefault="006E6B03">
            <w:r>
              <w:rPr>
                <w:color w:val="000000"/>
              </w:rPr>
              <w:t>50 000</w:t>
            </w:r>
          </w:p>
        </w:tc>
      </w:tr>
    </w:tbl>
    <w:p w14:paraId="6DCC1496" w14:textId="77777777" w:rsidR="002D7106" w:rsidRDefault="002D7106">
      <w:pPr>
        <w:rPr>
          <w:rFonts w:cs="MgHelveticaUCPol"/>
          <w:color w:val="000000"/>
        </w:rPr>
      </w:pPr>
    </w:p>
    <w:p w14:paraId="493E9DBA" w14:textId="539011EB" w:rsidR="002D7106" w:rsidRDefault="006E6B03">
      <w:pPr>
        <w:jc w:val="both"/>
      </w:pPr>
      <w:r>
        <w:rPr>
          <w:color w:val="000000"/>
        </w:rPr>
        <w:t>В случай на многократни нарушения на продукт от същата категория А от таблицата по-горе максималните базови цени се сумират, но общата цена на глобата не може да надвишава тавана на тази категория, т.е. десет хиляди евро (10 000 EUR).</w:t>
      </w:r>
    </w:p>
    <w:p w14:paraId="0235BD51" w14:textId="77777777" w:rsidR="002D7106" w:rsidRDefault="006E6B03">
      <w:pPr>
        <w:jc w:val="both"/>
      </w:pPr>
      <w:r>
        <w:rPr>
          <w:color w:val="000000"/>
        </w:rPr>
        <w:t>Максималната базова цена за категории Б и В, посочена в таблицата, е независима и самостоятелна.</w:t>
      </w:r>
    </w:p>
    <w:p w14:paraId="62AC909C" w14:textId="77777777" w:rsidR="002D7106" w:rsidRDefault="002D7106">
      <w:pPr>
        <w:rPr>
          <w:rFonts w:cs="MgHelveticaUCPol"/>
          <w:color w:val="000000"/>
        </w:rPr>
      </w:pPr>
    </w:p>
    <w:p w14:paraId="113495C1" w14:textId="77777777" w:rsidR="002D7106" w:rsidRDefault="006E6B03">
      <w:r>
        <w:rPr>
          <w:color w:val="000000"/>
        </w:rPr>
        <w:t>б) установяване на коефициента за определяне на глобата (КОГ) въз основа на статута на икономическия оператор, който е обект на контрол, както следва:</w:t>
      </w:r>
    </w:p>
    <w:p w14:paraId="2961D8DE" w14:textId="77777777" w:rsidR="002D7106" w:rsidRDefault="002D7106">
      <w:pPr>
        <w:rPr>
          <w:rFonts w:cs="MgHelveticaUCPol"/>
          <w:color w:val="000000"/>
        </w:rPr>
      </w:pPr>
    </w:p>
    <w:tbl>
      <w:tblPr>
        <w:tblW w:w="0" w:type="auto"/>
        <w:tblInd w:w="108" w:type="dxa"/>
        <w:tblLayout w:type="fixed"/>
        <w:tblLook w:val="0000" w:firstRow="0" w:lastRow="0" w:firstColumn="0" w:lastColumn="0" w:noHBand="0" w:noVBand="0"/>
      </w:tblPr>
      <w:tblGrid>
        <w:gridCol w:w="5806"/>
        <w:gridCol w:w="1843"/>
      </w:tblGrid>
      <w:tr w:rsidR="002D7106" w14:paraId="00967840" w14:textId="77777777">
        <w:trPr>
          <w:trHeight w:val="630"/>
        </w:trPr>
        <w:tc>
          <w:tcPr>
            <w:tcW w:w="580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9C988A1" w14:textId="77777777" w:rsidR="002D7106" w:rsidRDefault="006E6B03">
            <w:r>
              <w:rPr>
                <w:b/>
                <w:color w:val="000000"/>
              </w:rPr>
              <w:t>Статут на икономически оператор</w:t>
            </w:r>
          </w:p>
        </w:tc>
        <w:tc>
          <w:tcPr>
            <w:tcW w:w="184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38B4302" w14:textId="77777777" w:rsidR="002D7106" w:rsidRDefault="006E6B03">
            <w:r>
              <w:rPr>
                <w:b/>
                <w:color w:val="000000"/>
              </w:rPr>
              <w:t>Коефициент за определяне на глобата</w:t>
            </w:r>
          </w:p>
        </w:tc>
      </w:tr>
      <w:tr w:rsidR="002D7106" w14:paraId="4B8FC489" w14:textId="77777777">
        <w:trPr>
          <w:trHeight w:val="600"/>
        </w:trPr>
        <w:tc>
          <w:tcPr>
            <w:tcW w:w="58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8FDE88" w14:textId="77777777" w:rsidR="002D7106" w:rsidRDefault="006E6B03">
            <w:r>
              <w:rPr>
                <w:color w:val="000000"/>
              </w:rPr>
              <w:t>Производител, изключителен представител, вносител</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58D27C" w14:textId="77777777" w:rsidR="002D7106" w:rsidRDefault="006E6B03">
            <w:r>
              <w:rPr>
                <w:color w:val="000000"/>
              </w:rPr>
              <w:t>1</w:t>
            </w:r>
          </w:p>
        </w:tc>
      </w:tr>
      <w:tr w:rsidR="002D7106" w14:paraId="17841C83" w14:textId="77777777">
        <w:trPr>
          <w:trHeight w:val="435"/>
        </w:trPr>
        <w:tc>
          <w:tcPr>
            <w:tcW w:w="58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73AA10" w14:textId="77777777" w:rsidR="002D7106" w:rsidRDefault="006E6B03">
            <w:r>
              <w:rPr>
                <w:color w:val="000000"/>
              </w:rPr>
              <w:t>Потребител надолу по веригата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50100A" w14:textId="77777777" w:rsidR="002D7106" w:rsidRDefault="006E6B03">
            <w:r>
              <w:rPr>
                <w:color w:val="000000"/>
              </w:rPr>
              <w:t>0,7</w:t>
            </w:r>
          </w:p>
        </w:tc>
      </w:tr>
      <w:tr w:rsidR="002D7106" w14:paraId="2C515FE3" w14:textId="77777777">
        <w:trPr>
          <w:trHeight w:val="675"/>
        </w:trPr>
        <w:tc>
          <w:tcPr>
            <w:tcW w:w="58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468F01" w14:textId="77777777" w:rsidR="002D7106" w:rsidRDefault="006E6B03">
            <w:r>
              <w:rPr>
                <w:color w:val="000000"/>
              </w:rPr>
              <w:t>Дистрибутор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E8E2CB" w14:textId="77777777" w:rsidR="002D7106" w:rsidRDefault="006E6B03">
            <w:r>
              <w:rPr>
                <w:color w:val="000000"/>
              </w:rPr>
              <w:t>0,4</w:t>
            </w:r>
          </w:p>
        </w:tc>
      </w:tr>
    </w:tbl>
    <w:p w14:paraId="48D84EA6" w14:textId="77777777" w:rsidR="002D7106" w:rsidRDefault="002D7106">
      <w:pPr>
        <w:tabs>
          <w:tab w:val="left" w:pos="426"/>
        </w:tabs>
        <w:contextualSpacing/>
        <w:jc w:val="both"/>
        <w:rPr>
          <w:rFonts w:cs="MyriadPro-Regular"/>
          <w:color w:val="000000"/>
        </w:rPr>
      </w:pPr>
    </w:p>
    <w:p w14:paraId="2D4DFF36" w14:textId="77777777" w:rsidR="002D7106" w:rsidRDefault="006E6B03">
      <w:pPr>
        <w:tabs>
          <w:tab w:val="left" w:pos="426"/>
        </w:tabs>
        <w:spacing w:line="276" w:lineRule="auto"/>
        <w:contextualSpacing/>
        <w:jc w:val="both"/>
      </w:pPr>
      <w:r>
        <w:rPr>
          <w:color w:val="000000"/>
        </w:rPr>
        <w:t>в) оценка на критериите, свързани с одитирания икономически оператор или ползвател, и оценка на съответните критерии в съответствие с таблицата по-долу:</w:t>
      </w:r>
    </w:p>
    <w:p w14:paraId="24448A58" w14:textId="77777777" w:rsidR="002D7106" w:rsidRDefault="002D7106">
      <w:pPr>
        <w:tabs>
          <w:tab w:val="left" w:pos="426"/>
        </w:tabs>
        <w:contextualSpacing/>
        <w:jc w:val="both"/>
        <w:rPr>
          <w:rFonts w:cs="MyriadPro-Regular"/>
          <w:color w:val="000000"/>
        </w:rPr>
      </w:pPr>
    </w:p>
    <w:p w14:paraId="747C0FA2" w14:textId="77777777" w:rsidR="002D7106" w:rsidRDefault="002D7106">
      <w:pPr>
        <w:tabs>
          <w:tab w:val="left" w:pos="426"/>
        </w:tabs>
        <w:contextualSpacing/>
        <w:jc w:val="both"/>
        <w:rPr>
          <w:rFonts w:cs="MyriadPro-Regular"/>
          <w:color w:val="000000"/>
        </w:rPr>
      </w:pPr>
    </w:p>
    <w:tbl>
      <w:tblPr>
        <w:tblW w:w="8392" w:type="dxa"/>
        <w:tblInd w:w="108" w:type="dxa"/>
        <w:tblLayout w:type="fixed"/>
        <w:tblLook w:val="0000" w:firstRow="0" w:lastRow="0" w:firstColumn="0" w:lastColumn="0" w:noHBand="0" w:noVBand="0"/>
      </w:tblPr>
      <w:tblGrid>
        <w:gridCol w:w="3592"/>
        <w:gridCol w:w="3782"/>
        <w:gridCol w:w="1018"/>
      </w:tblGrid>
      <w:tr w:rsidR="002D7106" w14:paraId="1904DCBC" w14:textId="77777777" w:rsidTr="0073759D">
        <w:trPr>
          <w:trHeight w:val="300"/>
        </w:trPr>
        <w:tc>
          <w:tcPr>
            <w:tcW w:w="359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670A67F" w14:textId="77777777" w:rsidR="002D7106" w:rsidRDefault="006E6B03">
            <w:r>
              <w:rPr>
                <w:b/>
                <w:color w:val="000000"/>
              </w:rPr>
              <w:t xml:space="preserve">Критерий </w:t>
            </w:r>
          </w:p>
        </w:tc>
        <w:tc>
          <w:tcPr>
            <w:tcW w:w="3782" w:type="dxa"/>
            <w:tcBorders>
              <w:top w:val="single" w:sz="4" w:space="0" w:color="000000"/>
              <w:bottom w:val="single" w:sz="4" w:space="0" w:color="000000"/>
              <w:right w:val="single" w:sz="4" w:space="0" w:color="000000"/>
            </w:tcBorders>
            <w:shd w:val="clear" w:color="auto" w:fill="E7E6E6"/>
            <w:vAlign w:val="center"/>
          </w:tcPr>
          <w:p w14:paraId="3AB03EAA" w14:textId="77777777" w:rsidR="002D7106" w:rsidRDefault="006E6B03">
            <w:r>
              <w:rPr>
                <w:b/>
                <w:color w:val="000000"/>
              </w:rPr>
              <w:t xml:space="preserve">Оценка </w:t>
            </w:r>
          </w:p>
        </w:tc>
        <w:tc>
          <w:tcPr>
            <w:tcW w:w="1018" w:type="dxa"/>
            <w:tcBorders>
              <w:top w:val="single" w:sz="4" w:space="0" w:color="000000"/>
              <w:bottom w:val="single" w:sz="4" w:space="0" w:color="000000"/>
              <w:right w:val="single" w:sz="4" w:space="0" w:color="000000"/>
            </w:tcBorders>
            <w:shd w:val="clear" w:color="auto" w:fill="E7E6E6"/>
            <w:vAlign w:val="center"/>
          </w:tcPr>
          <w:p w14:paraId="1660C226" w14:textId="77777777" w:rsidR="002D7106" w:rsidRDefault="006E6B03">
            <w:r>
              <w:rPr>
                <w:b/>
                <w:color w:val="000000"/>
              </w:rPr>
              <w:t>Резултат</w:t>
            </w:r>
          </w:p>
        </w:tc>
      </w:tr>
      <w:tr w:rsidR="002D7106" w14:paraId="6EC7F615" w14:textId="77777777" w:rsidTr="0073759D">
        <w:trPr>
          <w:trHeight w:val="900"/>
        </w:trPr>
        <w:tc>
          <w:tcPr>
            <w:tcW w:w="3592" w:type="dxa"/>
            <w:vMerge w:val="restart"/>
            <w:tcBorders>
              <w:left w:val="single" w:sz="4" w:space="0" w:color="000000"/>
              <w:bottom w:val="single" w:sz="4" w:space="0" w:color="000000"/>
              <w:right w:val="single" w:sz="4" w:space="0" w:color="000000"/>
            </w:tcBorders>
            <w:shd w:val="clear" w:color="auto" w:fill="auto"/>
            <w:vAlign w:val="center"/>
          </w:tcPr>
          <w:p w14:paraId="6A94E339" w14:textId="77777777" w:rsidR="002D7106" w:rsidRDefault="006E6B03">
            <w:r>
              <w:rPr>
                <w:color w:val="000000"/>
              </w:rPr>
              <w:t xml:space="preserve">Степен на сътрудничество на одитирания икономически оператор </w:t>
            </w:r>
          </w:p>
        </w:tc>
        <w:tc>
          <w:tcPr>
            <w:tcW w:w="3782" w:type="dxa"/>
            <w:tcBorders>
              <w:bottom w:val="single" w:sz="4" w:space="0" w:color="000000"/>
              <w:right w:val="single" w:sz="4" w:space="0" w:color="000000"/>
            </w:tcBorders>
            <w:shd w:val="clear" w:color="auto" w:fill="auto"/>
            <w:vAlign w:val="center"/>
          </w:tcPr>
          <w:p w14:paraId="6CDDF41F" w14:textId="77777777" w:rsidR="002D7106" w:rsidRDefault="006E6B03">
            <w:r>
              <w:rPr>
                <w:color w:val="000000"/>
              </w:rPr>
              <w:t>Отлично: Доброволно действие — превантивни мерки, за да се гарантира, че нарушението няма да се повтори</w:t>
            </w:r>
          </w:p>
        </w:tc>
        <w:tc>
          <w:tcPr>
            <w:tcW w:w="1018" w:type="dxa"/>
            <w:tcBorders>
              <w:bottom w:val="single" w:sz="4" w:space="0" w:color="000000"/>
              <w:right w:val="single" w:sz="4" w:space="0" w:color="000000"/>
            </w:tcBorders>
            <w:shd w:val="clear" w:color="auto" w:fill="auto"/>
            <w:vAlign w:val="bottom"/>
          </w:tcPr>
          <w:p w14:paraId="19EB311D" w14:textId="77777777" w:rsidR="002D7106" w:rsidRDefault="006E6B03">
            <w:r>
              <w:rPr>
                <w:color w:val="000000"/>
              </w:rPr>
              <w:t>0</w:t>
            </w:r>
          </w:p>
        </w:tc>
      </w:tr>
      <w:tr w:rsidR="002D7106" w14:paraId="4BFFEE40" w14:textId="77777777" w:rsidTr="0073759D">
        <w:trPr>
          <w:trHeight w:val="795"/>
        </w:trPr>
        <w:tc>
          <w:tcPr>
            <w:tcW w:w="3592" w:type="dxa"/>
            <w:vMerge/>
            <w:tcBorders>
              <w:left w:val="single" w:sz="4" w:space="0" w:color="000000"/>
              <w:bottom w:val="single" w:sz="4" w:space="0" w:color="000000"/>
              <w:right w:val="single" w:sz="4" w:space="0" w:color="000000"/>
            </w:tcBorders>
            <w:shd w:val="clear" w:color="auto" w:fill="auto"/>
            <w:vAlign w:val="center"/>
          </w:tcPr>
          <w:p w14:paraId="08386796" w14:textId="77777777" w:rsidR="002D7106" w:rsidRDefault="002D7106">
            <w:pPr>
              <w:rPr>
                <w:color w:val="000000"/>
              </w:rPr>
            </w:pPr>
          </w:p>
        </w:tc>
        <w:tc>
          <w:tcPr>
            <w:tcW w:w="3782" w:type="dxa"/>
            <w:tcBorders>
              <w:bottom w:val="single" w:sz="4" w:space="0" w:color="000000"/>
              <w:right w:val="single" w:sz="4" w:space="0" w:color="000000"/>
            </w:tcBorders>
            <w:shd w:val="clear" w:color="auto" w:fill="auto"/>
            <w:vAlign w:val="center"/>
          </w:tcPr>
          <w:p w14:paraId="76EAA4F4" w14:textId="77777777" w:rsidR="002D7106" w:rsidRDefault="006E6B03">
            <w:r>
              <w:rPr>
                <w:color w:val="000000"/>
              </w:rPr>
              <w:t>Добро: Способност за оценка на ситуацията — предприети коригиращи мерки</w:t>
            </w:r>
          </w:p>
        </w:tc>
        <w:tc>
          <w:tcPr>
            <w:tcW w:w="1018" w:type="dxa"/>
            <w:tcBorders>
              <w:bottom w:val="single" w:sz="4" w:space="0" w:color="000000"/>
              <w:right w:val="single" w:sz="4" w:space="0" w:color="000000"/>
            </w:tcBorders>
            <w:shd w:val="clear" w:color="auto" w:fill="auto"/>
            <w:vAlign w:val="bottom"/>
          </w:tcPr>
          <w:p w14:paraId="22C71F13" w14:textId="77777777" w:rsidR="002D7106" w:rsidRDefault="006E6B03">
            <w:r>
              <w:rPr>
                <w:color w:val="000000"/>
              </w:rPr>
              <w:t>5</w:t>
            </w:r>
          </w:p>
        </w:tc>
      </w:tr>
      <w:tr w:rsidR="002D7106" w14:paraId="78173FEA" w14:textId="77777777" w:rsidTr="0073759D">
        <w:trPr>
          <w:trHeight w:val="810"/>
        </w:trPr>
        <w:tc>
          <w:tcPr>
            <w:tcW w:w="3592" w:type="dxa"/>
            <w:vMerge/>
            <w:tcBorders>
              <w:left w:val="single" w:sz="4" w:space="0" w:color="000000"/>
              <w:bottom w:val="single" w:sz="4" w:space="0" w:color="000000"/>
              <w:right w:val="single" w:sz="4" w:space="0" w:color="000000"/>
            </w:tcBorders>
            <w:shd w:val="clear" w:color="auto" w:fill="auto"/>
            <w:vAlign w:val="center"/>
          </w:tcPr>
          <w:p w14:paraId="3463D8A1" w14:textId="77777777" w:rsidR="002D7106" w:rsidRDefault="002D7106">
            <w:pPr>
              <w:rPr>
                <w:color w:val="000000"/>
              </w:rPr>
            </w:pPr>
          </w:p>
        </w:tc>
        <w:tc>
          <w:tcPr>
            <w:tcW w:w="3782" w:type="dxa"/>
            <w:tcBorders>
              <w:bottom w:val="single" w:sz="4" w:space="0" w:color="000000"/>
              <w:right w:val="single" w:sz="4" w:space="0" w:color="000000"/>
            </w:tcBorders>
            <w:shd w:val="clear" w:color="auto" w:fill="auto"/>
            <w:vAlign w:val="center"/>
          </w:tcPr>
          <w:p w14:paraId="757A67FC" w14:textId="7596D258" w:rsidR="002D7106" w:rsidRDefault="006E6B03">
            <w:r>
              <w:rPr>
                <w:color w:val="000000"/>
              </w:rPr>
              <w:t>Средно: Критичност</w:t>
            </w:r>
          </w:p>
        </w:tc>
        <w:tc>
          <w:tcPr>
            <w:tcW w:w="1018" w:type="dxa"/>
            <w:tcBorders>
              <w:bottom w:val="single" w:sz="4" w:space="0" w:color="000000"/>
              <w:right w:val="single" w:sz="4" w:space="0" w:color="000000"/>
            </w:tcBorders>
            <w:shd w:val="clear" w:color="auto" w:fill="auto"/>
            <w:vAlign w:val="bottom"/>
          </w:tcPr>
          <w:p w14:paraId="73F42408" w14:textId="77777777" w:rsidR="002D7106" w:rsidRDefault="006E6B03">
            <w:r>
              <w:rPr>
                <w:color w:val="000000"/>
              </w:rPr>
              <w:t>10</w:t>
            </w:r>
          </w:p>
        </w:tc>
      </w:tr>
      <w:tr w:rsidR="002D7106" w14:paraId="0FB3973B" w14:textId="77777777" w:rsidTr="0073759D">
        <w:trPr>
          <w:trHeight w:val="900"/>
        </w:trPr>
        <w:tc>
          <w:tcPr>
            <w:tcW w:w="3592" w:type="dxa"/>
            <w:vMerge/>
            <w:tcBorders>
              <w:left w:val="single" w:sz="4" w:space="0" w:color="000000"/>
              <w:bottom w:val="single" w:sz="4" w:space="0" w:color="000000"/>
              <w:right w:val="single" w:sz="4" w:space="0" w:color="000000"/>
            </w:tcBorders>
            <w:shd w:val="clear" w:color="auto" w:fill="auto"/>
            <w:vAlign w:val="center"/>
          </w:tcPr>
          <w:p w14:paraId="2EFBDB56" w14:textId="77777777" w:rsidR="002D7106" w:rsidRDefault="002D7106">
            <w:pPr>
              <w:rPr>
                <w:color w:val="000000"/>
              </w:rPr>
            </w:pPr>
          </w:p>
        </w:tc>
        <w:tc>
          <w:tcPr>
            <w:tcW w:w="3782" w:type="dxa"/>
            <w:tcBorders>
              <w:bottom w:val="single" w:sz="4" w:space="0" w:color="000000"/>
              <w:right w:val="single" w:sz="4" w:space="0" w:color="000000"/>
            </w:tcBorders>
            <w:shd w:val="clear" w:color="auto" w:fill="auto"/>
            <w:vAlign w:val="center"/>
          </w:tcPr>
          <w:p w14:paraId="0F1A384E" w14:textId="77777777" w:rsidR="002D7106" w:rsidRDefault="006E6B03">
            <w:r>
              <w:rPr>
                <w:color w:val="000000"/>
              </w:rPr>
              <w:t>Лошо: Негативизъм</w:t>
            </w:r>
          </w:p>
        </w:tc>
        <w:tc>
          <w:tcPr>
            <w:tcW w:w="1018" w:type="dxa"/>
            <w:tcBorders>
              <w:bottom w:val="single" w:sz="4" w:space="0" w:color="000000"/>
              <w:right w:val="single" w:sz="4" w:space="0" w:color="000000"/>
            </w:tcBorders>
            <w:shd w:val="clear" w:color="auto" w:fill="auto"/>
            <w:vAlign w:val="bottom"/>
          </w:tcPr>
          <w:p w14:paraId="7BEEB570" w14:textId="77777777" w:rsidR="002D7106" w:rsidRDefault="006E6B03">
            <w:r>
              <w:rPr>
                <w:color w:val="000000"/>
              </w:rPr>
              <w:t>20</w:t>
            </w:r>
          </w:p>
        </w:tc>
      </w:tr>
      <w:tr w:rsidR="002D7106" w14:paraId="5C04ADB9" w14:textId="77777777" w:rsidTr="0073759D">
        <w:trPr>
          <w:trHeight w:val="300"/>
        </w:trPr>
        <w:tc>
          <w:tcPr>
            <w:tcW w:w="35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BD6A8D" w14:textId="77777777" w:rsidR="002D7106" w:rsidRDefault="006E6B03">
            <w:r>
              <w:rPr>
                <w:color w:val="000000"/>
              </w:rPr>
              <w:t>Търговска стойност на несъответстващи на изискванията продукти (количество Х, единична цена), въз основа на документи за производство, внос, обработка и предлагане на пазара в евро</w:t>
            </w:r>
          </w:p>
        </w:tc>
        <w:tc>
          <w:tcPr>
            <w:tcW w:w="3782" w:type="dxa"/>
            <w:tcBorders>
              <w:top w:val="single" w:sz="4" w:space="0" w:color="000000"/>
              <w:bottom w:val="single" w:sz="4" w:space="0" w:color="000000"/>
              <w:right w:val="single" w:sz="4" w:space="0" w:color="000000"/>
            </w:tcBorders>
            <w:shd w:val="clear" w:color="auto" w:fill="auto"/>
            <w:vAlign w:val="bottom"/>
          </w:tcPr>
          <w:p w14:paraId="38ADA54D" w14:textId="77777777" w:rsidR="002D7106" w:rsidRDefault="006E6B03">
            <w:r>
              <w:rPr>
                <w:color w:val="000000"/>
              </w:rPr>
              <w:t>Много малка: Търговска стойност &lt; 1 000</w:t>
            </w:r>
          </w:p>
        </w:tc>
        <w:tc>
          <w:tcPr>
            <w:tcW w:w="1018" w:type="dxa"/>
            <w:tcBorders>
              <w:top w:val="single" w:sz="4" w:space="0" w:color="000000"/>
              <w:bottom w:val="single" w:sz="4" w:space="0" w:color="000000"/>
              <w:right w:val="single" w:sz="4" w:space="0" w:color="000000"/>
            </w:tcBorders>
            <w:shd w:val="clear" w:color="auto" w:fill="auto"/>
            <w:vAlign w:val="bottom"/>
          </w:tcPr>
          <w:p w14:paraId="78AB3B09" w14:textId="77777777" w:rsidR="002D7106" w:rsidRDefault="006E6B03">
            <w:r>
              <w:rPr>
                <w:color w:val="000000"/>
              </w:rPr>
              <w:t>0</w:t>
            </w:r>
          </w:p>
        </w:tc>
      </w:tr>
      <w:tr w:rsidR="002D7106" w14:paraId="18D0F229" w14:textId="77777777" w:rsidTr="0073759D">
        <w:trPr>
          <w:trHeight w:val="300"/>
        </w:trPr>
        <w:tc>
          <w:tcPr>
            <w:tcW w:w="35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8969F3" w14:textId="77777777" w:rsidR="002D7106" w:rsidRDefault="002D7106">
            <w:pPr>
              <w:rPr>
                <w:color w:val="000000"/>
              </w:rPr>
            </w:pPr>
          </w:p>
        </w:tc>
        <w:tc>
          <w:tcPr>
            <w:tcW w:w="3782" w:type="dxa"/>
            <w:tcBorders>
              <w:top w:val="single" w:sz="4" w:space="0" w:color="000000"/>
              <w:bottom w:val="single" w:sz="4" w:space="0" w:color="000000"/>
              <w:right w:val="single" w:sz="4" w:space="0" w:color="000000"/>
            </w:tcBorders>
            <w:shd w:val="clear" w:color="auto" w:fill="auto"/>
            <w:vAlign w:val="bottom"/>
          </w:tcPr>
          <w:p w14:paraId="44B25DA7" w14:textId="77777777" w:rsidR="002D7106" w:rsidRDefault="006E6B03">
            <w:r>
              <w:rPr>
                <w:color w:val="000000"/>
              </w:rPr>
              <w:t xml:space="preserve">Малка: 1 000 </w:t>
            </w:r>
            <w:r>
              <w:rPr>
                <w:color w:val="000000"/>
                <w:u w:val="single"/>
              </w:rPr>
              <w:t>&lt;</w:t>
            </w:r>
            <w:r>
              <w:rPr>
                <w:color w:val="000000"/>
              </w:rPr>
              <w:t xml:space="preserve"> Търговска стойност &lt; 50 000</w:t>
            </w:r>
          </w:p>
        </w:tc>
        <w:tc>
          <w:tcPr>
            <w:tcW w:w="1018" w:type="dxa"/>
            <w:tcBorders>
              <w:top w:val="single" w:sz="4" w:space="0" w:color="000000"/>
              <w:bottom w:val="single" w:sz="4" w:space="0" w:color="000000"/>
              <w:right w:val="single" w:sz="4" w:space="0" w:color="000000"/>
            </w:tcBorders>
            <w:shd w:val="clear" w:color="auto" w:fill="auto"/>
            <w:vAlign w:val="bottom"/>
          </w:tcPr>
          <w:p w14:paraId="09BFA95C" w14:textId="77777777" w:rsidR="002D7106" w:rsidRDefault="006E6B03">
            <w:r>
              <w:rPr>
                <w:color w:val="000000"/>
              </w:rPr>
              <w:t>5</w:t>
            </w:r>
          </w:p>
        </w:tc>
      </w:tr>
      <w:tr w:rsidR="002D7106" w14:paraId="4BD6D48B" w14:textId="77777777" w:rsidTr="0073759D">
        <w:trPr>
          <w:trHeight w:val="300"/>
        </w:trPr>
        <w:tc>
          <w:tcPr>
            <w:tcW w:w="35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E6CA2A" w14:textId="77777777" w:rsidR="002D7106" w:rsidRDefault="002D7106">
            <w:pPr>
              <w:rPr>
                <w:color w:val="000000"/>
              </w:rPr>
            </w:pPr>
          </w:p>
        </w:tc>
        <w:tc>
          <w:tcPr>
            <w:tcW w:w="3782" w:type="dxa"/>
            <w:tcBorders>
              <w:top w:val="single" w:sz="4" w:space="0" w:color="000000"/>
              <w:bottom w:val="single" w:sz="4" w:space="0" w:color="000000"/>
              <w:right w:val="single" w:sz="4" w:space="0" w:color="000000"/>
            </w:tcBorders>
            <w:shd w:val="clear" w:color="auto" w:fill="auto"/>
            <w:vAlign w:val="bottom"/>
          </w:tcPr>
          <w:p w14:paraId="0AE67ABD" w14:textId="454B5455" w:rsidR="002D7106" w:rsidRDefault="006E6B03">
            <w:r>
              <w:rPr>
                <w:color w:val="000000"/>
              </w:rPr>
              <w:t xml:space="preserve">Средна: 50 000 </w:t>
            </w:r>
            <w:r>
              <w:rPr>
                <w:color w:val="000000"/>
                <w:u w:val="single"/>
              </w:rPr>
              <w:t>&lt;</w:t>
            </w:r>
            <w:r>
              <w:rPr>
                <w:color w:val="000000"/>
              </w:rPr>
              <w:t xml:space="preserve"> Търговска стойност &lt; 100 000</w:t>
            </w:r>
          </w:p>
        </w:tc>
        <w:tc>
          <w:tcPr>
            <w:tcW w:w="1018" w:type="dxa"/>
            <w:tcBorders>
              <w:top w:val="single" w:sz="4" w:space="0" w:color="000000"/>
              <w:bottom w:val="single" w:sz="4" w:space="0" w:color="000000"/>
              <w:right w:val="single" w:sz="4" w:space="0" w:color="000000"/>
            </w:tcBorders>
            <w:shd w:val="clear" w:color="auto" w:fill="auto"/>
            <w:vAlign w:val="bottom"/>
          </w:tcPr>
          <w:p w14:paraId="46FF5118" w14:textId="77777777" w:rsidR="002D7106" w:rsidRDefault="006E6B03">
            <w:r>
              <w:rPr>
                <w:color w:val="000000"/>
              </w:rPr>
              <w:t>10</w:t>
            </w:r>
          </w:p>
        </w:tc>
      </w:tr>
      <w:tr w:rsidR="002D7106" w14:paraId="51B7B033" w14:textId="77777777" w:rsidTr="0073759D">
        <w:trPr>
          <w:trHeight w:val="300"/>
        </w:trPr>
        <w:tc>
          <w:tcPr>
            <w:tcW w:w="3592" w:type="dxa"/>
            <w:vMerge/>
            <w:tcBorders>
              <w:left w:val="single" w:sz="4" w:space="0" w:color="000000"/>
              <w:bottom w:val="single" w:sz="4" w:space="0" w:color="000000"/>
              <w:right w:val="single" w:sz="4" w:space="0" w:color="000000"/>
            </w:tcBorders>
            <w:shd w:val="clear" w:color="auto" w:fill="auto"/>
            <w:vAlign w:val="center"/>
          </w:tcPr>
          <w:p w14:paraId="0BA4B5A3" w14:textId="77777777" w:rsidR="002D7106" w:rsidRDefault="002D7106">
            <w:pPr>
              <w:rPr>
                <w:color w:val="000000"/>
              </w:rPr>
            </w:pPr>
          </w:p>
        </w:tc>
        <w:tc>
          <w:tcPr>
            <w:tcW w:w="3782" w:type="dxa"/>
            <w:tcBorders>
              <w:bottom w:val="single" w:sz="4" w:space="0" w:color="000000"/>
              <w:right w:val="single" w:sz="4" w:space="0" w:color="000000"/>
            </w:tcBorders>
            <w:shd w:val="clear" w:color="auto" w:fill="auto"/>
            <w:vAlign w:val="bottom"/>
          </w:tcPr>
          <w:p w14:paraId="48D8D939" w14:textId="77777777" w:rsidR="002D7106" w:rsidRDefault="006E6B03">
            <w:r>
              <w:rPr>
                <w:color w:val="000000"/>
              </w:rPr>
              <w:t xml:space="preserve">Висока търговска стойност </w:t>
            </w:r>
            <w:r>
              <w:rPr>
                <w:color w:val="000000"/>
                <w:u w:val="single"/>
              </w:rPr>
              <w:t>&gt;</w:t>
            </w:r>
            <w:r>
              <w:rPr>
                <w:color w:val="000000"/>
              </w:rPr>
              <w:t xml:space="preserve"> 100 000</w:t>
            </w:r>
          </w:p>
        </w:tc>
        <w:tc>
          <w:tcPr>
            <w:tcW w:w="1018" w:type="dxa"/>
            <w:tcBorders>
              <w:bottom w:val="single" w:sz="4" w:space="0" w:color="000000"/>
              <w:right w:val="single" w:sz="4" w:space="0" w:color="000000"/>
            </w:tcBorders>
            <w:shd w:val="clear" w:color="auto" w:fill="auto"/>
            <w:vAlign w:val="bottom"/>
          </w:tcPr>
          <w:p w14:paraId="42124396" w14:textId="77777777" w:rsidR="002D7106" w:rsidRDefault="006E6B03">
            <w:r>
              <w:rPr>
                <w:color w:val="000000"/>
              </w:rPr>
              <w:t>20</w:t>
            </w:r>
          </w:p>
        </w:tc>
      </w:tr>
      <w:tr w:rsidR="002D7106" w14:paraId="792D1113" w14:textId="77777777" w:rsidTr="0073759D">
        <w:trPr>
          <w:trHeight w:val="525"/>
        </w:trPr>
        <w:tc>
          <w:tcPr>
            <w:tcW w:w="3592" w:type="dxa"/>
            <w:vMerge w:val="restart"/>
            <w:tcBorders>
              <w:left w:val="single" w:sz="4" w:space="0" w:color="000000"/>
              <w:right w:val="single" w:sz="4" w:space="0" w:color="000000"/>
            </w:tcBorders>
            <w:shd w:val="clear" w:color="auto" w:fill="auto"/>
            <w:vAlign w:val="center"/>
          </w:tcPr>
          <w:p w14:paraId="0EEF8526" w14:textId="77777777" w:rsidR="002D7106" w:rsidRDefault="006E6B03">
            <w:r>
              <w:rPr>
                <w:color w:val="000000"/>
              </w:rPr>
              <w:t>Предходни несъответствия въз основа на резултатите от предишни проверки</w:t>
            </w:r>
          </w:p>
        </w:tc>
        <w:tc>
          <w:tcPr>
            <w:tcW w:w="3782" w:type="dxa"/>
            <w:tcBorders>
              <w:bottom w:val="single" w:sz="4" w:space="0" w:color="000000"/>
              <w:right w:val="single" w:sz="4" w:space="0" w:color="000000"/>
            </w:tcBorders>
            <w:shd w:val="clear" w:color="auto" w:fill="auto"/>
            <w:vAlign w:val="bottom"/>
          </w:tcPr>
          <w:p w14:paraId="15D3B682" w14:textId="77777777" w:rsidR="002D7106" w:rsidRDefault="006E6B03">
            <w:r>
              <w:rPr>
                <w:color w:val="000000"/>
              </w:rPr>
              <w:t>Не</w:t>
            </w:r>
          </w:p>
        </w:tc>
        <w:tc>
          <w:tcPr>
            <w:tcW w:w="1018" w:type="dxa"/>
            <w:tcBorders>
              <w:bottom w:val="single" w:sz="4" w:space="0" w:color="000000"/>
              <w:right w:val="single" w:sz="4" w:space="0" w:color="000000"/>
            </w:tcBorders>
            <w:shd w:val="clear" w:color="auto" w:fill="auto"/>
            <w:vAlign w:val="bottom"/>
          </w:tcPr>
          <w:p w14:paraId="760D5970" w14:textId="77777777" w:rsidR="002D7106" w:rsidRDefault="006E6B03">
            <w:r>
              <w:rPr>
                <w:color w:val="000000"/>
              </w:rPr>
              <w:t>0</w:t>
            </w:r>
          </w:p>
        </w:tc>
      </w:tr>
      <w:tr w:rsidR="002D7106" w14:paraId="4486FFA2" w14:textId="77777777" w:rsidTr="0073759D">
        <w:trPr>
          <w:trHeight w:val="615"/>
        </w:trPr>
        <w:tc>
          <w:tcPr>
            <w:tcW w:w="3592" w:type="dxa"/>
            <w:vMerge/>
            <w:tcBorders>
              <w:left w:val="single" w:sz="4" w:space="0" w:color="000000"/>
              <w:right w:val="single" w:sz="4" w:space="0" w:color="000000"/>
            </w:tcBorders>
            <w:shd w:val="clear" w:color="auto" w:fill="auto"/>
            <w:vAlign w:val="center"/>
          </w:tcPr>
          <w:p w14:paraId="50F4FB9D" w14:textId="77777777" w:rsidR="002D7106" w:rsidRDefault="002D7106">
            <w:pPr>
              <w:rPr>
                <w:color w:val="000000"/>
              </w:rPr>
            </w:pPr>
          </w:p>
        </w:tc>
        <w:tc>
          <w:tcPr>
            <w:tcW w:w="3782" w:type="dxa"/>
            <w:tcBorders>
              <w:bottom w:val="single" w:sz="4" w:space="0" w:color="000000"/>
              <w:right w:val="single" w:sz="4" w:space="0" w:color="000000"/>
            </w:tcBorders>
            <w:shd w:val="clear" w:color="auto" w:fill="auto"/>
            <w:vAlign w:val="bottom"/>
          </w:tcPr>
          <w:p w14:paraId="61659DA9" w14:textId="77777777" w:rsidR="002D7106" w:rsidRDefault="006E6B03">
            <w:r>
              <w:rPr>
                <w:color w:val="000000"/>
              </w:rPr>
              <w:t>Да</w:t>
            </w:r>
          </w:p>
        </w:tc>
        <w:tc>
          <w:tcPr>
            <w:tcW w:w="1018" w:type="dxa"/>
            <w:tcBorders>
              <w:bottom w:val="single" w:sz="4" w:space="0" w:color="000000"/>
              <w:right w:val="single" w:sz="4" w:space="0" w:color="000000"/>
            </w:tcBorders>
            <w:shd w:val="clear" w:color="auto" w:fill="auto"/>
            <w:vAlign w:val="bottom"/>
          </w:tcPr>
          <w:p w14:paraId="125E3E41" w14:textId="77777777" w:rsidR="002D7106" w:rsidRDefault="006E6B03">
            <w:r>
              <w:rPr>
                <w:color w:val="000000"/>
              </w:rPr>
              <w:t>20</w:t>
            </w:r>
          </w:p>
        </w:tc>
      </w:tr>
      <w:tr w:rsidR="002D7106" w14:paraId="69EE318A" w14:textId="77777777" w:rsidTr="0073759D">
        <w:trPr>
          <w:trHeight w:val="300"/>
        </w:trPr>
        <w:tc>
          <w:tcPr>
            <w:tcW w:w="3592"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A09B04A" w14:textId="77777777" w:rsidR="002D7106" w:rsidRDefault="006E6B03">
            <w:r>
              <w:rPr>
                <w:color w:val="000000"/>
              </w:rPr>
              <w:t>Предходни инциденти и жалби</w:t>
            </w:r>
          </w:p>
        </w:tc>
        <w:tc>
          <w:tcPr>
            <w:tcW w:w="3782" w:type="dxa"/>
            <w:tcBorders>
              <w:bottom w:val="single" w:sz="4" w:space="0" w:color="000000"/>
              <w:right w:val="single" w:sz="4" w:space="0" w:color="000000"/>
            </w:tcBorders>
            <w:shd w:val="clear" w:color="auto" w:fill="auto"/>
            <w:vAlign w:val="bottom"/>
          </w:tcPr>
          <w:p w14:paraId="30BCB078" w14:textId="77777777" w:rsidR="002D7106" w:rsidRDefault="006E6B03">
            <w:r>
              <w:rPr>
                <w:color w:val="000000"/>
              </w:rPr>
              <w:t>Не</w:t>
            </w:r>
          </w:p>
        </w:tc>
        <w:tc>
          <w:tcPr>
            <w:tcW w:w="1018" w:type="dxa"/>
            <w:tcBorders>
              <w:bottom w:val="single" w:sz="4" w:space="0" w:color="000000"/>
              <w:right w:val="single" w:sz="4" w:space="0" w:color="000000"/>
            </w:tcBorders>
            <w:shd w:val="clear" w:color="auto" w:fill="auto"/>
            <w:vAlign w:val="bottom"/>
          </w:tcPr>
          <w:p w14:paraId="51CABE2A" w14:textId="77777777" w:rsidR="002D7106" w:rsidRDefault="006E6B03">
            <w:r>
              <w:rPr>
                <w:color w:val="000000"/>
              </w:rPr>
              <w:t>0</w:t>
            </w:r>
          </w:p>
        </w:tc>
      </w:tr>
      <w:tr w:rsidR="002D7106" w14:paraId="70C7C6B6" w14:textId="77777777" w:rsidTr="0073759D">
        <w:trPr>
          <w:trHeight w:val="300"/>
        </w:trPr>
        <w:tc>
          <w:tcPr>
            <w:tcW w:w="35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EF64A1" w14:textId="77777777" w:rsidR="002D7106" w:rsidRDefault="002D7106">
            <w:pPr>
              <w:rPr>
                <w:color w:val="000000"/>
              </w:rPr>
            </w:pPr>
          </w:p>
        </w:tc>
        <w:tc>
          <w:tcPr>
            <w:tcW w:w="3782" w:type="dxa"/>
            <w:tcBorders>
              <w:bottom w:val="single" w:sz="4" w:space="0" w:color="000000"/>
              <w:right w:val="single" w:sz="4" w:space="0" w:color="000000"/>
            </w:tcBorders>
            <w:shd w:val="clear" w:color="auto" w:fill="auto"/>
            <w:vAlign w:val="bottom"/>
          </w:tcPr>
          <w:p w14:paraId="07F46B1B" w14:textId="77777777" w:rsidR="002D7106" w:rsidRDefault="006E6B03">
            <w:r>
              <w:rPr>
                <w:color w:val="000000"/>
              </w:rPr>
              <w:t>Да</w:t>
            </w:r>
          </w:p>
        </w:tc>
        <w:tc>
          <w:tcPr>
            <w:tcW w:w="1018" w:type="dxa"/>
            <w:tcBorders>
              <w:bottom w:val="single" w:sz="4" w:space="0" w:color="000000"/>
              <w:right w:val="single" w:sz="4" w:space="0" w:color="000000"/>
            </w:tcBorders>
            <w:shd w:val="clear" w:color="auto" w:fill="auto"/>
            <w:vAlign w:val="bottom"/>
          </w:tcPr>
          <w:p w14:paraId="46BD8C9A" w14:textId="77777777" w:rsidR="002D7106" w:rsidRDefault="006E6B03">
            <w:r>
              <w:rPr>
                <w:color w:val="000000"/>
              </w:rPr>
              <w:t>10</w:t>
            </w:r>
          </w:p>
        </w:tc>
      </w:tr>
      <w:tr w:rsidR="002D7106" w14:paraId="69C3D68E" w14:textId="77777777" w:rsidTr="0073759D">
        <w:trPr>
          <w:trHeight w:val="600"/>
        </w:trPr>
        <w:tc>
          <w:tcPr>
            <w:tcW w:w="3592" w:type="dxa"/>
            <w:vMerge w:val="restart"/>
            <w:tcBorders>
              <w:left w:val="single" w:sz="4" w:space="0" w:color="000000"/>
              <w:bottom w:val="single" w:sz="4" w:space="0" w:color="000000"/>
              <w:right w:val="single" w:sz="4" w:space="0" w:color="000000"/>
            </w:tcBorders>
            <w:shd w:val="clear" w:color="auto" w:fill="auto"/>
            <w:vAlign w:val="center"/>
          </w:tcPr>
          <w:p w14:paraId="3B1F1AFF" w14:textId="77777777" w:rsidR="002D7106" w:rsidRDefault="006E6B03">
            <w:r>
              <w:rPr>
                <w:color w:val="000000"/>
              </w:rPr>
              <w:t>Размер на икономическия оператор въз основа на броя на служителите (годишна работна единица (ГРЕ) и/или годишния оборот (в млн. евро)</w:t>
            </w:r>
          </w:p>
        </w:tc>
        <w:tc>
          <w:tcPr>
            <w:tcW w:w="3782" w:type="dxa"/>
            <w:tcBorders>
              <w:bottom w:val="single" w:sz="4" w:space="0" w:color="000000"/>
              <w:right w:val="single" w:sz="4" w:space="0" w:color="000000"/>
            </w:tcBorders>
            <w:shd w:val="clear" w:color="auto" w:fill="auto"/>
            <w:vAlign w:val="bottom"/>
          </w:tcPr>
          <w:p w14:paraId="335B6B40" w14:textId="77777777" w:rsidR="002D7106" w:rsidRDefault="006E6B03">
            <w:r>
              <w:rPr>
                <w:color w:val="000000"/>
              </w:rPr>
              <w:t xml:space="preserve">Много малък ГРЕ &lt; 10 служители и/или оборот от предходната година </w:t>
            </w:r>
            <w:r>
              <w:rPr>
                <w:color w:val="000000"/>
                <w:u w:val="single"/>
              </w:rPr>
              <w:t>&lt;</w:t>
            </w:r>
            <w:r>
              <w:rPr>
                <w:color w:val="000000"/>
              </w:rPr>
              <w:t xml:space="preserve"> 2</w:t>
            </w:r>
          </w:p>
        </w:tc>
        <w:tc>
          <w:tcPr>
            <w:tcW w:w="1018" w:type="dxa"/>
            <w:tcBorders>
              <w:bottom w:val="single" w:sz="4" w:space="0" w:color="000000"/>
              <w:right w:val="single" w:sz="4" w:space="0" w:color="000000"/>
            </w:tcBorders>
            <w:shd w:val="clear" w:color="auto" w:fill="auto"/>
            <w:vAlign w:val="bottom"/>
          </w:tcPr>
          <w:p w14:paraId="552E3C15" w14:textId="77777777" w:rsidR="002D7106" w:rsidRDefault="006E6B03">
            <w:r>
              <w:rPr>
                <w:color w:val="000000"/>
              </w:rPr>
              <w:t>0</w:t>
            </w:r>
          </w:p>
        </w:tc>
      </w:tr>
      <w:tr w:rsidR="002D7106" w14:paraId="00073648" w14:textId="77777777" w:rsidTr="0073759D">
        <w:trPr>
          <w:trHeight w:val="600"/>
        </w:trPr>
        <w:tc>
          <w:tcPr>
            <w:tcW w:w="3592" w:type="dxa"/>
            <w:vMerge/>
            <w:tcBorders>
              <w:left w:val="single" w:sz="4" w:space="0" w:color="000000"/>
              <w:bottom w:val="single" w:sz="4" w:space="0" w:color="000000"/>
              <w:right w:val="single" w:sz="4" w:space="0" w:color="000000"/>
            </w:tcBorders>
            <w:shd w:val="clear" w:color="auto" w:fill="auto"/>
            <w:vAlign w:val="center"/>
          </w:tcPr>
          <w:p w14:paraId="190AF921" w14:textId="77777777" w:rsidR="002D7106" w:rsidRDefault="002D7106">
            <w:pPr>
              <w:rPr>
                <w:color w:val="000000"/>
              </w:rPr>
            </w:pPr>
          </w:p>
        </w:tc>
        <w:tc>
          <w:tcPr>
            <w:tcW w:w="3782" w:type="dxa"/>
            <w:tcBorders>
              <w:bottom w:val="single" w:sz="4" w:space="0" w:color="000000"/>
              <w:right w:val="single" w:sz="4" w:space="0" w:color="000000"/>
            </w:tcBorders>
            <w:shd w:val="clear" w:color="auto" w:fill="auto"/>
            <w:vAlign w:val="bottom"/>
          </w:tcPr>
          <w:p w14:paraId="55041DE9" w14:textId="71E66ABF" w:rsidR="002D7106" w:rsidRDefault="006E6B03">
            <w:r>
              <w:rPr>
                <w:color w:val="000000"/>
              </w:rPr>
              <w:t xml:space="preserve">Малък 10 </w:t>
            </w:r>
            <w:r>
              <w:rPr>
                <w:color w:val="000000"/>
                <w:u w:val="single"/>
              </w:rPr>
              <w:t>&lt;</w:t>
            </w:r>
            <w:r>
              <w:rPr>
                <w:color w:val="000000"/>
              </w:rPr>
              <w:t xml:space="preserve">ГРЕ &lt; 50 служители и/или 2 &lt; оборот от предходната година </w:t>
            </w:r>
            <w:r>
              <w:rPr>
                <w:color w:val="000000"/>
                <w:u w:val="single"/>
              </w:rPr>
              <w:t>&lt;</w:t>
            </w:r>
            <w:r>
              <w:rPr>
                <w:color w:val="000000"/>
              </w:rPr>
              <w:t xml:space="preserve"> 10</w:t>
            </w:r>
          </w:p>
        </w:tc>
        <w:tc>
          <w:tcPr>
            <w:tcW w:w="1018" w:type="dxa"/>
            <w:tcBorders>
              <w:bottom w:val="single" w:sz="4" w:space="0" w:color="000000"/>
              <w:right w:val="single" w:sz="4" w:space="0" w:color="000000"/>
            </w:tcBorders>
            <w:shd w:val="clear" w:color="auto" w:fill="auto"/>
            <w:vAlign w:val="bottom"/>
          </w:tcPr>
          <w:p w14:paraId="19FC52F5" w14:textId="77777777" w:rsidR="002D7106" w:rsidRDefault="006E6B03">
            <w:r>
              <w:rPr>
                <w:color w:val="000000"/>
              </w:rPr>
              <w:t>5</w:t>
            </w:r>
          </w:p>
        </w:tc>
      </w:tr>
      <w:tr w:rsidR="002D7106" w14:paraId="0252FD70" w14:textId="77777777" w:rsidTr="0073759D">
        <w:trPr>
          <w:trHeight w:val="600"/>
        </w:trPr>
        <w:tc>
          <w:tcPr>
            <w:tcW w:w="3592" w:type="dxa"/>
            <w:vMerge/>
            <w:tcBorders>
              <w:left w:val="single" w:sz="4" w:space="0" w:color="000000"/>
              <w:bottom w:val="single" w:sz="4" w:space="0" w:color="000000"/>
              <w:right w:val="single" w:sz="4" w:space="0" w:color="000000"/>
            </w:tcBorders>
            <w:shd w:val="clear" w:color="auto" w:fill="auto"/>
            <w:vAlign w:val="center"/>
          </w:tcPr>
          <w:p w14:paraId="2FBA2141" w14:textId="77777777" w:rsidR="002D7106" w:rsidRDefault="002D7106">
            <w:pPr>
              <w:rPr>
                <w:color w:val="000000"/>
              </w:rPr>
            </w:pPr>
          </w:p>
        </w:tc>
        <w:tc>
          <w:tcPr>
            <w:tcW w:w="3782" w:type="dxa"/>
            <w:tcBorders>
              <w:bottom w:val="single" w:sz="4" w:space="0" w:color="000000"/>
              <w:right w:val="single" w:sz="4" w:space="0" w:color="000000"/>
            </w:tcBorders>
            <w:shd w:val="clear" w:color="auto" w:fill="auto"/>
            <w:vAlign w:val="bottom"/>
          </w:tcPr>
          <w:p w14:paraId="129A7DD4" w14:textId="2165B8C8" w:rsidR="002D7106" w:rsidRDefault="006E6B03">
            <w:r>
              <w:rPr>
                <w:color w:val="000000"/>
              </w:rPr>
              <w:t xml:space="preserve">Среден 50 </w:t>
            </w:r>
            <w:r>
              <w:rPr>
                <w:color w:val="000000"/>
                <w:u w:val="single"/>
              </w:rPr>
              <w:t>&lt;</w:t>
            </w:r>
            <w:r>
              <w:rPr>
                <w:color w:val="000000"/>
              </w:rPr>
              <w:t xml:space="preserve">ГРЕ &lt; 250 служители и/или 10 &lt; оборот от предходната година </w:t>
            </w:r>
            <w:r>
              <w:rPr>
                <w:color w:val="000000"/>
                <w:u w:val="single"/>
              </w:rPr>
              <w:t>&lt;</w:t>
            </w:r>
            <w:r>
              <w:rPr>
                <w:color w:val="000000"/>
              </w:rPr>
              <w:t xml:space="preserve"> 50</w:t>
            </w:r>
          </w:p>
        </w:tc>
        <w:tc>
          <w:tcPr>
            <w:tcW w:w="1018" w:type="dxa"/>
            <w:tcBorders>
              <w:bottom w:val="single" w:sz="4" w:space="0" w:color="000000"/>
              <w:right w:val="single" w:sz="4" w:space="0" w:color="000000"/>
            </w:tcBorders>
            <w:shd w:val="clear" w:color="auto" w:fill="auto"/>
            <w:vAlign w:val="bottom"/>
          </w:tcPr>
          <w:p w14:paraId="4BD9EC81" w14:textId="77777777" w:rsidR="002D7106" w:rsidRDefault="006E6B03">
            <w:r>
              <w:rPr>
                <w:color w:val="000000"/>
              </w:rPr>
              <w:t>10</w:t>
            </w:r>
          </w:p>
        </w:tc>
      </w:tr>
      <w:tr w:rsidR="002D7106" w14:paraId="6F792232" w14:textId="77777777" w:rsidTr="0073759D">
        <w:trPr>
          <w:trHeight w:val="600"/>
        </w:trPr>
        <w:tc>
          <w:tcPr>
            <w:tcW w:w="3592" w:type="dxa"/>
            <w:vMerge/>
            <w:tcBorders>
              <w:left w:val="single" w:sz="4" w:space="0" w:color="000000"/>
              <w:bottom w:val="single" w:sz="4" w:space="0" w:color="000000"/>
              <w:right w:val="single" w:sz="4" w:space="0" w:color="000000"/>
            </w:tcBorders>
            <w:shd w:val="clear" w:color="auto" w:fill="auto"/>
            <w:vAlign w:val="center"/>
          </w:tcPr>
          <w:p w14:paraId="44D16CBB" w14:textId="77777777" w:rsidR="002D7106" w:rsidRDefault="002D7106">
            <w:pPr>
              <w:rPr>
                <w:color w:val="000000"/>
              </w:rPr>
            </w:pPr>
          </w:p>
        </w:tc>
        <w:tc>
          <w:tcPr>
            <w:tcW w:w="3782" w:type="dxa"/>
            <w:tcBorders>
              <w:bottom w:val="single" w:sz="4" w:space="0" w:color="000000"/>
              <w:right w:val="single" w:sz="4" w:space="0" w:color="000000"/>
            </w:tcBorders>
            <w:shd w:val="clear" w:color="auto" w:fill="auto"/>
            <w:vAlign w:val="bottom"/>
          </w:tcPr>
          <w:p w14:paraId="314520DF" w14:textId="77777777" w:rsidR="002D7106" w:rsidRDefault="006E6B03">
            <w:r>
              <w:rPr>
                <w:color w:val="000000"/>
              </w:rPr>
              <w:t>Голям ГРЕ</w:t>
            </w:r>
            <w:r>
              <w:rPr>
                <w:color w:val="000000"/>
                <w:u w:val="single"/>
              </w:rPr>
              <w:t>&gt;</w:t>
            </w:r>
            <w:r>
              <w:rPr>
                <w:color w:val="000000"/>
              </w:rPr>
              <w:t xml:space="preserve"> 250 служители и/или оборот от предходната година &gt; 50</w:t>
            </w:r>
          </w:p>
        </w:tc>
        <w:tc>
          <w:tcPr>
            <w:tcW w:w="1018" w:type="dxa"/>
            <w:tcBorders>
              <w:bottom w:val="single" w:sz="4" w:space="0" w:color="000000"/>
              <w:right w:val="single" w:sz="4" w:space="0" w:color="000000"/>
            </w:tcBorders>
            <w:shd w:val="clear" w:color="auto" w:fill="auto"/>
            <w:vAlign w:val="bottom"/>
          </w:tcPr>
          <w:p w14:paraId="440ADACF" w14:textId="77777777" w:rsidR="002D7106" w:rsidRDefault="006E6B03">
            <w:r>
              <w:rPr>
                <w:color w:val="000000"/>
              </w:rPr>
              <w:t>20</w:t>
            </w:r>
          </w:p>
        </w:tc>
      </w:tr>
      <w:tr w:rsidR="002D7106" w14:paraId="4A6D4F41" w14:textId="77777777" w:rsidTr="0073759D">
        <w:trPr>
          <w:trHeight w:val="300"/>
        </w:trPr>
        <w:tc>
          <w:tcPr>
            <w:tcW w:w="3592" w:type="dxa"/>
            <w:tcBorders>
              <w:left w:val="single" w:sz="4" w:space="0" w:color="000000"/>
              <w:bottom w:val="single" w:sz="4" w:space="0" w:color="000000"/>
              <w:right w:val="single" w:sz="4" w:space="0" w:color="000000"/>
            </w:tcBorders>
            <w:shd w:val="clear" w:color="auto" w:fill="auto"/>
            <w:vAlign w:val="bottom"/>
          </w:tcPr>
          <w:p w14:paraId="1521C0B1" w14:textId="77777777" w:rsidR="002D7106" w:rsidRDefault="006E6B03">
            <w:r>
              <w:rPr>
                <w:b/>
                <w:i/>
                <w:color w:val="000000"/>
              </w:rPr>
              <w:t>Общ резултат</w:t>
            </w:r>
          </w:p>
        </w:tc>
        <w:tc>
          <w:tcPr>
            <w:tcW w:w="3782" w:type="dxa"/>
            <w:tcBorders>
              <w:bottom w:val="single" w:sz="4" w:space="0" w:color="000000"/>
              <w:right w:val="single" w:sz="4" w:space="0" w:color="000000"/>
            </w:tcBorders>
            <w:shd w:val="clear" w:color="auto" w:fill="auto"/>
            <w:vAlign w:val="bottom"/>
          </w:tcPr>
          <w:p w14:paraId="4AEA08C3" w14:textId="77777777" w:rsidR="002D7106" w:rsidRDefault="006E6B03">
            <w:r>
              <w:rPr>
                <w:color w:val="000000"/>
              </w:rPr>
              <w:t> </w:t>
            </w:r>
          </w:p>
        </w:tc>
        <w:tc>
          <w:tcPr>
            <w:tcW w:w="1018" w:type="dxa"/>
            <w:tcBorders>
              <w:bottom w:val="single" w:sz="4" w:space="0" w:color="000000"/>
              <w:right w:val="single" w:sz="4" w:space="0" w:color="000000"/>
            </w:tcBorders>
            <w:shd w:val="clear" w:color="auto" w:fill="auto"/>
            <w:vAlign w:val="bottom"/>
          </w:tcPr>
          <w:p w14:paraId="0F5EFF1A" w14:textId="77777777" w:rsidR="002D7106" w:rsidRDefault="006E6B03">
            <w:r>
              <w:rPr>
                <w:color w:val="000000"/>
              </w:rPr>
              <w:t> </w:t>
            </w:r>
          </w:p>
        </w:tc>
      </w:tr>
    </w:tbl>
    <w:p w14:paraId="5E863D0A" w14:textId="77777777" w:rsidR="002D7106" w:rsidRDefault="002D7106">
      <w:pPr>
        <w:tabs>
          <w:tab w:val="left" w:pos="426"/>
        </w:tabs>
        <w:contextualSpacing/>
        <w:jc w:val="both"/>
        <w:rPr>
          <w:rFonts w:cs="MyriadPro-Regular"/>
          <w:color w:val="000000"/>
        </w:rPr>
      </w:pPr>
    </w:p>
    <w:p w14:paraId="5EE08CF6" w14:textId="77777777" w:rsidR="002D7106" w:rsidRDefault="006E6B03">
      <w:pPr>
        <w:tabs>
          <w:tab w:val="left" w:pos="426"/>
        </w:tabs>
        <w:contextualSpacing/>
        <w:jc w:val="both"/>
      </w:pPr>
      <w:r>
        <w:rPr>
          <w:color w:val="000000"/>
        </w:rPr>
        <w:t>и определяне на коефициента за налагане на глобата (КНГ), в зависимост от общата оценка на оперативните фактори, в съответствие с таблицата по-долу:</w:t>
      </w:r>
    </w:p>
    <w:p w14:paraId="678C9B85" w14:textId="77777777" w:rsidR="002D7106" w:rsidRDefault="002D7106">
      <w:pPr>
        <w:tabs>
          <w:tab w:val="left" w:pos="426"/>
        </w:tabs>
        <w:contextualSpacing/>
        <w:jc w:val="both"/>
        <w:rPr>
          <w:rFonts w:cs="MyriadPro-Regular"/>
          <w:color w:val="000000"/>
        </w:rPr>
      </w:pPr>
    </w:p>
    <w:tbl>
      <w:tblPr>
        <w:tblW w:w="0" w:type="auto"/>
        <w:tblInd w:w="108" w:type="dxa"/>
        <w:tblLayout w:type="fixed"/>
        <w:tblLook w:val="0000" w:firstRow="0" w:lastRow="0" w:firstColumn="0" w:lastColumn="0" w:noHBand="0" w:noVBand="0"/>
      </w:tblPr>
      <w:tblGrid>
        <w:gridCol w:w="3380"/>
        <w:gridCol w:w="2286"/>
        <w:gridCol w:w="2630"/>
      </w:tblGrid>
      <w:tr w:rsidR="002D7106" w14:paraId="123031EE" w14:textId="77777777">
        <w:trPr>
          <w:trHeight w:val="600"/>
        </w:trPr>
        <w:tc>
          <w:tcPr>
            <w:tcW w:w="338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8373B93" w14:textId="77777777" w:rsidR="002D7106" w:rsidRDefault="006E6B03">
            <w:r>
              <w:rPr>
                <w:b/>
                <w:color w:val="000000"/>
              </w:rPr>
              <w:t>Общ резултат от оценката на критериите</w:t>
            </w:r>
          </w:p>
        </w:tc>
        <w:tc>
          <w:tcPr>
            <w:tcW w:w="2286" w:type="dxa"/>
            <w:tcBorders>
              <w:top w:val="single" w:sz="4" w:space="0" w:color="000000"/>
              <w:bottom w:val="single" w:sz="4" w:space="0" w:color="000000"/>
              <w:right w:val="single" w:sz="4" w:space="0" w:color="000000"/>
            </w:tcBorders>
            <w:shd w:val="clear" w:color="auto" w:fill="E7E6E6"/>
            <w:vAlign w:val="center"/>
          </w:tcPr>
          <w:p w14:paraId="19F52C5A" w14:textId="77777777" w:rsidR="002D7106" w:rsidRDefault="006E6B03">
            <w:r>
              <w:rPr>
                <w:b/>
                <w:color w:val="000000"/>
              </w:rPr>
              <w:t>Степен на налагане на глоба</w:t>
            </w:r>
          </w:p>
        </w:tc>
        <w:tc>
          <w:tcPr>
            <w:tcW w:w="2630" w:type="dxa"/>
            <w:tcBorders>
              <w:top w:val="single" w:sz="4" w:space="0" w:color="000000"/>
              <w:bottom w:val="single" w:sz="4" w:space="0" w:color="000000"/>
              <w:right w:val="single" w:sz="4" w:space="0" w:color="000000"/>
            </w:tcBorders>
            <w:shd w:val="clear" w:color="auto" w:fill="E7E6E6"/>
            <w:vAlign w:val="center"/>
          </w:tcPr>
          <w:p w14:paraId="6DB34A24" w14:textId="77777777" w:rsidR="002D7106" w:rsidRDefault="006E6B03">
            <w:r>
              <w:rPr>
                <w:b/>
                <w:color w:val="000000"/>
              </w:rPr>
              <w:t>Коефициент за налагане на глобата</w:t>
            </w:r>
          </w:p>
        </w:tc>
      </w:tr>
      <w:tr w:rsidR="002D7106" w14:paraId="58F554B8" w14:textId="77777777">
        <w:trPr>
          <w:trHeight w:val="300"/>
        </w:trPr>
        <w:tc>
          <w:tcPr>
            <w:tcW w:w="3380" w:type="dxa"/>
            <w:tcBorders>
              <w:left w:val="single" w:sz="4" w:space="0" w:color="000000"/>
              <w:bottom w:val="single" w:sz="4" w:space="0" w:color="000000"/>
              <w:right w:val="single" w:sz="4" w:space="0" w:color="000000"/>
            </w:tcBorders>
            <w:shd w:val="clear" w:color="auto" w:fill="auto"/>
            <w:vAlign w:val="bottom"/>
          </w:tcPr>
          <w:p w14:paraId="5DF82BD6" w14:textId="77777777" w:rsidR="002D7106" w:rsidRDefault="006E6B03">
            <w:r>
              <w:rPr>
                <w:color w:val="000000"/>
              </w:rPr>
              <w:t>60—90</w:t>
            </w:r>
          </w:p>
        </w:tc>
        <w:tc>
          <w:tcPr>
            <w:tcW w:w="2286" w:type="dxa"/>
            <w:tcBorders>
              <w:bottom w:val="single" w:sz="4" w:space="0" w:color="000000"/>
              <w:right w:val="single" w:sz="4" w:space="0" w:color="000000"/>
            </w:tcBorders>
            <w:shd w:val="clear" w:color="auto" w:fill="auto"/>
            <w:vAlign w:val="bottom"/>
          </w:tcPr>
          <w:p w14:paraId="14B6894F" w14:textId="77777777" w:rsidR="002D7106" w:rsidRDefault="006E6B03">
            <w:r>
              <w:rPr>
                <w:color w:val="000000"/>
              </w:rPr>
              <w:t>Висока</w:t>
            </w:r>
          </w:p>
        </w:tc>
        <w:tc>
          <w:tcPr>
            <w:tcW w:w="2630" w:type="dxa"/>
            <w:tcBorders>
              <w:bottom w:val="single" w:sz="4" w:space="0" w:color="000000"/>
              <w:right w:val="single" w:sz="4" w:space="0" w:color="000000"/>
            </w:tcBorders>
            <w:shd w:val="clear" w:color="auto" w:fill="auto"/>
            <w:vAlign w:val="bottom"/>
          </w:tcPr>
          <w:p w14:paraId="39BE6A00" w14:textId="77777777" w:rsidR="002D7106" w:rsidRDefault="006E6B03">
            <w:r>
              <w:rPr>
                <w:color w:val="000000"/>
              </w:rPr>
              <w:t>1</w:t>
            </w:r>
          </w:p>
        </w:tc>
      </w:tr>
      <w:tr w:rsidR="002D7106" w14:paraId="1147DE2C" w14:textId="77777777">
        <w:trPr>
          <w:trHeight w:val="300"/>
        </w:trPr>
        <w:tc>
          <w:tcPr>
            <w:tcW w:w="3380" w:type="dxa"/>
            <w:tcBorders>
              <w:left w:val="single" w:sz="4" w:space="0" w:color="000000"/>
              <w:bottom w:val="single" w:sz="4" w:space="0" w:color="000000"/>
              <w:right w:val="single" w:sz="4" w:space="0" w:color="000000"/>
            </w:tcBorders>
            <w:shd w:val="clear" w:color="auto" w:fill="auto"/>
            <w:vAlign w:val="bottom"/>
          </w:tcPr>
          <w:p w14:paraId="56C00510" w14:textId="77777777" w:rsidR="002D7106" w:rsidRDefault="006E6B03">
            <w:r>
              <w:rPr>
                <w:color w:val="000000"/>
              </w:rPr>
              <w:t>30—55</w:t>
            </w:r>
          </w:p>
        </w:tc>
        <w:tc>
          <w:tcPr>
            <w:tcW w:w="2286" w:type="dxa"/>
            <w:tcBorders>
              <w:bottom w:val="single" w:sz="4" w:space="0" w:color="000000"/>
              <w:right w:val="single" w:sz="4" w:space="0" w:color="000000"/>
            </w:tcBorders>
            <w:shd w:val="clear" w:color="auto" w:fill="auto"/>
            <w:vAlign w:val="bottom"/>
          </w:tcPr>
          <w:p w14:paraId="1F8F1812" w14:textId="77777777" w:rsidR="002D7106" w:rsidRDefault="006E6B03">
            <w:r>
              <w:rPr>
                <w:color w:val="000000"/>
              </w:rPr>
              <w:t>Средна</w:t>
            </w:r>
          </w:p>
        </w:tc>
        <w:tc>
          <w:tcPr>
            <w:tcW w:w="2630" w:type="dxa"/>
            <w:tcBorders>
              <w:bottom w:val="single" w:sz="4" w:space="0" w:color="000000"/>
              <w:right w:val="single" w:sz="4" w:space="0" w:color="000000"/>
            </w:tcBorders>
            <w:shd w:val="clear" w:color="auto" w:fill="auto"/>
            <w:vAlign w:val="bottom"/>
          </w:tcPr>
          <w:p w14:paraId="4F9B3B89" w14:textId="77777777" w:rsidR="002D7106" w:rsidRDefault="006E6B03">
            <w:r>
              <w:rPr>
                <w:color w:val="000000"/>
              </w:rPr>
              <w:t>0,7</w:t>
            </w:r>
          </w:p>
        </w:tc>
      </w:tr>
      <w:tr w:rsidR="002D7106" w14:paraId="521CA7D8" w14:textId="77777777">
        <w:trPr>
          <w:trHeight w:val="300"/>
        </w:trPr>
        <w:tc>
          <w:tcPr>
            <w:tcW w:w="3380" w:type="dxa"/>
            <w:tcBorders>
              <w:left w:val="single" w:sz="4" w:space="0" w:color="000000"/>
              <w:bottom w:val="single" w:sz="4" w:space="0" w:color="000000"/>
              <w:right w:val="single" w:sz="4" w:space="0" w:color="000000"/>
            </w:tcBorders>
            <w:shd w:val="clear" w:color="auto" w:fill="auto"/>
            <w:vAlign w:val="bottom"/>
          </w:tcPr>
          <w:p w14:paraId="0D230AF0" w14:textId="77777777" w:rsidR="002D7106" w:rsidRDefault="006E6B03">
            <w:r>
              <w:rPr>
                <w:color w:val="000000"/>
              </w:rPr>
              <w:t>0—25</w:t>
            </w:r>
          </w:p>
        </w:tc>
        <w:tc>
          <w:tcPr>
            <w:tcW w:w="2286" w:type="dxa"/>
            <w:tcBorders>
              <w:bottom w:val="single" w:sz="4" w:space="0" w:color="000000"/>
              <w:right w:val="single" w:sz="4" w:space="0" w:color="000000"/>
            </w:tcBorders>
            <w:shd w:val="clear" w:color="auto" w:fill="auto"/>
            <w:vAlign w:val="bottom"/>
          </w:tcPr>
          <w:p w14:paraId="14676192" w14:textId="77777777" w:rsidR="002D7106" w:rsidRDefault="006E6B03">
            <w:r>
              <w:rPr>
                <w:color w:val="000000"/>
              </w:rPr>
              <w:t>Ниска</w:t>
            </w:r>
          </w:p>
        </w:tc>
        <w:tc>
          <w:tcPr>
            <w:tcW w:w="2630" w:type="dxa"/>
            <w:tcBorders>
              <w:bottom w:val="single" w:sz="4" w:space="0" w:color="000000"/>
              <w:right w:val="single" w:sz="4" w:space="0" w:color="000000"/>
            </w:tcBorders>
            <w:shd w:val="clear" w:color="auto" w:fill="auto"/>
            <w:vAlign w:val="bottom"/>
          </w:tcPr>
          <w:p w14:paraId="5D16E359" w14:textId="77777777" w:rsidR="002D7106" w:rsidRDefault="006E6B03">
            <w:r>
              <w:rPr>
                <w:color w:val="000000"/>
              </w:rPr>
              <w:t>0,4</w:t>
            </w:r>
          </w:p>
        </w:tc>
      </w:tr>
    </w:tbl>
    <w:p w14:paraId="305FF37E" w14:textId="77777777" w:rsidR="002D7106" w:rsidRDefault="002D7106">
      <w:pPr>
        <w:tabs>
          <w:tab w:val="left" w:pos="426"/>
        </w:tabs>
        <w:contextualSpacing/>
        <w:jc w:val="both"/>
        <w:rPr>
          <w:rFonts w:cs="MyriadPro-Regular"/>
          <w:color w:val="000000"/>
        </w:rPr>
      </w:pPr>
    </w:p>
    <w:p w14:paraId="6C0D036F" w14:textId="77777777" w:rsidR="002D7106" w:rsidRDefault="006E6B03">
      <w:pPr>
        <w:numPr>
          <w:ilvl w:val="0"/>
          <w:numId w:val="3"/>
        </w:numPr>
        <w:tabs>
          <w:tab w:val="left" w:pos="426"/>
        </w:tabs>
        <w:spacing w:line="276" w:lineRule="auto"/>
        <w:ind w:left="0" w:firstLine="0"/>
        <w:contextualSpacing/>
        <w:jc w:val="both"/>
      </w:pPr>
      <w:r>
        <w:rPr>
          <w:color w:val="000000"/>
        </w:rPr>
        <w:t>Размерът на глобата (Г) се определя чрез умножаване на максималната базова цена, коефициента за определяне на глобата и коефициента за налагане на глобата:</w:t>
      </w:r>
    </w:p>
    <w:p w14:paraId="4A49B149" w14:textId="77777777" w:rsidR="002D7106" w:rsidRPr="00424FBE" w:rsidRDefault="006E6B03">
      <w:pPr>
        <w:tabs>
          <w:tab w:val="left" w:pos="426"/>
        </w:tabs>
        <w:spacing w:line="276" w:lineRule="auto"/>
        <w:contextualSpacing/>
        <w:jc w:val="both"/>
      </w:pPr>
      <w:r>
        <w:rPr>
          <w:color w:val="000000"/>
        </w:rPr>
        <w:t>Г = (МБЦ) x (КОГ) x (КНГ)</w:t>
      </w:r>
    </w:p>
    <w:p w14:paraId="08231005" w14:textId="77777777" w:rsidR="002D7106" w:rsidRDefault="006E6B03">
      <w:pPr>
        <w:numPr>
          <w:ilvl w:val="0"/>
          <w:numId w:val="3"/>
        </w:numPr>
        <w:tabs>
          <w:tab w:val="left" w:pos="426"/>
        </w:tabs>
        <w:spacing w:line="276" w:lineRule="auto"/>
        <w:ind w:left="0" w:firstLine="0"/>
        <w:contextualSpacing/>
        <w:jc w:val="both"/>
      </w:pPr>
      <w:r>
        <w:rPr>
          <w:color w:val="000000"/>
        </w:rPr>
        <w:t>В случай на повторно извършване на едно и също нарушение от едно и също дружество или неприлагане на коригиращи мерки, установени при инспекция/контрол, нарушителите се наказват с глоба, два пъти по-висока от първоначалната глоба.</w:t>
      </w:r>
    </w:p>
    <w:p w14:paraId="442A42C5" w14:textId="77777777" w:rsidR="002D7106" w:rsidRDefault="006E6B03">
      <w:pPr>
        <w:numPr>
          <w:ilvl w:val="0"/>
          <w:numId w:val="3"/>
        </w:numPr>
        <w:tabs>
          <w:tab w:val="left" w:pos="426"/>
        </w:tabs>
        <w:spacing w:line="276" w:lineRule="auto"/>
        <w:ind w:left="0" w:firstLine="0"/>
        <w:contextualSpacing/>
        <w:jc w:val="both"/>
      </w:pPr>
      <w:r>
        <w:t xml:space="preserve">Глобите за нарушения от категории А и Б се налагат от ръководителя </w:t>
      </w:r>
      <w:r>
        <w:rPr>
          <w:color w:val="000000"/>
        </w:rPr>
        <w:t>на</w:t>
      </w:r>
      <w:r>
        <w:t xml:space="preserve"> отдела по химикалите на ГДХЛ, когато са извършени вземане на проби и/или инспекция/контрол</w:t>
      </w:r>
      <w:r>
        <w:rPr>
          <w:color w:val="0070C0"/>
        </w:rPr>
        <w:t xml:space="preserve">. </w:t>
      </w:r>
      <w:r>
        <w:rPr>
          <w:color w:val="000000"/>
        </w:rPr>
        <w:t>Глобите за нарушения от категория В се налагат от дирекция „Енергетика, промишлени и химически продукти</w:t>
      </w:r>
      <w:bookmarkStart w:id="2" w:name="_Hlk121478472"/>
      <w:r>
        <w:t xml:space="preserve"> </w:t>
      </w:r>
      <w:r>
        <w:rPr>
          <w:color w:val="000000"/>
        </w:rPr>
        <w:t>на</w:t>
      </w:r>
      <w:r>
        <w:t xml:space="preserve"> ГДХЛ</w:t>
      </w:r>
      <w:bookmarkEnd w:id="2"/>
      <w:r>
        <w:t>.</w:t>
      </w:r>
    </w:p>
    <w:p w14:paraId="245046D3" w14:textId="77777777" w:rsidR="002D7106" w:rsidRDefault="002D7106">
      <w:pPr>
        <w:spacing w:line="276" w:lineRule="auto"/>
        <w:jc w:val="center"/>
        <w:rPr>
          <w:rFonts w:cs="MgHelveticaUCPol"/>
          <w:color w:val="000000"/>
        </w:rPr>
      </w:pPr>
    </w:p>
    <w:p w14:paraId="36B9DC87" w14:textId="77777777" w:rsidR="002D7106" w:rsidRDefault="002D7106">
      <w:pPr>
        <w:spacing w:line="276" w:lineRule="auto"/>
        <w:jc w:val="center"/>
        <w:rPr>
          <w:rFonts w:cs="MgHelveticaUCPol"/>
          <w:color w:val="000000"/>
        </w:rPr>
      </w:pPr>
    </w:p>
    <w:p w14:paraId="134DF2A6" w14:textId="77777777" w:rsidR="002D7106" w:rsidRDefault="002D7106">
      <w:pPr>
        <w:spacing w:line="276" w:lineRule="auto"/>
        <w:jc w:val="center"/>
        <w:rPr>
          <w:rFonts w:cs="MgHelveticaUCPol"/>
          <w:color w:val="000000"/>
        </w:rPr>
      </w:pPr>
    </w:p>
    <w:p w14:paraId="30628859" w14:textId="77777777" w:rsidR="002D7106" w:rsidRDefault="006E6B03" w:rsidP="0073759D">
      <w:pPr>
        <w:keepNext/>
        <w:spacing w:line="276" w:lineRule="auto"/>
        <w:jc w:val="center"/>
      </w:pPr>
      <w:r>
        <w:rPr>
          <w:color w:val="000000"/>
        </w:rPr>
        <w:lastRenderedPageBreak/>
        <w:t>Член 4</w:t>
      </w:r>
    </w:p>
    <w:p w14:paraId="4F158118" w14:textId="77777777" w:rsidR="002D7106" w:rsidRDefault="006E6B03" w:rsidP="0073759D">
      <w:pPr>
        <w:keepNext/>
        <w:spacing w:line="276" w:lineRule="auto"/>
        <w:jc w:val="center"/>
      </w:pPr>
      <w:r>
        <w:rPr>
          <w:color w:val="000000"/>
        </w:rPr>
        <w:t>Допълнителни ограничителни административни мерки</w:t>
      </w:r>
    </w:p>
    <w:p w14:paraId="0706497E" w14:textId="77777777" w:rsidR="002D7106" w:rsidRDefault="002D7106">
      <w:pPr>
        <w:tabs>
          <w:tab w:val="left" w:pos="426"/>
        </w:tabs>
        <w:spacing w:line="276" w:lineRule="auto"/>
        <w:contextualSpacing/>
        <w:jc w:val="both"/>
        <w:rPr>
          <w:rFonts w:cs="MyriadPro-Regular"/>
          <w:color w:val="000000"/>
        </w:rPr>
      </w:pPr>
    </w:p>
    <w:p w14:paraId="173E1D19" w14:textId="77777777" w:rsidR="002D7106" w:rsidRDefault="006E6B03">
      <w:pPr>
        <w:spacing w:line="276" w:lineRule="auto"/>
        <w:jc w:val="both"/>
      </w:pPr>
      <w:r>
        <w:rPr>
          <w:color w:val="000000"/>
        </w:rPr>
        <w:t>За нарушения на разпоредбите на членове 5, 6, 7, 8, 9, 12, 17, 18, 40, 41, 46, 56 и 67, се налагат допълнително забрана за пускане</w:t>
      </w:r>
      <w:r>
        <w:t xml:space="preserve"> и изтегляне от пазара, </w:t>
      </w:r>
      <w:r>
        <w:rPr>
          <w:color w:val="000000"/>
        </w:rPr>
        <w:t>освен в специфични случаи, свързани с изискванията за етикетиране, в който случай се налагат конфискация и изтегляне от пазара.</w:t>
      </w:r>
    </w:p>
    <w:p w14:paraId="44EF1602" w14:textId="77777777" w:rsidR="002D7106" w:rsidRDefault="006E6B03">
      <w:pPr>
        <w:spacing w:line="276" w:lineRule="auto"/>
        <w:jc w:val="both"/>
      </w:pPr>
      <w:r>
        <w:rPr>
          <w:color w:val="000000"/>
        </w:rPr>
        <w:t>За горепосочените мерки дирекция „Енергетика, промишлени и химически продукти“ на ГДХЛ издава съответно решение.</w:t>
      </w:r>
    </w:p>
    <w:p w14:paraId="232C20F9" w14:textId="77777777" w:rsidR="002D7106" w:rsidRDefault="002D7106">
      <w:pPr>
        <w:spacing w:line="276" w:lineRule="auto"/>
        <w:jc w:val="center"/>
        <w:rPr>
          <w:rFonts w:cs="MyriadPro-Regular"/>
          <w:color w:val="000000"/>
        </w:rPr>
      </w:pPr>
    </w:p>
    <w:p w14:paraId="6EF9A68D" w14:textId="77777777" w:rsidR="002D7106" w:rsidRDefault="006E6B03">
      <w:pPr>
        <w:spacing w:line="276" w:lineRule="auto"/>
        <w:jc w:val="center"/>
      </w:pPr>
      <w:r>
        <w:rPr>
          <w:color w:val="000000"/>
        </w:rPr>
        <w:t>Член 5</w:t>
      </w:r>
    </w:p>
    <w:p w14:paraId="7A7774F7" w14:textId="77777777" w:rsidR="002D7106" w:rsidRDefault="006E6B03">
      <w:pPr>
        <w:spacing w:line="276" w:lineRule="auto"/>
        <w:jc w:val="center"/>
      </w:pPr>
      <w:r>
        <w:rPr>
          <w:color w:val="000000"/>
        </w:rPr>
        <w:t>Отменени разпоредби</w:t>
      </w:r>
    </w:p>
    <w:p w14:paraId="53CF30C6" w14:textId="26BD790A" w:rsidR="002D7106" w:rsidRDefault="006E6B03">
      <w:pPr>
        <w:spacing w:line="276" w:lineRule="auto"/>
        <w:jc w:val="both"/>
      </w:pPr>
      <w:r>
        <w:rPr>
          <w:color w:val="000000"/>
        </w:rPr>
        <w:t>Считано от датата на публикуване на настоящото решение, се отменят Решения № 450/2008 (Β΄ 2553) и 82/2009 (Β΄ 581).</w:t>
      </w:r>
    </w:p>
    <w:p w14:paraId="4E8EFE4F" w14:textId="77777777" w:rsidR="002D7106" w:rsidRDefault="002D7106">
      <w:pPr>
        <w:spacing w:line="276" w:lineRule="auto"/>
        <w:jc w:val="both"/>
        <w:rPr>
          <w:rFonts w:cs="Calibri"/>
          <w:color w:val="000000"/>
        </w:rPr>
      </w:pPr>
    </w:p>
    <w:p w14:paraId="5EBF097E" w14:textId="77777777" w:rsidR="002D7106" w:rsidRDefault="006E6B03">
      <w:pPr>
        <w:spacing w:line="276" w:lineRule="auto"/>
        <w:jc w:val="center"/>
      </w:pPr>
      <w:r>
        <w:rPr>
          <w:color w:val="000000"/>
        </w:rPr>
        <w:t>Член 6</w:t>
      </w:r>
    </w:p>
    <w:p w14:paraId="61DC1D15" w14:textId="77777777" w:rsidR="002D7106" w:rsidRDefault="006E6B03">
      <w:pPr>
        <w:spacing w:line="276" w:lineRule="auto"/>
        <w:jc w:val="center"/>
      </w:pPr>
      <w:r>
        <w:rPr>
          <w:color w:val="000000"/>
        </w:rPr>
        <w:t>Влизане в сила</w:t>
      </w:r>
    </w:p>
    <w:p w14:paraId="5454A790" w14:textId="77777777" w:rsidR="002D7106" w:rsidRDefault="002D7106">
      <w:pPr>
        <w:spacing w:line="276" w:lineRule="auto"/>
        <w:jc w:val="center"/>
        <w:rPr>
          <w:rFonts w:cs="Calibri"/>
          <w:color w:val="000000"/>
        </w:rPr>
      </w:pPr>
    </w:p>
    <w:p w14:paraId="4EAD1F98" w14:textId="77777777" w:rsidR="002D7106" w:rsidRDefault="006E6B03">
      <w:pPr>
        <w:numPr>
          <w:ilvl w:val="0"/>
          <w:numId w:val="4"/>
        </w:numPr>
        <w:tabs>
          <w:tab w:val="left" w:pos="426"/>
        </w:tabs>
        <w:spacing w:line="276" w:lineRule="auto"/>
        <w:ind w:left="0" w:firstLine="0"/>
        <w:contextualSpacing/>
        <w:jc w:val="both"/>
      </w:pPr>
      <w:r>
        <w:rPr>
          <w:color w:val="000000"/>
        </w:rPr>
        <w:t xml:space="preserve"> Настоящото решение влиза в сила от публикуването му в Държавен вестник и се прилага и за висящи дела, т.е. тези, за които отговорното лице все още не е било уведомено за съответното известие за плащане, и когато новата разпоредба води до по-благоприятно третиране в конкретния случай. </w:t>
      </w:r>
    </w:p>
    <w:p w14:paraId="62A1F3B7" w14:textId="77777777" w:rsidR="002D7106" w:rsidRDefault="002D7106">
      <w:pPr>
        <w:spacing w:line="276" w:lineRule="auto"/>
        <w:jc w:val="both"/>
        <w:rPr>
          <w:rFonts w:cs="EUAlbertina-Regu"/>
          <w:color w:val="000000"/>
        </w:rPr>
      </w:pPr>
    </w:p>
    <w:p w14:paraId="7A0FAA17" w14:textId="77777777" w:rsidR="002D7106" w:rsidRDefault="006E6B03">
      <w:pPr>
        <w:numPr>
          <w:ilvl w:val="0"/>
          <w:numId w:val="4"/>
        </w:numPr>
        <w:tabs>
          <w:tab w:val="left" w:pos="426"/>
        </w:tabs>
        <w:spacing w:line="276" w:lineRule="auto"/>
        <w:ind w:left="0" w:firstLine="0"/>
        <w:contextualSpacing/>
        <w:jc w:val="both"/>
      </w:pPr>
      <w:r>
        <w:rPr>
          <w:color w:val="000000"/>
        </w:rPr>
        <w:t>Настоящото решение се публикува в Държавен вестник.</w:t>
      </w:r>
    </w:p>
    <w:p w14:paraId="45FD22CD" w14:textId="77777777" w:rsidR="002D7106" w:rsidRDefault="002D7106">
      <w:pPr>
        <w:rPr>
          <w:rFonts w:cs="EUAlbertina-Regu"/>
          <w:color w:val="000000"/>
        </w:rPr>
      </w:pPr>
    </w:p>
    <w:p w14:paraId="1B2CE26C" w14:textId="77777777" w:rsidR="006E6B03" w:rsidRDefault="006E6B03">
      <w:pPr>
        <w:tabs>
          <w:tab w:val="left" w:pos="426"/>
        </w:tabs>
        <w:contextualSpacing/>
        <w:jc w:val="both"/>
      </w:pPr>
    </w:p>
    <w:sectPr w:rsidR="006E6B03">
      <w:pgSz w:w="11906" w:h="16838"/>
      <w:pgMar w:top="1134" w:right="1800" w:bottom="1702" w:left="1800" w:header="720" w:footer="72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gHelveticaUCPol">
    <w:charset w:val="A1"/>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charset w:val="A1"/>
    <w:family w:val="auto"/>
    <w:pitch w:val="variable"/>
  </w:font>
  <w:font w:name="EUAlbertina-Regu">
    <w:charset w:val="A1"/>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4"/>
    <w:lvl w:ilvl="0">
      <w:start w:val="1"/>
      <w:numFmt w:val="decimal"/>
      <w:lvlText w:val="%1."/>
      <w:lvlJc w:val="left"/>
      <w:pPr>
        <w:tabs>
          <w:tab w:val="num" w:pos="0"/>
        </w:tabs>
        <w:ind w:left="720" w:hanging="360"/>
      </w:pPr>
      <w:rPr>
        <w:rFonts w:cs="MgHelveticaUCP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16"/>
    <w:lvl w:ilvl="0">
      <w:start w:val="2"/>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34962920">
    <w:abstractNumId w:val="0"/>
  </w:num>
  <w:num w:numId="2" w16cid:durableId="408816960">
    <w:abstractNumId w:val="1"/>
  </w:num>
  <w:num w:numId="3" w16cid:durableId="263684058">
    <w:abstractNumId w:val="2"/>
  </w:num>
  <w:num w:numId="4" w16cid:durableId="355160664">
    <w:abstractNumId w:val="3"/>
  </w:num>
  <w:num w:numId="5" w16cid:durableId="1074621388">
    <w:abstractNumId w:val="4"/>
  </w:num>
  <w:num w:numId="6" w16cid:durableId="894244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03"/>
    <w:rsid w:val="00140528"/>
    <w:rsid w:val="002D7106"/>
    <w:rsid w:val="00301A8E"/>
    <w:rsid w:val="00424FBE"/>
    <w:rsid w:val="006E6B03"/>
    <w:rsid w:val="007145A4"/>
    <w:rsid w:val="0073759D"/>
    <w:rsid w:val="007940D5"/>
    <w:rsid w:val="00907705"/>
    <w:rsid w:val="009730FC"/>
    <w:rsid w:val="00B501F3"/>
    <w:rsid w:val="00CD7716"/>
    <w:rsid w:val="00E12A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265F4E"/>
  <w15:chartTrackingRefBased/>
  <w15:docId w15:val="{53B6153D-9180-4136-972E-446F9B88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pergi@aade.gr" TargetMode="External"/><Relationship Id="rId3" Type="http://schemas.openxmlformats.org/officeDocument/2006/relationships/settings" Target="settings.xml"/><Relationship Id="rId7" Type="http://schemas.openxmlformats.org/officeDocument/2006/relationships/hyperlink" Target="mailto:e.dima@aad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2607</Words>
  <Characters>14863</Characters>
  <Application>Microsoft Office Word</Application>
  <DocSecurity>0</DocSecurity>
  <Lines>123</Lines>
  <Paragraphs>34</Paragraphs>
  <ScaleCrop>false</ScaleCrop>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Sotiriou</dc:creator>
  <cp:keywords/>
  <cp:lastModifiedBy>Liana Brili</cp:lastModifiedBy>
  <cp:revision>14</cp:revision>
  <cp:lastPrinted>1995-11-21T15:41:00Z</cp:lastPrinted>
  <dcterms:created xsi:type="dcterms:W3CDTF">2023-03-22T05:46:00Z</dcterms:created>
  <dcterms:modified xsi:type="dcterms:W3CDTF">2023-04-05T10:56:00Z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