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3"/>
        <w:gridCol w:w="4935"/>
      </w:tblGrid>
      <w:tr w:rsidR="002D7106" w14:paraId="3F99993F" w14:textId="77777777" w:rsidTr="00301A8E">
        <w:tc>
          <w:tcPr>
            <w:tcW w:w="9908" w:type="dxa"/>
            <w:gridSpan w:val="2"/>
            <w:shd w:val="clear" w:color="auto" w:fill="auto"/>
          </w:tcPr>
          <w:p w14:paraId="2194080D" w14:textId="04E9B5EB" w:rsidR="002D7106" w:rsidRDefault="006E6B0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F71BCF" wp14:editId="563330F3">
                  <wp:extent cx="428625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5ABB8" w14:textId="06F6EBCF" w:rsidR="002D7106" w:rsidRDefault="007145A4">
            <w:pPr>
              <w:spacing w:line="340" w:lineRule="exac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1277C" wp14:editId="3D30A7F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222885</wp:posOffset>
                      </wp:positionV>
                      <wp:extent cx="1473225" cy="567690"/>
                      <wp:effectExtent l="0" t="0" r="0" b="381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25" cy="567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0C0CC" w14:textId="5653554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1B5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1B58"/>
                                      <w:sz w:val="24"/>
                                    </w:rPr>
                                    <w:t>NOVP</w:t>
                                  </w:r>
                                </w:p>
                                <w:p w14:paraId="45127187" w14:textId="73FC6D8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color w:val="001B5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t>Nezávislý orgán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br/>
                                    <w:t>pro veřejné příjmy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12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9.45pt;margin-top:17.55pt;width:116pt;height:4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" fillcolor="white [3201]" stroked="f" strokeweight=".5pt">
                      <v:textbox inset="0,0,0,0">
                        <w:txbxContent>
                          <w:p w14:paraId="0230C0CC" w14:textId="5653554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1B5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B58"/>
                                <w:sz w:val="24"/>
                              </w:rPr>
                              <w:t>NOVP</w:t>
                            </w:r>
                          </w:p>
                          <w:p w14:paraId="45127187" w14:textId="73FC6D8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color w:val="001B5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t>Nezávislý orgán</w:t>
                            </w: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br/>
                              <w:t>pro veřejné příjmy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ŘECKÁ REPUBLIKA</w:t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9F28E1E" wp14:editId="2C6C9E0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227965</wp:posOffset>
                  </wp:positionV>
                  <wp:extent cx="2007235" cy="5581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7106" w14:paraId="38FB1E5C" w14:textId="77777777" w:rsidTr="00301A8E">
        <w:tc>
          <w:tcPr>
            <w:tcW w:w="9908" w:type="dxa"/>
            <w:gridSpan w:val="2"/>
            <w:shd w:val="clear" w:color="auto" w:fill="auto"/>
          </w:tcPr>
          <w:p w14:paraId="0298D2D8" w14:textId="77777777" w:rsidR="002D7106" w:rsidRDefault="006E6B03">
            <w:pPr>
              <w:spacing w:line="340" w:lineRule="exact"/>
            </w:pPr>
            <w:r>
              <w:rPr>
                <w:b/>
              </w:rPr>
              <w:t>GENERÁLNÍ ŘEDITELSTVÍ VŠEOBECNÉ STÁTNÍ CHEMICKÉ LABORATOŘE (VSCHL)</w:t>
            </w:r>
          </w:p>
          <w:p w14:paraId="3BDD4A7D" w14:textId="77777777" w:rsidR="002D7106" w:rsidRDefault="006E6B03">
            <w:pPr>
              <w:spacing w:line="340" w:lineRule="exact"/>
            </w:pPr>
            <w:r>
              <w:rPr>
                <w:b/>
              </w:rPr>
              <w:t>Ředitelství pro energetické, průmyslové a chemické výrobky</w:t>
            </w:r>
          </w:p>
          <w:p w14:paraId="337F62B9" w14:textId="3C80CF64" w:rsidR="002D7106" w:rsidRDefault="00CD7716">
            <w:pPr>
              <w:spacing w:line="340" w:lineRule="exact"/>
            </w:pPr>
            <w:r>
              <w:rPr>
                <w:b/>
              </w:rPr>
              <w:t>Oddělení B – Chemické výrobky</w:t>
            </w:r>
          </w:p>
        </w:tc>
      </w:tr>
      <w:tr w:rsidR="002D7106" w14:paraId="68DF052B" w14:textId="77777777" w:rsidTr="00301A8E">
        <w:tc>
          <w:tcPr>
            <w:tcW w:w="4973" w:type="dxa"/>
            <w:shd w:val="clear" w:color="auto" w:fill="auto"/>
          </w:tcPr>
          <w:p w14:paraId="14C89062" w14:textId="77777777" w:rsidR="002D7106" w:rsidRDefault="002D7106">
            <w:pPr>
              <w:rPr>
                <w:b/>
              </w:rPr>
            </w:pPr>
          </w:p>
        </w:tc>
        <w:tc>
          <w:tcPr>
            <w:tcW w:w="4935" w:type="dxa"/>
            <w:shd w:val="clear" w:color="auto" w:fill="auto"/>
          </w:tcPr>
          <w:p w14:paraId="6D57B4B9" w14:textId="69FE398D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Atény, 19. 12. 2022</w:t>
            </w:r>
          </w:p>
          <w:p w14:paraId="58BD1517" w14:textId="07B5F17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Protokol č. 30/004/000/1693 </w:t>
            </w:r>
          </w:p>
        </w:tc>
      </w:tr>
      <w:tr w:rsidR="002D7106" w14:paraId="03712E77" w14:textId="77777777" w:rsidTr="00301A8E">
        <w:tc>
          <w:tcPr>
            <w:tcW w:w="4973" w:type="dxa"/>
            <w:shd w:val="clear" w:color="auto" w:fill="auto"/>
          </w:tcPr>
          <w:p w14:paraId="4ED63F73" w14:textId="492DB4FC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Adresa: 16, An. Tsocha, 115 21 Atény</w:t>
            </w:r>
          </w:p>
        </w:tc>
        <w:tc>
          <w:tcPr>
            <w:tcW w:w="4935" w:type="dxa"/>
            <w:shd w:val="clear" w:color="auto" w:fill="auto"/>
          </w:tcPr>
          <w:p w14:paraId="0C4D1026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</w:tr>
      <w:tr w:rsidR="002D7106" w14:paraId="773B038D" w14:textId="77777777" w:rsidTr="00301A8E">
        <w:tc>
          <w:tcPr>
            <w:tcW w:w="4973" w:type="dxa"/>
            <w:shd w:val="clear" w:color="auto" w:fill="auto"/>
          </w:tcPr>
          <w:p w14:paraId="28104899" w14:textId="34A0F3E3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Informace: Elli – Maria Apergi</w:t>
            </w:r>
          </w:p>
        </w:tc>
        <w:tc>
          <w:tcPr>
            <w:tcW w:w="4935" w:type="dxa"/>
            <w:shd w:val="clear" w:color="auto" w:fill="auto"/>
          </w:tcPr>
          <w:p w14:paraId="13BDE65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Adresát</w:t>
            </w:r>
          </w:p>
        </w:tc>
      </w:tr>
      <w:tr w:rsidR="002D7106" w14:paraId="4B336E39" w14:textId="77777777" w:rsidTr="00301A8E">
        <w:tc>
          <w:tcPr>
            <w:tcW w:w="4973" w:type="dxa"/>
            <w:shd w:val="clear" w:color="auto" w:fill="auto"/>
          </w:tcPr>
          <w:p w14:paraId="2E0437E7" w14:textId="640105A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Tel. 210 6479406</w:t>
            </w:r>
          </w:p>
        </w:tc>
        <w:tc>
          <w:tcPr>
            <w:tcW w:w="4935" w:type="dxa"/>
            <w:shd w:val="clear" w:color="auto" w:fill="auto"/>
          </w:tcPr>
          <w:p w14:paraId="72E1602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Nejvyšší rada pro chemické látky</w:t>
            </w:r>
          </w:p>
        </w:tc>
      </w:tr>
      <w:tr w:rsidR="002D7106" w:rsidRPr="00424FBE" w14:paraId="798B3D59" w14:textId="77777777" w:rsidTr="00301A8E">
        <w:tc>
          <w:tcPr>
            <w:tcW w:w="4973" w:type="dxa"/>
            <w:shd w:val="clear" w:color="auto" w:fill="auto"/>
          </w:tcPr>
          <w:p w14:paraId="0F184C76" w14:textId="77777777" w:rsidR="002D7106" w:rsidRPr="00424FBE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e-mail: </w:t>
            </w:r>
            <w:hyperlink r:id="rId7" w:history="1">
              <w:r>
                <w:rPr>
                  <w:b/>
                </w:rPr>
                <w:t>e.dima@aade.gr</w:t>
              </w:r>
            </w:hyperlink>
            <w:r>
              <w:rPr>
                <w:b/>
              </w:rPr>
              <w:t xml:space="preserve">, </w:t>
            </w:r>
            <w:hyperlink r:id="rId8" w:history="1">
              <w:r>
                <w:rPr>
                  <w:b/>
                </w:rPr>
                <w:t>e.apergi@aade.gr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shd w:val="clear" w:color="auto" w:fill="auto"/>
          </w:tcPr>
          <w:p w14:paraId="323A16D8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</w:tr>
      <w:tr w:rsidR="002D7106" w14:paraId="25757648" w14:textId="77777777" w:rsidTr="00301A8E">
        <w:tc>
          <w:tcPr>
            <w:tcW w:w="4973" w:type="dxa"/>
            <w:shd w:val="clear" w:color="auto" w:fill="auto"/>
          </w:tcPr>
          <w:p w14:paraId="6DBD7A36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4935" w:type="dxa"/>
            <w:shd w:val="clear" w:color="auto" w:fill="auto"/>
          </w:tcPr>
          <w:p w14:paraId="190665A0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Interní rozdělovník:</w:t>
            </w:r>
          </w:p>
        </w:tc>
      </w:tr>
      <w:tr w:rsidR="002D7106" w14:paraId="068164B0" w14:textId="77777777" w:rsidTr="00301A8E">
        <w:tc>
          <w:tcPr>
            <w:tcW w:w="4973" w:type="dxa"/>
            <w:shd w:val="clear" w:color="auto" w:fill="auto"/>
          </w:tcPr>
          <w:p w14:paraId="264762C1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shd w:val="clear" w:color="auto" w:fill="auto"/>
          </w:tcPr>
          <w:p w14:paraId="1BA43B3D" w14:textId="46244341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1. Úřad vedoucího generálního ředitelství VSCHL</w:t>
            </w:r>
          </w:p>
        </w:tc>
      </w:tr>
      <w:tr w:rsidR="00301A8E" w14:paraId="7CC59617" w14:textId="77777777" w:rsidTr="00301A8E">
        <w:tc>
          <w:tcPr>
            <w:tcW w:w="4973" w:type="dxa"/>
            <w:shd w:val="clear" w:color="auto" w:fill="auto"/>
          </w:tcPr>
          <w:p w14:paraId="2D005907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 w:val="restart"/>
            <w:shd w:val="clear" w:color="auto" w:fill="auto"/>
          </w:tcPr>
          <w:p w14:paraId="01643804" w14:textId="766E70E2" w:rsidR="00301A8E" w:rsidRDefault="00301A8E" w:rsidP="00301A8E">
            <w:pPr>
              <w:spacing w:line="340" w:lineRule="exact"/>
              <w:ind w:right="555"/>
            </w:pPr>
            <w:r>
              <w:rPr>
                <w:b/>
                <w:u w:val="single"/>
              </w:rPr>
              <w:t>2. Ředitelství pro energetické, průmyslové a chemické výrobky</w:t>
            </w:r>
          </w:p>
        </w:tc>
      </w:tr>
      <w:tr w:rsidR="00301A8E" w14:paraId="3BC2082F" w14:textId="77777777" w:rsidTr="00301A8E">
        <w:tc>
          <w:tcPr>
            <w:tcW w:w="4973" w:type="dxa"/>
            <w:shd w:val="clear" w:color="auto" w:fill="auto"/>
          </w:tcPr>
          <w:p w14:paraId="431BE9BE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/>
            <w:shd w:val="clear" w:color="auto" w:fill="auto"/>
          </w:tcPr>
          <w:p w14:paraId="20E2E6EE" w14:textId="3EEBDCE3" w:rsidR="00301A8E" w:rsidRDefault="00301A8E">
            <w:pPr>
              <w:spacing w:line="340" w:lineRule="exact"/>
              <w:jc w:val="both"/>
            </w:pPr>
          </w:p>
        </w:tc>
      </w:tr>
    </w:tbl>
    <w:p w14:paraId="1DC0D71B" w14:textId="77777777" w:rsidR="002D7106" w:rsidRDefault="002D7106">
      <w:pPr>
        <w:spacing w:line="340" w:lineRule="exact"/>
        <w:jc w:val="both"/>
        <w:rPr>
          <w:b/>
        </w:rPr>
      </w:pPr>
    </w:p>
    <w:p w14:paraId="0A08ED18" w14:textId="4AEE2B02" w:rsidR="002D7106" w:rsidRDefault="006E6B03">
      <w:pPr>
        <w:spacing w:line="340" w:lineRule="exact"/>
        <w:jc w:val="both"/>
      </w:pPr>
      <w:r>
        <w:rPr>
          <w:b/>
        </w:rPr>
        <w:t>Věc</w:t>
      </w:r>
      <w:r>
        <w:t xml:space="preserve">: </w:t>
      </w:r>
      <w:r>
        <w:rPr>
          <w:b/>
        </w:rPr>
        <w:t xml:space="preserve">Stanovení kontrolních opatření a sankcí v rámci provádění nařízení Evropského parlamentu a Rady (ES) č. 1907/2006 </w:t>
      </w:r>
      <w:bookmarkStart w:id="0" w:name="_Hlk122350013"/>
      <w:bookmarkEnd w:id="0"/>
    </w:p>
    <w:p w14:paraId="137C73BC" w14:textId="77777777" w:rsidR="002D7106" w:rsidRDefault="002D7106">
      <w:pPr>
        <w:spacing w:before="120" w:after="120" w:line="276" w:lineRule="auto"/>
        <w:jc w:val="both"/>
      </w:pPr>
    </w:p>
    <w:p w14:paraId="2870A7C0" w14:textId="77777777" w:rsidR="002D7106" w:rsidRDefault="006E6B03">
      <w:pPr>
        <w:spacing w:before="120" w:after="120" w:line="276" w:lineRule="auto"/>
        <w:jc w:val="both"/>
      </w:pPr>
      <w:r>
        <w:t>Vzhledem k těmto důvodům:</w:t>
      </w:r>
    </w:p>
    <w:p w14:paraId="04E029ED" w14:textId="2351B195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 xml:space="preserve">Nařízení Evropského parlamentu a Rady (ES) č. 1907/2006 o registraci, hodnocení, povolování a omezování chemických látek (REACH) bylo přijato za účelem ochrany lidského zdraví a životního prostředí před riziky, která představují chemické látky, a zvýšení konkurenceschopnosti chemického průmyslu EU. Podporuje rovněž alternativní metody hodnocení rizik látek s cílem snížit počet zkoušek na zvířatech. </w:t>
      </w:r>
    </w:p>
    <w:p w14:paraId="26B50CEA" w14:textId="1C3C196E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Ředitelství pro energetické, průmyslové a chemické výrobky bylo rozhodnutím státního tajemníka pro hospodářské záležitosti a finance č. 3013966/2726/2007 (Β΄1025) určeno jako příslušný vnitrostátní orgán k provádění ustanovení výše uvedeného nařízení.</w:t>
      </w:r>
    </w:p>
    <w:p w14:paraId="0ABD401B" w14:textId="7BBABE5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Následně byla na základě zmocnění uděleného v článcích 125 a 126 nařízení rozhodnutím státního tajemníka pro hospodářské záležitosti a finance č. 450/2008 (Β΄ 2553) zavedena kontrolní opatření v souvislosti s prováděním nařízení a rozhodnutím státního tajemníka pro hospodářské záležitosti a finance č. 82/2009 (Β΄ 581) byly stanoveny sankce.</w:t>
      </w:r>
    </w:p>
    <w:p w14:paraId="19511025" w14:textId="2BB062A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Od vypracování výše uvedených rozhodnutí uplynula doba více než deseti let, během které se hospodářské a sociální prostředí změnilo;</w:t>
      </w:r>
    </w:p>
    <w:p w14:paraId="55E52818" w14:textId="77777777" w:rsidR="002D7106" w:rsidRDefault="002D7106">
      <w:pPr>
        <w:spacing w:before="120" w:after="120" w:line="276" w:lineRule="auto"/>
        <w:contextualSpacing/>
        <w:jc w:val="both"/>
      </w:pPr>
    </w:p>
    <w:p w14:paraId="533FF397" w14:textId="31773D5F" w:rsidR="002D7106" w:rsidRDefault="006E6B03">
      <w:pPr>
        <w:spacing w:before="120" w:after="120" w:line="276" w:lineRule="auto"/>
        <w:jc w:val="both"/>
      </w:pPr>
      <w:r>
        <w:rPr>
          <w:b/>
        </w:rPr>
        <w:t>Kontrolní opatření a sankce v rámci provádění nařízení Evropského parlamentu a Rady (ES) č. 1907/2006 je nutno aktualizovat.</w:t>
      </w:r>
    </w:p>
    <w:p w14:paraId="5770BDA6" w14:textId="77777777" w:rsidR="002D7106" w:rsidRDefault="006E6B03">
      <w:pPr>
        <w:spacing w:before="120" w:after="120" w:line="276" w:lineRule="auto"/>
        <w:jc w:val="both"/>
      </w:pPr>
      <w:r>
        <w:t>Návrh nového rozhodnutí sjednocuje kontrolní opatření a sankce v rámci provádění nařízení do jediného textu s cílem usnadnit použití předpisu pro všechny zúčastněné strany, a zároveň vyjasňuje kontrolní postupy a modernizuje správní sankce.</w:t>
      </w:r>
    </w:p>
    <w:p w14:paraId="1B286252" w14:textId="77777777" w:rsidR="002D7106" w:rsidRDefault="006E6B03">
      <w:pPr>
        <w:spacing w:before="120" w:after="120" w:line="276" w:lineRule="auto"/>
        <w:jc w:val="both"/>
      </w:pPr>
      <w:r>
        <w:lastRenderedPageBreak/>
        <w:t>Základním rozdílem mezi návrhem nového rozhodnutí a zrušenými rozhodnutími je formulace a upřesnění kritérií pro ukládání opatření a sankcí, přičemž se usiluje o jejich rozšíření ve vztahu k hospodářským subjektům porušujícím předpisy tak, aby byla dodržena zásada proporcionality při současné ochraně lidského zdraví, životního prostředí a jakéhokoli jiného aspektu veřejného zájmu.</w:t>
      </w:r>
    </w:p>
    <w:p w14:paraId="7750B588" w14:textId="77777777" w:rsidR="002D7106" w:rsidRDefault="006E6B03">
      <w:pPr>
        <w:spacing w:before="120" w:after="120" w:line="276" w:lineRule="auto"/>
        <w:jc w:val="both"/>
      </w:pPr>
      <w:r>
        <w:t>Kromě toho zvyšuje transparentnost v oblasti správních rozhodnutí, protože zamezuje širokému rozsahu výší částek bez uplatňování kritérií v případě každého porušení předpisů.</w:t>
      </w:r>
    </w:p>
    <w:p w14:paraId="6E512920" w14:textId="77777777" w:rsidR="002D7106" w:rsidRDefault="006E6B03">
      <w:pPr>
        <w:spacing w:before="120" w:after="120" w:line="276" w:lineRule="auto"/>
        <w:jc w:val="both"/>
      </w:pPr>
      <w:r>
        <w:t xml:space="preserve">Ustanovení </w:t>
      </w:r>
      <w:bookmarkStart w:id="1" w:name="_Hlk122350719"/>
      <w:r>
        <w:t>tohoto návrhu</w:t>
      </w:r>
      <w:bookmarkEnd w:id="1"/>
      <w:r>
        <w:t xml:space="preserve"> nepředstavují pro státní rozpočet žádné výdaje.</w:t>
      </w:r>
    </w:p>
    <w:p w14:paraId="3AA3A13E" w14:textId="77777777" w:rsidR="002D7106" w:rsidRDefault="006E6B03">
      <w:pPr>
        <w:spacing w:before="120" w:after="120" w:line="276" w:lineRule="auto"/>
        <w:jc w:val="both"/>
      </w:pPr>
      <w:r>
        <w:t>Ustanovení tohoto návrhu byla vypracována po konzultaci s odděleními pro chemické látky odpovědnými za uplatňování a vymáhání těchto sankcí.</w:t>
      </w:r>
    </w:p>
    <w:p w14:paraId="326DA1AA" w14:textId="7608711C" w:rsidR="002D7106" w:rsidRDefault="006E6B03">
      <w:pPr>
        <w:spacing w:before="120" w:after="120" w:line="276" w:lineRule="auto"/>
        <w:jc w:val="both"/>
      </w:pPr>
      <w:r>
        <w:rPr>
          <w:b/>
        </w:rPr>
        <w:t>S ohledem na výše uvedené předkládáme následující NÁVRH ke schválení Nejvyšší radě pro chemické látky (NRCHL) a jsme Vám nadále k dispozici k jakémukoli objasnění nebo podání informací.</w:t>
      </w:r>
    </w:p>
    <w:p w14:paraId="32DFBDF1" w14:textId="65E376EF" w:rsidR="002D7106" w:rsidRDefault="006E6B03">
      <w:pPr>
        <w:spacing w:before="120" w:after="120" w:line="276" w:lineRule="auto"/>
        <w:jc w:val="both"/>
      </w:pPr>
      <w:r>
        <w:t>Ředitelství pro energetické, průmyslové a chemické výrobky Všeobecné státní chemické laboratoře (VSCHL) při výkonu svých pravomocí jako příslušný vnitrostátní orgán pro evropské nařízení REACH o chemických látkách přistupuje k přijetí vnitrostátních kontrolních opatření a sankcí v souvislosti s prováděním nařízení Evropského parlamentu a Rady (ES) č. 1907/2006.</w:t>
      </w:r>
    </w:p>
    <w:p w14:paraId="4C868F75" w14:textId="48D0D5ED" w:rsidR="002D7106" w:rsidRDefault="006E6B03">
      <w:pPr>
        <w:spacing w:before="120" w:after="120" w:line="276" w:lineRule="auto"/>
        <w:jc w:val="both"/>
      </w:pPr>
      <w:r>
        <w:t xml:space="preserve">Po schválení návrhu ze strany NRCHL bude návrh předložen k veřejné konzultaci trvající po dobu tří měsíců v souladu se směrnicí Evropského parlamentu a Rady (EU) 2015/1535 ze dne 9. září 2015 o postupu při poskytování informací v oblasti technických předpisů a předpisů pro služby informační společnosti, která byla do vnitrostátního práva provedena prezidentským výnosem 81/2018. </w:t>
      </w:r>
    </w:p>
    <w:p w14:paraId="613A4B3A" w14:textId="5F0027E3" w:rsidR="002D7106" w:rsidRDefault="006E6B03">
      <w:pPr>
        <w:spacing w:before="120" w:after="120" w:line="276" w:lineRule="auto"/>
        <w:jc w:val="both"/>
      </w:pPr>
      <w:r>
        <w:t>Po ukončení veřejné konzultace budou předložené poznámky/připomínky projednány/schváleny NRCHL s cílem vypracovat konečné znění NÁVRHU společného ministerského rozhodnutí, které bude předáno k podpisu příslušným ministerstvům financí a rozvoje a investic.</w:t>
      </w:r>
    </w:p>
    <w:p w14:paraId="1464D41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Eftychia Dima</w:t>
      </w:r>
    </w:p>
    <w:p w14:paraId="7B29AFB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vedoucí ředitelství</w:t>
      </w:r>
    </w:p>
    <w:p w14:paraId="09475AF3" w14:textId="344A7397" w:rsidR="002D7106" w:rsidRDefault="006E6B03" w:rsidP="00907705">
      <w:pPr>
        <w:jc w:val="center"/>
      </w:pPr>
      <w:r>
        <w:rPr>
          <w:b/>
        </w:rPr>
        <w:t>PŘEDLOHA NÁVRHU</w:t>
      </w:r>
    </w:p>
    <w:p w14:paraId="1178D0CE" w14:textId="77777777" w:rsidR="002D7106" w:rsidRDefault="002D7106">
      <w:pPr>
        <w:rPr>
          <w:rFonts w:cs="MgHelveticaUCPol"/>
        </w:rPr>
      </w:pPr>
    </w:p>
    <w:p w14:paraId="62EF2EF9" w14:textId="77777777" w:rsidR="002D7106" w:rsidRDefault="006E6B03">
      <w:pPr>
        <w:jc w:val="center"/>
      </w:pPr>
      <w:r>
        <w:t>Článek 1</w:t>
      </w:r>
    </w:p>
    <w:p w14:paraId="0CE9F2E2" w14:textId="77777777" w:rsidR="002D7106" w:rsidRDefault="006E6B03">
      <w:pPr>
        <w:jc w:val="center"/>
      </w:pPr>
      <w:r>
        <w:t>Kontrolní opatření</w:t>
      </w:r>
    </w:p>
    <w:p w14:paraId="06177536" w14:textId="77777777" w:rsidR="002D7106" w:rsidRDefault="002D7106">
      <w:pPr>
        <w:jc w:val="center"/>
        <w:rPr>
          <w:rFonts w:cs="MgHelveticaUCPol"/>
        </w:rPr>
      </w:pPr>
    </w:p>
    <w:p w14:paraId="4CF8596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S cílem sledovat uplatňování ustanovení nařízení (ES) č. 1907/2006 na látky samotné nebo obsažené ve směsích nebo v předmětech se inspekce, kontroly a odběr vzorků provádějí v místech výroby, skladování a všeobecné manipulace s těmito výrobky.</w:t>
      </w:r>
    </w:p>
    <w:p w14:paraId="6E8BAF5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Postupy odběru vzorků a kontroly vzorků chemických látek, směsí a předmětů, na něž se vztahují ustanovení nařízení (ES) č. 1907/2006, se provádějí způsobem podobným těm, které stanoví obecná ustanovení zákoníku o potravinách, nápojích a předmětech denní potřeby.</w:t>
      </w:r>
    </w:p>
    <w:p w14:paraId="7FD3A441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t xml:space="preserve">Útvary generálního ředitelství VSCHL Nezávislého orgánu pro veřejné příjmy (NOVP), které jsou odpovědné za kontrolu, dohled a inspekci, vypracovávají a provádějí inspekční/kontrolní programy ve společnostech, které vyrábějí, balí, skladují a/nebo odstraňují chemické výrobky, směsi a předměty, pod dohledem a koordinací ředitelství pro energetické, průmyslové a chemické výrobky téhož generálního ředitelství, které odpovídá za provádění ustanovení nařízení (ES) č. 1907/2006. </w:t>
      </w:r>
    </w:p>
    <w:p w14:paraId="75513C3C" w14:textId="05EB9683" w:rsidR="002D7106" w:rsidRDefault="006E6B03">
      <w:pPr>
        <w:spacing w:line="276" w:lineRule="auto"/>
        <w:contextualSpacing/>
        <w:jc w:val="both"/>
      </w:pPr>
      <w:r>
        <w:t>Inspekce se provádějí s předchozím oznámením společnosti o nadcházející inspekci/kontrole nebo bez něj. Inspekce/kontrola bez předchozího oznámení společnosti se provádí v případech stížnosti, zřízení společných týmů s jinými orgány, příkazu státního zástupce nebo z moci úřední, při kontrolách dodržování omezujících správních opatření, jakož i za účelem ochrany lidského zdraví a životního prostředí.</w:t>
      </w:r>
    </w:p>
    <w:p w14:paraId="4880B5EB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Zaměstnanci oddělení „Chemici s vysokoškolským vzděláním“ VSCHL, kteří provádějí inspekci/kontrolu, vypracují písemnou inspekční zprávu a předloží ji vedoucímu organizační jednotky VSCHL v jejíž územní působnosti společnost vykonává činnost, do dvaceti (20) pracovních dnů:</w:t>
      </w:r>
    </w:p>
    <w:p w14:paraId="0CCFD669" w14:textId="77777777" w:rsidR="002D7106" w:rsidRDefault="006E6B03">
      <w:pPr>
        <w:spacing w:line="276" w:lineRule="auto"/>
        <w:jc w:val="both"/>
      </w:pPr>
      <w:r>
        <w:lastRenderedPageBreak/>
        <w:t xml:space="preserve">a) od skončení inspekce/kontroly, pokud </w:t>
      </w:r>
      <w:r>
        <w:rPr>
          <w:color w:val="000000"/>
        </w:rPr>
        <w:t>nebyl proveden žádný odběr vzorků,</w:t>
      </w:r>
      <w:r>
        <w:t xml:space="preserve"> </w:t>
      </w:r>
    </w:p>
    <w:p w14:paraId="1C612C0D" w14:textId="3DE41EB7" w:rsidR="002D7106" w:rsidRDefault="006E6B03">
      <w:pPr>
        <w:spacing w:line="276" w:lineRule="auto"/>
        <w:jc w:val="both"/>
      </w:pPr>
      <w:r>
        <w:rPr>
          <w:color w:val="000000"/>
        </w:rPr>
        <w:t>b) od finalizace výsledku laboratorní zkoušky, pokud byl proveden odběr vzorků a analýza vzorku/vzorků.</w:t>
      </w:r>
      <w:r>
        <w:t xml:space="preserve"> </w:t>
      </w:r>
    </w:p>
    <w:p w14:paraId="56E3A126" w14:textId="77777777" w:rsidR="002D7106" w:rsidRDefault="006E6B03">
      <w:pPr>
        <w:spacing w:line="276" w:lineRule="auto"/>
        <w:jc w:val="both"/>
      </w:pPr>
      <w:r>
        <w:rPr>
          <w:color w:val="000000"/>
        </w:rPr>
        <w:t>Výše uvedený vedoucí organizační jednotky VSCHL neprodleně předá inspekční zprávu osobě odpovědné za vedení společnosti doporučeným dopisem nebo elektronicky s potvrzením o přijetí.</w:t>
      </w:r>
    </w:p>
    <w:p w14:paraId="75AA1202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Pokud inspekce/kontrola zjistí nesoulad s ustanoveními nařízení (ES) č. 1907/2006:</w:t>
      </w:r>
    </w:p>
    <w:p w14:paraId="1881C373" w14:textId="7984F0D3" w:rsidR="002D7106" w:rsidRDefault="006E6B03">
      <w:pPr>
        <w:spacing w:line="276" w:lineRule="auto"/>
        <w:jc w:val="both"/>
      </w:pPr>
      <w:r>
        <w:t xml:space="preserve">a) </w:t>
      </w:r>
      <w:r>
        <w:rPr>
          <w:color w:val="000000"/>
        </w:rPr>
        <w:t>Osoba odpovědná za vedení společnosti má právo poskytnout písemná vysvětlení ke zjištěnému nesouladu vedoucímu organizační jednotky VSCHL</w:t>
      </w:r>
      <w:r>
        <w:t xml:space="preserve">, v jejíž územní působnosti společnost působí, </w:t>
      </w:r>
      <w:r>
        <w:rPr>
          <w:color w:val="000000"/>
        </w:rPr>
        <w:t>do dvaceti (20) pracovních dnů od obdržení inspekční zprávy.</w:t>
      </w:r>
    </w:p>
    <w:p w14:paraId="4533DBD5" w14:textId="50D1A42E" w:rsidR="002D7106" w:rsidRDefault="006E6B03">
      <w:pPr>
        <w:spacing w:line="276" w:lineRule="auto"/>
        <w:jc w:val="both"/>
      </w:pPr>
      <w:r>
        <w:t>Pokud nejsou podána žádná písemná vysvětlení nebo pokud výše uvedený vedoucí nepovažuje podaná vysvětlení za uspokojivá, uloží vedoucí příslušného oddělení pro chemické látky VSCHL správní sankce za zjištěná porušení předpisů v souladu s články 2, 3 a 4 tohoto rozhodnutí.</w:t>
      </w:r>
    </w:p>
    <w:p w14:paraId="71855809" w14:textId="77777777" w:rsidR="002D7106" w:rsidRDefault="006E6B03">
      <w:pPr>
        <w:spacing w:line="276" w:lineRule="auto"/>
        <w:jc w:val="both"/>
      </w:pPr>
      <w:r>
        <w:rPr>
          <w:color w:val="000000"/>
        </w:rPr>
        <w:t xml:space="preserve">b) </w:t>
      </w:r>
      <w:r>
        <w:t>Pokud je možné uplatnit nápravná opatření, jsou stanoveny lhůty pro jejich předložení a provedení ze strany společnosti. Tyto lhůty se mohou v závislosti na povaze nesouladu</w:t>
      </w:r>
      <w:r>
        <w:rPr>
          <w:color w:val="000000"/>
        </w:rPr>
        <w:t xml:space="preserve"> pohybovat od jednoho (1) do tří (3) měsíců od okamžiku, kdy osoba odpovědná za vedení společnosti obdržela inspekční zprávu.</w:t>
      </w:r>
    </w:p>
    <w:p w14:paraId="238F536C" w14:textId="365C50D8" w:rsidR="002D7106" w:rsidRDefault="006E6B03">
      <w:pPr>
        <w:spacing w:line="276" w:lineRule="auto"/>
        <w:jc w:val="both"/>
      </w:pPr>
      <w:r>
        <w:rPr>
          <w:color w:val="000000"/>
        </w:rPr>
        <w:t xml:space="preserve">Nápravná opatření a jejich provedení pak vyhodnocují pracovníci VSCHL, kteří inspekci provedli, s ohledem na správnost a přiměřenost těchto opatření. Po vyhodnocení zašle závěr inspekce vedoucí organizační jednotky VSCHL, </w:t>
      </w:r>
      <w:r>
        <w:t xml:space="preserve">v jejíž územní působnosti společnost působí, doporučeným dopisem </w:t>
      </w:r>
      <w:r>
        <w:rPr>
          <w:color w:val="000000"/>
        </w:rPr>
        <w:t>osobě odpovědné za vedení společnosti.</w:t>
      </w:r>
    </w:p>
    <w:p w14:paraId="4C801D57" w14:textId="1B68576F" w:rsidR="002D7106" w:rsidRDefault="006E6B03">
      <w:pPr>
        <w:spacing w:line="276" w:lineRule="auto"/>
        <w:jc w:val="both"/>
      </w:pPr>
      <w:r>
        <w:t>Pokud nejsou předložena a/nebo provedena žádná nápravná opatření nebo se zjistí, že jsou nesprávná a/nebo nedostatečná, uloží vedoucí příslušného oddělení pro chemické látky předepsané správní sankce uvedené v článcích 2, 3 a 4 tohoto rozhodnutí.</w:t>
      </w:r>
    </w:p>
    <w:p w14:paraId="69F27AE7" w14:textId="46B54D57" w:rsidR="002D7106" w:rsidRDefault="006E6B03">
      <w:pPr>
        <w:spacing w:line="276" w:lineRule="auto"/>
        <w:jc w:val="both"/>
      </w:pPr>
      <w:r>
        <w:t>6. Pokud se při zkoumání vzorků zjistí, že jsou v rozporu s ustanoveními nařízení (ES) č. 1907/2006, uloží se příslušným odpovědným osobám správní sankce stanovené v článcích 2, 3 a 4 tohoto rozhodnutí.</w:t>
      </w:r>
    </w:p>
    <w:p w14:paraId="1661EA21" w14:textId="77777777" w:rsidR="002D7106" w:rsidRDefault="002D7106">
      <w:pPr>
        <w:spacing w:line="276" w:lineRule="auto"/>
        <w:jc w:val="both"/>
        <w:rPr>
          <w:rFonts w:cs="MyriadPro-Regular"/>
          <w:color w:val="2E74B5"/>
        </w:rPr>
      </w:pPr>
    </w:p>
    <w:p w14:paraId="455FB148" w14:textId="77777777" w:rsidR="002D7106" w:rsidRDefault="006E6B03">
      <w:pPr>
        <w:jc w:val="center"/>
      </w:pPr>
      <w:r>
        <w:rPr>
          <w:color w:val="000000"/>
        </w:rPr>
        <w:t>Článek 2</w:t>
      </w:r>
    </w:p>
    <w:p w14:paraId="0320E0F7" w14:textId="77777777" w:rsidR="002D7106" w:rsidRDefault="006E6B03">
      <w:pPr>
        <w:jc w:val="center"/>
      </w:pPr>
      <w:r>
        <w:rPr>
          <w:color w:val="000000"/>
        </w:rPr>
        <w:t>Sankce a kontrolní opatření – obecné zásady</w:t>
      </w:r>
    </w:p>
    <w:p w14:paraId="1F6313FD" w14:textId="77777777" w:rsidR="002D7106" w:rsidRDefault="002D7106">
      <w:pPr>
        <w:rPr>
          <w:rFonts w:cs="MgHelveticaUCPol"/>
          <w:color w:val="000000"/>
        </w:rPr>
      </w:pPr>
    </w:p>
    <w:p w14:paraId="3702837D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Výroba, uvádění na trh a/nebo použití chemických látek samotných nebo obsažených ve směsích nebo v předmětech, jakož i uvádění na trh a/nebo používání směsí a předmětů je povoleno, pokud jsou v souladu s ustanoveními nařízení (ES) č. 1907/2006. V opačném případě se uloží opatření a sankce.</w:t>
      </w:r>
    </w:p>
    <w:p w14:paraId="767B3430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Uložená opatření a sankce musí být přiměřené, vycházet z posouzení rizika, které zjištěné porušení předpisů představuje pro ochranu veřejného zájmu, a zaměřené na prevenci nebo snížení rizika pro lidské zdraví, životní prostředí a jakýkoli jiný aspekt veřejného zájmu.</w:t>
      </w:r>
    </w:p>
    <w:p w14:paraId="6F8E1736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Ukládají se tato opatření a sankce:</w:t>
      </w:r>
    </w:p>
    <w:p w14:paraId="391D638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a) uložení pokuty</w:t>
      </w:r>
    </w:p>
    <w:p w14:paraId="37804E6B" w14:textId="1E721BAE" w:rsidR="002D7106" w:rsidRDefault="006E6B03">
      <w:pPr>
        <w:spacing w:line="276" w:lineRule="auto"/>
        <w:jc w:val="both"/>
      </w:pPr>
      <w:r>
        <w:rPr>
          <w:color w:val="000000"/>
        </w:rPr>
        <w:t>b) další omezující správní opatření zakazující</w:t>
      </w:r>
      <w:r>
        <w:t xml:space="preserve"> uvádění výrobků na trh a stažení výrobků z trhu nebo </w:t>
      </w:r>
      <w:r>
        <w:rPr>
          <w:color w:val="000000"/>
        </w:rPr>
        <w:t>konfiskace výrobků a jejich stažení z trhu.</w:t>
      </w:r>
    </w:p>
    <w:p w14:paraId="504D3BE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3E010A3A" w14:textId="77777777" w:rsidR="002D7106" w:rsidRDefault="006E6B03">
      <w:pPr>
        <w:jc w:val="center"/>
      </w:pPr>
      <w:r>
        <w:rPr>
          <w:color w:val="000000"/>
        </w:rPr>
        <w:t>Článek 3</w:t>
      </w:r>
    </w:p>
    <w:p w14:paraId="48F23B12" w14:textId="77777777" w:rsidR="002D7106" w:rsidRDefault="006E6B03">
      <w:pPr>
        <w:jc w:val="center"/>
      </w:pPr>
      <w:r>
        <w:rPr>
          <w:color w:val="000000"/>
        </w:rPr>
        <w:t>Klasifikace porušení předpisů a ukládání pokut</w:t>
      </w:r>
    </w:p>
    <w:p w14:paraId="0FD0FFE1" w14:textId="77777777" w:rsidR="002D7106" w:rsidRDefault="002D7106">
      <w:pPr>
        <w:jc w:val="center"/>
        <w:rPr>
          <w:rFonts w:cs="MgHelveticaUCPol"/>
          <w:color w:val="000000"/>
        </w:rPr>
      </w:pPr>
    </w:p>
    <w:p w14:paraId="5FF50226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Uložení pokuty se řídí zásadou proporcionality. Při stanovení pokuty se zohlední:</w:t>
      </w:r>
    </w:p>
    <w:p w14:paraId="55605A7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a) závažnost porušení předpisů, na jejímž základě se stanoví maximální základní výše (MZV) pokuty podle odst. 2 písm. a);</w:t>
      </w:r>
    </w:p>
    <w:p w14:paraId="6C7BB8A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b) status kontrolovaného hospodářského subjektu, na jehož základě se určí koeficient pro stanovení pokuty (KSP) podle odst. 2 písm. b);</w:t>
      </w:r>
    </w:p>
    <w:p w14:paraId="61680A07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 xml:space="preserve">c) soubor provozních faktorů, které jsou uvedeny a posuzovány v souladu s odst. 2 písm. c), s uvedením míry a následně koeficientu pro uložení pokuty (KUP). </w:t>
      </w:r>
    </w:p>
    <w:p w14:paraId="6F559844" w14:textId="77777777" w:rsidR="002D7106" w:rsidRDefault="006E6B0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</w:pPr>
      <w:r>
        <w:rPr>
          <w:color w:val="000000"/>
        </w:rPr>
        <w:t>S cílem vypočítat výši pokuty se provádějí následující výpočty:</w:t>
      </w:r>
    </w:p>
    <w:p w14:paraId="41BF4DDB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31AACCA" w14:textId="77777777" w:rsidR="002D7106" w:rsidRDefault="006E6B03">
      <w:pPr>
        <w:tabs>
          <w:tab w:val="left" w:pos="426"/>
        </w:tabs>
        <w:spacing w:line="276" w:lineRule="auto"/>
        <w:jc w:val="both"/>
      </w:pPr>
      <w:r>
        <w:rPr>
          <w:color w:val="000000"/>
        </w:rPr>
        <w:t>a) Stanovení maximální základní výše (MZV) pokuty za použití níže uvedené tabulky:</w:t>
      </w:r>
    </w:p>
    <w:p w14:paraId="1163A03F" w14:textId="77777777" w:rsidR="002D7106" w:rsidRDefault="002D7106">
      <w:pPr>
        <w:tabs>
          <w:tab w:val="left" w:pos="426"/>
        </w:tabs>
        <w:jc w:val="both"/>
        <w:rPr>
          <w:rFonts w:cs="MyriadPro-Regular"/>
          <w:color w:val="000000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3401"/>
        <w:gridCol w:w="3119"/>
        <w:gridCol w:w="1786"/>
      </w:tblGrid>
      <w:tr w:rsidR="002D7106" w14:paraId="7DD254F4" w14:textId="77777777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742B7" w14:textId="6DA93048" w:rsidR="002D7106" w:rsidRDefault="006E6B03">
            <w:r>
              <w:rPr>
                <w:b/>
                <w:color w:val="000000"/>
              </w:rPr>
              <w:lastRenderedPageBreak/>
              <w:t>Porušení předpisů kategorie A – ustanovení nařízení (ES) č. 1907/2006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97384D" w14:textId="483C0435" w:rsidR="002D7106" w:rsidRDefault="006E6B03">
            <w:r>
              <w:rPr>
                <w:b/>
                <w:color w:val="000000"/>
              </w:rPr>
              <w:t>Články nařízení (ES) č. 1907/2006, které se k porušení předpisů vztahují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57C94C" w14:textId="0766FF67" w:rsidR="002D7106" w:rsidRDefault="006E6B03">
            <w:r>
              <w:rPr>
                <w:b/>
                <w:color w:val="000000"/>
              </w:rPr>
              <w:t>Maximální základní výše (MZV) za látku/směs/předmět a za porušení předpisů</w:t>
            </w:r>
            <w:r>
              <w:rPr>
                <w:b/>
                <w:color w:val="000000"/>
              </w:rPr>
              <w:br/>
              <w:t>v eurech</w:t>
            </w:r>
          </w:p>
        </w:tc>
      </w:tr>
      <w:tr w:rsidR="002D7106" w14:paraId="1BA7AA06" w14:textId="77777777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07A9" w14:textId="7D84EBFE" w:rsidR="002D7106" w:rsidRDefault="006E6B03">
            <w:r>
              <w:rPr>
                <w:color w:val="000000"/>
              </w:rPr>
              <w:t xml:space="preserve">Porušení předpisů týkající se povinnosti registrace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8AFB" w14:textId="77777777" w:rsidR="002D7106" w:rsidRDefault="006E6B03">
            <w:r>
              <w:rPr>
                <w:color w:val="000000"/>
              </w:rPr>
              <w:t xml:space="preserve">Porušení </w:t>
            </w:r>
            <w:r>
              <w:t>článků 5, 6, 7, 8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7595" w14:textId="77777777" w:rsidR="002D7106" w:rsidRDefault="006E6B03">
            <w:r>
              <w:rPr>
                <w:color w:val="000000"/>
              </w:rPr>
              <w:t>10 000</w:t>
            </w:r>
          </w:p>
        </w:tc>
      </w:tr>
      <w:tr w:rsidR="002D7106" w14:paraId="112868D1" w14:textId="77777777">
        <w:trPr>
          <w:trHeight w:val="7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27A4E" w14:textId="77777777" w:rsidR="002D7106" w:rsidRDefault="006E6B03">
            <w:r>
              <w:rPr>
                <w:color w:val="000000"/>
              </w:rPr>
              <w:t>Porušení předpisů týkající se požadavků na udělení výjimek z registrace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B8CF" w14:textId="77777777" w:rsidR="002D7106" w:rsidRDefault="006E6B03">
            <w:r>
              <w:rPr>
                <w:color w:val="000000"/>
              </w:rPr>
              <w:t xml:space="preserve">Porušení </w:t>
            </w:r>
            <w:r>
              <w:t>článku 9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B90F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6265CFBC" w14:textId="77777777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9D0C6" w14:textId="07494E88" w:rsidR="002D7106" w:rsidRDefault="006E6B03">
            <w:r>
              <w:rPr>
                <w:color w:val="000000"/>
              </w:rPr>
              <w:t xml:space="preserve">Porušení předpisů týkající se povinnosti registrace pro určité druhy meziproduktů a izolovaných produktů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1445" w14:textId="77777777" w:rsidR="002D7106" w:rsidRDefault="006E6B03">
            <w:r>
              <w:rPr>
                <w:color w:val="000000"/>
              </w:rPr>
              <w:t xml:space="preserve">Porušení </w:t>
            </w:r>
            <w:r>
              <w:t>článků 17, 18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7AD3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18A51558" w14:textId="77777777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4C64" w14:textId="77777777" w:rsidR="002D7106" w:rsidRDefault="006E6B03">
            <w:r>
              <w:rPr>
                <w:color w:val="000000"/>
              </w:rPr>
              <w:t>Porušení předpisů týkající se požadavků na informace pro účely registrace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8426" w14:textId="5352B3D7" w:rsidR="002D7106" w:rsidRDefault="006E6B03">
            <w:r>
              <w:t>Porušení článků 10, 12, 13 a 14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8E54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5671ADFE" w14:textId="77777777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88F2" w14:textId="77777777" w:rsidR="002D7106" w:rsidRDefault="006E6B03">
            <w:r>
              <w:rPr>
                <w:color w:val="000000"/>
              </w:rPr>
              <w:t xml:space="preserve">Porušení předpisů vztahující se ke společnému předkládání údajů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5354" w14:textId="77777777" w:rsidR="002D7106" w:rsidRDefault="006E6B03">
            <w:r>
              <w:rPr>
                <w:color w:val="000000"/>
              </w:rPr>
              <w:t>Porušení článků 11 a 19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85D2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976C038" w14:textId="77777777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CC7E8" w14:textId="77777777" w:rsidR="002D7106" w:rsidRDefault="006E6B03">
            <w:r>
              <w:rPr>
                <w:color w:val="000000"/>
              </w:rPr>
              <w:t>Porušení předpisů týkající se dalších povinností žadatele o registraci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F8EE" w14:textId="77777777" w:rsidR="002D7106" w:rsidRDefault="006E6B03">
            <w:r>
              <w:rPr>
                <w:color w:val="000000"/>
              </w:rPr>
              <w:t>Porušení článků 21 a 22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A0A6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5DE343C" w14:textId="77777777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8FBDD" w14:textId="77777777" w:rsidR="002D7106" w:rsidRDefault="006E6B03">
            <w:r>
              <w:rPr>
                <w:color w:val="000000"/>
              </w:rPr>
              <w:t>Porušení předpisů v souvislosti se sdílením údajů o zkouškách — odmítnutí poskytnout studii nebo doklad o nákladech na ni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06C2" w14:textId="77777777" w:rsidR="002D7106" w:rsidRDefault="006E6B03">
            <w:r>
              <w:rPr>
                <w:color w:val="000000"/>
              </w:rPr>
              <w:t>Porušení článku 30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002A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FF17441" w14:textId="77777777">
        <w:trPr>
          <w:trHeight w:val="906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86A7A2" w14:textId="310F3A64" w:rsidR="002D7106" w:rsidRDefault="006E6B03">
            <w:r>
              <w:rPr>
                <w:color w:val="000000"/>
              </w:rPr>
              <w:t>Porušení předpisů týkající se povinnosti dodavatelů poskytovat a aktualizovat informace o dodavatelském řetězci a uchovávat informace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B06A" w14:textId="1C8FC441" w:rsidR="002D7106" w:rsidRDefault="006E6B03">
            <w:r>
              <w:rPr>
                <w:color w:val="000000"/>
              </w:rPr>
              <w:t>Porušení článku 31</w:t>
            </w:r>
          </w:p>
          <w:p w14:paraId="4A51C60C" w14:textId="77777777" w:rsidR="002D7106" w:rsidRDefault="006E6B03">
            <w:r>
              <w:rPr>
                <w:color w:val="000000"/>
              </w:rPr>
              <w:t>(pokud nejsou poskytnuty žádné informace, je uložena maximální výše)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97A5" w14:textId="77777777" w:rsidR="002D7106" w:rsidRDefault="006E6B03">
            <w:r>
              <w:rPr>
                <w:color w:val="000000"/>
              </w:rPr>
              <w:t xml:space="preserve">500 až 5 000 </w:t>
            </w:r>
          </w:p>
        </w:tc>
      </w:tr>
      <w:tr w:rsidR="002D7106" w14:paraId="28DFA1EB" w14:textId="77777777">
        <w:trPr>
          <w:trHeight w:val="636"/>
        </w:trPr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596E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61ED" w14:textId="77777777" w:rsidR="002D7106" w:rsidRDefault="006E6B03">
            <w:r>
              <w:rPr>
                <w:color w:val="000000"/>
              </w:rPr>
              <w:t>Porušení článků 32, 33, 34, 35, 36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844E" w14:textId="77777777" w:rsidR="002D7106" w:rsidRDefault="006E6B03">
            <w:r>
              <w:rPr>
                <w:color w:val="000000"/>
              </w:rPr>
              <w:t>500</w:t>
            </w:r>
          </w:p>
        </w:tc>
      </w:tr>
      <w:tr w:rsidR="002D7106" w14:paraId="585FB785" w14:textId="77777777">
        <w:trPr>
          <w:trHeight w:val="13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7855" w14:textId="17B6E54F" w:rsidR="002D7106" w:rsidRDefault="006E6B03">
            <w:r>
              <w:rPr>
                <w:color w:val="000000"/>
              </w:rPr>
              <w:t>Porušení předpisů vztahující se k posouzení chemické bezpečnosti a stanovení, použijí a doporučení opatření ke snížení rizika ze strany následných uživatelů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250D" w14:textId="77777777" w:rsidR="002D7106" w:rsidRDefault="006E6B03">
            <w:r>
              <w:rPr>
                <w:color w:val="000000"/>
              </w:rPr>
              <w:t>Porušení článku 37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4B32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74B96BEF" w14:textId="77777777">
        <w:trPr>
          <w:trHeight w:val="105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5AFB" w14:textId="69821FC6" w:rsidR="002D7106" w:rsidRDefault="006E6B03">
            <w:r>
              <w:rPr>
                <w:color w:val="000000"/>
              </w:rPr>
              <w:t>Porušení předpisů týkající se povinností následných uživatelů poskytovat a uchovávat informace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F3E13" w14:textId="77777777" w:rsidR="002D7106" w:rsidRDefault="006E6B03">
            <w:r>
              <w:rPr>
                <w:color w:val="000000"/>
              </w:rPr>
              <w:t>Porušení článků 38 a 39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5883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43A58062" w14:textId="77777777">
        <w:trPr>
          <w:trHeight w:val="64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A192" w14:textId="77777777" w:rsidR="002D7106" w:rsidRDefault="006E6B03">
            <w:r>
              <w:rPr>
                <w:color w:val="000000"/>
              </w:rPr>
              <w:t xml:space="preserve">Porušení předpisů ve fázi hodnocení dokumentace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0754" w14:textId="77777777" w:rsidR="002D7106" w:rsidRDefault="006E6B03">
            <w:r>
              <w:t>Porušení článků 40, 41, 46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D838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39FE590" w14:textId="77777777">
        <w:trPr>
          <w:trHeight w:val="96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B179B" w14:textId="77777777" w:rsidR="002D7106" w:rsidRDefault="006E6B03">
            <w:r>
              <w:rPr>
                <w:color w:val="000000"/>
              </w:rPr>
              <w:t xml:space="preserve">Porušení předpisů týkající se povinnosti poskytnout další informace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6448" w14:textId="77777777" w:rsidR="002D7106" w:rsidRDefault="006E6B03">
            <w:r>
              <w:rPr>
                <w:color w:val="000000"/>
              </w:rPr>
              <w:t>Porušení článků 49 a 50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093B" w14:textId="77777777" w:rsidR="002D7106" w:rsidRDefault="006E6B03">
            <w:r>
              <w:rPr>
                <w:color w:val="000000"/>
              </w:rPr>
              <w:t>1 500</w:t>
            </w:r>
          </w:p>
        </w:tc>
      </w:tr>
      <w:tr w:rsidR="002D7106" w14:paraId="05ED5674" w14:textId="77777777">
        <w:trPr>
          <w:trHeight w:val="73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A9F1" w14:textId="77777777" w:rsidR="002D7106" w:rsidRDefault="006E6B03">
            <w:r>
              <w:rPr>
                <w:color w:val="000000"/>
              </w:rPr>
              <w:t>Porušení předpisů týkající se požadavků na udělování povolení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25A4B" w14:textId="77777777" w:rsidR="002D7106" w:rsidRDefault="006E6B03">
            <w:r>
              <w:rPr>
                <w:color w:val="000000"/>
              </w:rPr>
              <w:t xml:space="preserve">Porušení </w:t>
            </w:r>
            <w:r>
              <w:t>článku 56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BD9E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B3A99F6" w14:textId="77777777">
        <w:trPr>
          <w:trHeight w:val="12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A63F3" w14:textId="77777777" w:rsidR="002D7106" w:rsidRDefault="006E6B03">
            <w:r>
              <w:rPr>
                <w:color w:val="000000"/>
              </w:rPr>
              <w:lastRenderedPageBreak/>
              <w:t xml:space="preserve">Porušení předpisů týkající se přezkumu povolení, následných žádostí o povolení a povinností držitelů povolení k látce a následných uživatelů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949E0" w14:textId="77777777" w:rsidR="002D7106" w:rsidRDefault="006E6B03">
            <w:r>
              <w:rPr>
                <w:color w:val="000000"/>
              </w:rPr>
              <w:t>Porušení článků 61, 63, 65, 66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0617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286DB7C1" w14:textId="77777777">
        <w:trPr>
          <w:trHeight w:val="6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16B01" w14:textId="77777777" w:rsidR="002D7106" w:rsidRDefault="006E6B03">
            <w:r>
              <w:rPr>
                <w:color w:val="000000"/>
              </w:rPr>
              <w:t xml:space="preserve">Porušení předpisů týkající se omezení výroby, odstraňování a používání látek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C9ED" w14:textId="77777777" w:rsidR="002D7106" w:rsidRDefault="006E6B03">
            <w:r>
              <w:t>Porušení článku 67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444A" w14:textId="77777777" w:rsidR="002D7106" w:rsidRDefault="006E6B03">
            <w:r>
              <w:rPr>
                <w:color w:val="000000"/>
              </w:rPr>
              <w:t>3 000</w:t>
            </w:r>
          </w:p>
        </w:tc>
      </w:tr>
      <w:tr w:rsidR="002D7106" w14:paraId="21A038BD" w14:textId="77777777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3E1C" w14:textId="77777777" w:rsidR="002D7106" w:rsidRDefault="006E6B03">
            <w:r>
              <w:rPr>
                <w:color w:val="000000"/>
              </w:rPr>
              <w:t>Nepravdivé prohlášení společnosti určené Agentuře pro chemické látky týkající se kategorie malých a středních podniků (střední, malé a velmi malé podniky) „o definici velmi malých, malých a středních podniků“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6739" w14:textId="3CBCF20E" w:rsidR="002D7106" w:rsidRDefault="006E6B03">
            <w:r>
              <w:rPr>
                <w:color w:val="000000"/>
              </w:rPr>
              <w:t>Doporučení Komise 2003/361/ES (Úř. věst. L 124, 20.5.2003)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F89B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50A17BD6" w14:textId="77777777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AD69D4" w14:textId="77777777" w:rsidR="002D7106" w:rsidRDefault="006E6B03">
            <w:r>
              <w:rPr>
                <w:b/>
                <w:color w:val="000000"/>
              </w:rPr>
              <w:t>Porušení předpisů kategorie B</w:t>
            </w:r>
          </w:p>
          <w:p w14:paraId="09C1A237" w14:textId="77777777" w:rsidR="002D7106" w:rsidRDefault="006E6B03">
            <w:r>
              <w:rPr>
                <w:b/>
                <w:color w:val="000000"/>
              </w:rPr>
              <w:t>Zabránění v inspekci/kontrole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78D44C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7549EB" w14:textId="77777777" w:rsidR="002D7106" w:rsidRDefault="006E6B03">
            <w:r>
              <w:rPr>
                <w:b/>
                <w:color w:val="000000"/>
              </w:rPr>
              <w:t>Maximální základní výše (MZV) za látku/směs/předmět a za porušení předpisů v eurech</w:t>
            </w:r>
          </w:p>
        </w:tc>
      </w:tr>
      <w:tr w:rsidR="002D7106" w14:paraId="2B2F3D06" w14:textId="77777777">
        <w:trPr>
          <w:trHeight w:val="16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1347" w14:textId="75C1589D" w:rsidR="002D7106" w:rsidRDefault="006E6B03" w:rsidP="00E12AE7">
            <w:pPr>
              <w:rPr>
                <w:rFonts w:cs="MgHelveticaUCPol"/>
                <w:color w:val="000000"/>
              </w:rPr>
            </w:pPr>
            <w:r>
              <w:rPr>
                <w:color w:val="000000"/>
              </w:rPr>
              <w:t>Odmítnutí poskytnout informace nebo předložit údaje během inspekce/kontroly podle ustanovení nařízení (ES) č. 1907/2006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88E6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AE01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2F3AA24" w14:textId="77777777">
        <w:trPr>
          <w:trHeight w:val="16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CEF1" w14:textId="77777777" w:rsidR="002D7106" w:rsidRDefault="006E6B03">
            <w:r>
              <w:rPr>
                <w:color w:val="000000"/>
              </w:rPr>
              <w:t>Zabránění v inspekci/kontrole nebo jejich odmítnutí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E37E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40DA" w14:textId="77777777" w:rsidR="002D7106" w:rsidRDefault="006E6B03">
            <w:r>
              <w:rPr>
                <w:color w:val="000000"/>
              </w:rPr>
              <w:t>50 000</w:t>
            </w:r>
          </w:p>
        </w:tc>
      </w:tr>
      <w:tr w:rsidR="002D7106" w14:paraId="09E3235D" w14:textId="77777777">
        <w:trPr>
          <w:trHeight w:val="78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D2CA5E" w14:textId="77777777" w:rsidR="002D7106" w:rsidRDefault="006E6B03">
            <w:r>
              <w:rPr>
                <w:b/>
                <w:color w:val="000000"/>
              </w:rPr>
              <w:t>Porušení předpisů kategorie C</w:t>
            </w:r>
          </w:p>
          <w:p w14:paraId="29AA6732" w14:textId="77777777" w:rsidR="002D7106" w:rsidRDefault="006E6B03">
            <w:r>
              <w:rPr>
                <w:b/>
                <w:color w:val="000000"/>
              </w:rPr>
              <w:t>Jiná porušení předpisů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5BAFD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233CDF" w14:textId="77777777" w:rsidR="002D7106" w:rsidRDefault="006E6B03">
            <w:r>
              <w:rPr>
                <w:b/>
                <w:color w:val="000000"/>
              </w:rPr>
              <w:t>Maximální základní výše (MZV) za látku/směs/předmět a za porušení předpisů</w:t>
            </w:r>
            <w:r>
              <w:rPr>
                <w:b/>
                <w:color w:val="000000"/>
              </w:rPr>
              <w:br/>
              <w:t>v eurech</w:t>
            </w:r>
          </w:p>
        </w:tc>
      </w:tr>
      <w:tr w:rsidR="002D7106" w14:paraId="6BEC92E4" w14:textId="77777777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4CEC" w14:textId="77777777" w:rsidR="002D7106" w:rsidRDefault="006E6B03">
            <w:r>
              <w:rPr>
                <w:color w:val="000000"/>
              </w:rPr>
              <w:t>Neprovedení uložených opatření zákazu výroby a/nebo oběhu a/nebo použití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E507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41F1" w14:textId="77777777" w:rsidR="002D7106" w:rsidRDefault="006E6B03">
            <w:r>
              <w:rPr>
                <w:color w:val="000000"/>
              </w:rPr>
              <w:t>50 000</w:t>
            </w:r>
          </w:p>
        </w:tc>
      </w:tr>
    </w:tbl>
    <w:p w14:paraId="6DCC1496" w14:textId="77777777" w:rsidR="002D7106" w:rsidRDefault="002D7106">
      <w:pPr>
        <w:rPr>
          <w:rFonts w:cs="MgHelveticaUCPol"/>
          <w:color w:val="000000"/>
        </w:rPr>
      </w:pPr>
    </w:p>
    <w:p w14:paraId="493E9DBA" w14:textId="539011EB" w:rsidR="002D7106" w:rsidRDefault="006E6B03">
      <w:pPr>
        <w:jc w:val="both"/>
      </w:pPr>
      <w:r>
        <w:rPr>
          <w:color w:val="000000"/>
        </w:rPr>
        <w:t>V případě vícenásobného porušení předpisů v téže kategorii A v tabulce výše se maximální základní výše sčítají, avšak celková výše pokuty nesmí překročit strop této kategorie, tj. deset tisíc EUR (10 000 EUR).</w:t>
      </w:r>
    </w:p>
    <w:p w14:paraId="0235BD51" w14:textId="77777777" w:rsidR="002D7106" w:rsidRDefault="006E6B03">
      <w:pPr>
        <w:jc w:val="both"/>
      </w:pPr>
      <w:r>
        <w:rPr>
          <w:color w:val="000000"/>
        </w:rPr>
        <w:t>Maximální základní výše u kategorií B a C uvedená v tabulce je nezávislá a samostatná.</w:t>
      </w:r>
    </w:p>
    <w:p w14:paraId="62AC909C" w14:textId="77777777" w:rsidR="002D7106" w:rsidRDefault="002D7106">
      <w:pPr>
        <w:rPr>
          <w:rFonts w:cs="MgHelveticaUCPol"/>
          <w:color w:val="000000"/>
        </w:rPr>
      </w:pPr>
    </w:p>
    <w:p w14:paraId="113495C1" w14:textId="77777777" w:rsidR="002D7106" w:rsidRDefault="006E6B03">
      <w:r>
        <w:rPr>
          <w:color w:val="000000"/>
        </w:rPr>
        <w:t>b) Určení koeficientu pro stanovení pokuty (KSP) na základě statusu kontrolovaného hospodářského subjektu, a to takto:</w:t>
      </w:r>
    </w:p>
    <w:p w14:paraId="2961D8DE" w14:textId="77777777" w:rsidR="002D7106" w:rsidRDefault="002D7106">
      <w:pPr>
        <w:rPr>
          <w:rFonts w:cs="MgHelveticaUCPol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06"/>
        <w:gridCol w:w="1843"/>
      </w:tblGrid>
      <w:tr w:rsidR="002D7106" w14:paraId="00967840" w14:textId="77777777">
        <w:trPr>
          <w:trHeight w:val="63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C988A1" w14:textId="77777777" w:rsidR="002D7106" w:rsidRDefault="006E6B03" w:rsidP="0035586E">
            <w:pPr>
              <w:keepNext/>
            </w:pPr>
            <w:r>
              <w:rPr>
                <w:b/>
                <w:color w:val="000000"/>
              </w:rPr>
              <w:lastRenderedPageBreak/>
              <w:t>Status hospodářského subjektu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8B4302" w14:textId="77777777" w:rsidR="002D7106" w:rsidRDefault="006E6B03" w:rsidP="0035586E">
            <w:pPr>
              <w:keepNext/>
            </w:pPr>
            <w:r>
              <w:rPr>
                <w:b/>
                <w:color w:val="000000"/>
              </w:rPr>
              <w:t>Koeficient pro stanovení pokuty</w:t>
            </w:r>
          </w:p>
        </w:tc>
      </w:tr>
      <w:tr w:rsidR="002D7106" w14:paraId="4B8FC489" w14:textId="77777777">
        <w:trPr>
          <w:trHeight w:val="60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DE88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Výrobce, výhradní zástupce, dovozce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D27C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1</w:t>
            </w:r>
          </w:p>
        </w:tc>
      </w:tr>
      <w:tr w:rsidR="002D7106" w14:paraId="17841C83" w14:textId="77777777">
        <w:trPr>
          <w:trHeight w:val="43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3AA10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Následný uživatel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0100A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0,7</w:t>
            </w:r>
          </w:p>
        </w:tc>
      </w:tr>
      <w:tr w:rsidR="002D7106" w14:paraId="2C515FE3" w14:textId="77777777">
        <w:trPr>
          <w:trHeight w:val="67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8F01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Distributor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E2CB" w14:textId="77777777" w:rsidR="002D7106" w:rsidRDefault="006E6B03" w:rsidP="0035586E">
            <w:pPr>
              <w:keepNext/>
            </w:pPr>
            <w:r>
              <w:rPr>
                <w:color w:val="000000"/>
              </w:rPr>
              <w:t>0,4</w:t>
            </w:r>
          </w:p>
        </w:tc>
      </w:tr>
    </w:tbl>
    <w:p w14:paraId="48D84EA6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2D4DFF36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c) Hodnocení kritérií týkajících se kontrolovaného hospodářského subjektu nebo uživatele a počet bodů příslušných kritérií podle následující tabulky:</w:t>
      </w:r>
    </w:p>
    <w:p w14:paraId="24448A58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747C0FA2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92"/>
        <w:gridCol w:w="3782"/>
        <w:gridCol w:w="922"/>
      </w:tblGrid>
      <w:tr w:rsidR="002D7106" w14:paraId="1904DCBC" w14:textId="77777777">
        <w:trPr>
          <w:trHeight w:val="300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70A67F" w14:textId="77777777" w:rsidR="002D7106" w:rsidRDefault="006E6B03">
            <w:r>
              <w:rPr>
                <w:b/>
                <w:color w:val="000000"/>
              </w:rPr>
              <w:t xml:space="preserve">Kritérium </w:t>
            </w: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B03EAA" w14:textId="77777777" w:rsidR="002D7106" w:rsidRDefault="006E6B03">
            <w:r>
              <w:rPr>
                <w:b/>
                <w:color w:val="000000"/>
              </w:rPr>
              <w:t xml:space="preserve">Hodnocení 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60C226" w14:textId="77777777" w:rsidR="002D7106" w:rsidRDefault="006E6B03">
            <w:r>
              <w:rPr>
                <w:b/>
                <w:color w:val="000000"/>
              </w:rPr>
              <w:t>Počet bodů</w:t>
            </w:r>
          </w:p>
        </w:tc>
      </w:tr>
      <w:tr w:rsidR="002D7106" w14:paraId="6EC7F615" w14:textId="77777777">
        <w:trPr>
          <w:trHeight w:val="900"/>
        </w:trPr>
        <w:tc>
          <w:tcPr>
            <w:tcW w:w="3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E339" w14:textId="77777777" w:rsidR="002D7106" w:rsidRDefault="006E6B03">
            <w:r>
              <w:rPr>
                <w:color w:val="000000"/>
              </w:rPr>
              <w:t xml:space="preserve">Míra spolupráce kontrolovaného hospodářského subjektu 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F41F" w14:textId="77777777" w:rsidR="002D7106" w:rsidRDefault="006E6B03">
            <w:r>
              <w:rPr>
                <w:color w:val="000000"/>
              </w:rPr>
              <w:t>Vynikající: Dobrovolně přijatá opatření – preventivní opatření k zajištění toho, aby se porušení předpisů neopakovalo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311D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BFFEE40" w14:textId="77777777">
        <w:trPr>
          <w:trHeight w:val="795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679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A4F4" w14:textId="77777777" w:rsidR="002D7106" w:rsidRDefault="006E6B03">
            <w:r>
              <w:rPr>
                <w:color w:val="000000"/>
              </w:rPr>
              <w:t>Dobrá: Schopnost posoudit situaci – přijetí nápravných opatření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1F13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78173FEA" w14:textId="77777777">
        <w:trPr>
          <w:trHeight w:val="81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D8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67FC" w14:textId="7596D258" w:rsidR="002D7106" w:rsidRDefault="006E6B03">
            <w:r>
              <w:rPr>
                <w:color w:val="000000"/>
              </w:rPr>
              <w:t>Střední: Kritický přístup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240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0FB3973B" w14:textId="77777777">
        <w:trPr>
          <w:trHeight w:val="9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DB5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384E" w14:textId="77777777" w:rsidR="002D7106" w:rsidRDefault="006E6B03">
            <w:r>
              <w:rPr>
                <w:color w:val="000000"/>
              </w:rPr>
              <w:t>Špatná: Negativní přístup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EB570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5C04ADB9" w14:textId="77777777">
        <w:trPr>
          <w:trHeight w:val="300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6A8D" w14:textId="77777777" w:rsidR="002D7106" w:rsidRDefault="006E6B03">
            <w:r>
              <w:rPr>
                <w:color w:val="000000"/>
              </w:rPr>
              <w:t>Obchodní hodnota nevyhovujících výrobků (množství X, jednotková cena) na základě dokladů o výrobě, dovozu, manipulaci a uvádění na trh v eurech</w:t>
            </w: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A54D" w14:textId="77777777" w:rsidR="002D7106" w:rsidRDefault="006E6B03">
            <w:r>
              <w:rPr>
                <w:color w:val="000000"/>
              </w:rPr>
              <w:t>Velmi malá: Obchodní hodnota &lt; 1 000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3B09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18D0F229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69F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25DA7" w14:textId="77777777" w:rsidR="002D7106" w:rsidRDefault="006E6B03">
            <w:r>
              <w:rPr>
                <w:color w:val="000000"/>
              </w:rPr>
              <w:t xml:space="preserve">Malá: 1 000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Obchodní hodnota &lt; 50 000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FA95C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4BD6D48B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CA2A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7ABD" w14:textId="454B5455" w:rsidR="002D7106" w:rsidRDefault="006E6B03">
            <w:r>
              <w:rPr>
                <w:color w:val="000000"/>
              </w:rPr>
              <w:t xml:space="preserve">Střední: 50 000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Obchodní hodnota &lt; 100 000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511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51B7B033" w14:textId="77777777">
        <w:trPr>
          <w:trHeight w:val="3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B5A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D939" w14:textId="77777777" w:rsidR="002D7106" w:rsidRDefault="006E6B03">
            <w:r>
              <w:rPr>
                <w:color w:val="000000"/>
              </w:rPr>
              <w:t xml:space="preserve">Vysoká obchodní hodnota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100 000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4396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792D1113" w14:textId="77777777">
        <w:trPr>
          <w:trHeight w:val="525"/>
        </w:trPr>
        <w:tc>
          <w:tcPr>
            <w:tcW w:w="35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526" w14:textId="77777777" w:rsidR="002D7106" w:rsidRDefault="006E6B03">
            <w:r>
              <w:rPr>
                <w:color w:val="000000"/>
              </w:rPr>
              <w:t>Historie nesouladu, na základě výsledků předchozích kontrol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B682" w14:textId="77777777" w:rsidR="002D7106" w:rsidRDefault="006E6B03">
            <w:r>
              <w:rPr>
                <w:color w:val="000000"/>
              </w:rPr>
              <w:t>Ne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D5970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486FFA2" w14:textId="77777777">
        <w:trPr>
          <w:trHeight w:val="615"/>
        </w:trPr>
        <w:tc>
          <w:tcPr>
            <w:tcW w:w="35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FB9D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59DA9" w14:textId="77777777" w:rsidR="002D7106" w:rsidRDefault="006E6B03">
            <w:r>
              <w:rPr>
                <w:color w:val="000000"/>
              </w:rPr>
              <w:t>Ano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3E41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69EE318A" w14:textId="77777777">
        <w:trPr>
          <w:trHeight w:val="300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9B04A" w14:textId="77777777" w:rsidR="002D7106" w:rsidRDefault="006E6B03">
            <w:r>
              <w:rPr>
                <w:color w:val="000000"/>
              </w:rPr>
              <w:t>Historie mimořádných událostí a stížností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CB078" w14:textId="77777777" w:rsidR="002D7106" w:rsidRDefault="006E6B03">
            <w:r>
              <w:rPr>
                <w:color w:val="000000"/>
              </w:rPr>
              <w:t>Ne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ABE2A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70C7C6B6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64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46B1B" w14:textId="77777777" w:rsidR="002D7106" w:rsidRDefault="006E6B03">
            <w:r>
              <w:rPr>
                <w:color w:val="000000"/>
              </w:rPr>
              <w:t>Ano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8C9A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9C3D68E" w14:textId="77777777">
        <w:trPr>
          <w:trHeight w:val="600"/>
        </w:trPr>
        <w:tc>
          <w:tcPr>
            <w:tcW w:w="3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1AFF" w14:textId="77777777" w:rsidR="002D7106" w:rsidRDefault="006E6B03">
            <w:r>
              <w:rPr>
                <w:color w:val="000000"/>
              </w:rPr>
              <w:t>Velikost hospodářského subjektu v závislosti na počtu zaměstnanců (roční pracovní jednotka (annual work unit – AWU)) a/nebo na ročním obratu (v milionech EUR)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B6B40" w14:textId="77777777" w:rsidR="002D7106" w:rsidRDefault="006E6B03">
            <w:r>
              <w:rPr>
                <w:color w:val="000000"/>
              </w:rPr>
              <w:t xml:space="preserve">Velmi malý AWU &lt; 10 zaměstnanců a/nebo obrat za předchozí rok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E3C15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00073648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F92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1DE9" w14:textId="71E66ABF" w:rsidR="002D7106" w:rsidRDefault="006E6B03">
            <w:r>
              <w:rPr>
                <w:color w:val="000000"/>
              </w:rPr>
              <w:t xml:space="preserve">Malý 10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AWU &lt; 50 zaměstnanců a/nebo 2 &lt; obrat za předchozí rok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10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52F5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0252FD70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214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7DD4" w14:textId="2165B8C8" w:rsidR="002D7106" w:rsidRDefault="006E6B03">
            <w:r>
              <w:rPr>
                <w:color w:val="000000"/>
              </w:rPr>
              <w:t xml:space="preserve">Střední 50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AWU &lt; 250 zaměstnanců a/nebo 10 &lt; obrat za předchozí rok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EC81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F792232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CBB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20DF" w14:textId="77777777" w:rsidR="002D7106" w:rsidRDefault="006E6B03">
            <w:r>
              <w:rPr>
                <w:color w:val="000000"/>
              </w:rPr>
              <w:t xml:space="preserve">Velký AWU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250 zaměstnanců a/nebo obrat za předchozí rok &gt; 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DACF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4A6D4F41" w14:textId="77777777">
        <w:trPr>
          <w:trHeight w:val="300"/>
        </w:trPr>
        <w:tc>
          <w:tcPr>
            <w:tcW w:w="3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C0B1" w14:textId="77777777" w:rsidR="002D7106" w:rsidRDefault="006E6B03">
            <w:r>
              <w:rPr>
                <w:b/>
                <w:i/>
                <w:color w:val="000000"/>
              </w:rPr>
              <w:t>Celkový počet bodů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A08C3" w14:textId="77777777" w:rsidR="002D7106" w:rsidRDefault="006E6B03">
            <w:r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FF1A" w14:textId="77777777" w:rsidR="002D7106" w:rsidRDefault="006E6B03">
            <w:r>
              <w:rPr>
                <w:color w:val="000000"/>
              </w:rPr>
              <w:t> </w:t>
            </w:r>
          </w:p>
        </w:tc>
      </w:tr>
    </w:tbl>
    <w:p w14:paraId="5E863D0A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5EE08CF6" w14:textId="77777777" w:rsidR="002D7106" w:rsidRDefault="006E6B03">
      <w:pPr>
        <w:tabs>
          <w:tab w:val="left" w:pos="426"/>
        </w:tabs>
        <w:contextualSpacing/>
        <w:jc w:val="both"/>
      </w:pPr>
      <w:r>
        <w:rPr>
          <w:color w:val="000000"/>
        </w:rPr>
        <w:lastRenderedPageBreak/>
        <w:t>a určení koeficientu pro uložení pokuty (KUP) v závislosti na celkovém počtu bodů za provozní faktory podle následující tabulky:</w:t>
      </w:r>
    </w:p>
    <w:p w14:paraId="678C9B85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80"/>
        <w:gridCol w:w="2286"/>
        <w:gridCol w:w="2630"/>
      </w:tblGrid>
      <w:tr w:rsidR="002D7106" w14:paraId="123031EE" w14:textId="77777777">
        <w:trPr>
          <w:trHeight w:val="60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373B93" w14:textId="77777777" w:rsidR="002D7106" w:rsidRDefault="006E6B03">
            <w:r>
              <w:rPr>
                <w:b/>
                <w:color w:val="000000"/>
              </w:rPr>
              <w:t>Celkový počet bodů za hodnocení kritérií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F52C5A" w14:textId="77777777" w:rsidR="002D7106" w:rsidRDefault="006E6B03">
            <w:r>
              <w:rPr>
                <w:b/>
                <w:color w:val="000000"/>
              </w:rPr>
              <w:t>Míra uložení pokuty</w:t>
            </w:r>
          </w:p>
        </w:tc>
        <w:tc>
          <w:tcPr>
            <w:tcW w:w="2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34A24" w14:textId="77777777" w:rsidR="002D7106" w:rsidRDefault="006E6B03">
            <w:r>
              <w:rPr>
                <w:b/>
                <w:color w:val="000000"/>
              </w:rPr>
              <w:t>Koeficient pro uložení pokuty</w:t>
            </w:r>
          </w:p>
        </w:tc>
      </w:tr>
      <w:tr w:rsidR="002D7106" w14:paraId="58F554B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2BD6" w14:textId="77777777" w:rsidR="002D7106" w:rsidRDefault="006E6B03">
            <w:r>
              <w:rPr>
                <w:color w:val="000000"/>
              </w:rPr>
              <w:t>60–90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894F" w14:textId="77777777" w:rsidR="002D7106" w:rsidRDefault="006E6B03">
            <w:r>
              <w:rPr>
                <w:color w:val="000000"/>
              </w:rPr>
              <w:t>Vysoká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E6A00" w14:textId="77777777" w:rsidR="002D7106" w:rsidRDefault="006E6B03">
            <w:r>
              <w:rPr>
                <w:color w:val="000000"/>
              </w:rPr>
              <w:t>1</w:t>
            </w:r>
          </w:p>
        </w:tc>
      </w:tr>
      <w:tr w:rsidR="002D7106" w14:paraId="1147DE2C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00510" w14:textId="77777777" w:rsidR="002D7106" w:rsidRDefault="006E6B03">
            <w:r>
              <w:rPr>
                <w:color w:val="000000"/>
              </w:rPr>
              <w:t>30–55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F1812" w14:textId="77777777" w:rsidR="002D7106" w:rsidRDefault="006E6B03">
            <w:r>
              <w:rPr>
                <w:color w:val="000000"/>
              </w:rPr>
              <w:t>Střední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3B89" w14:textId="77777777" w:rsidR="002D7106" w:rsidRDefault="006E6B03">
            <w:r>
              <w:rPr>
                <w:color w:val="000000"/>
              </w:rPr>
              <w:t>0,7</w:t>
            </w:r>
          </w:p>
        </w:tc>
      </w:tr>
      <w:tr w:rsidR="002D7106" w14:paraId="521CA7D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0AF0" w14:textId="77777777" w:rsidR="002D7106" w:rsidRDefault="006E6B03">
            <w:r>
              <w:rPr>
                <w:color w:val="000000"/>
              </w:rPr>
              <w:t>0–25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76192" w14:textId="77777777" w:rsidR="002D7106" w:rsidRDefault="006E6B03">
            <w:r>
              <w:rPr>
                <w:color w:val="000000"/>
              </w:rPr>
              <w:t>Nízká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E359" w14:textId="77777777" w:rsidR="002D7106" w:rsidRDefault="006E6B03">
            <w:r>
              <w:rPr>
                <w:color w:val="000000"/>
              </w:rPr>
              <w:t>0,4</w:t>
            </w:r>
          </w:p>
        </w:tc>
      </w:tr>
    </w:tbl>
    <w:p w14:paraId="305FF37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C0D036F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Výše pokuty (F) se stanoví vynásobením maximální základní výše, koeficientu pro stanovení pokuty a koeficientu pro uložení pokuty:</w:t>
      </w:r>
    </w:p>
    <w:p w14:paraId="4A49B149" w14:textId="77777777" w:rsidR="002D7106" w:rsidRPr="00424FBE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F = (MZV) × (KSP) × (KUP)</w:t>
      </w:r>
    </w:p>
    <w:p w14:paraId="0823100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V případě opakování téhož porušení předpisů ze strany téže společnosti nebo neprovedení nápravných opatření zjištěné při inspekci/kontrole se pachatelé trestají pokutou ve výši dvojnásobku původní pokuty.</w:t>
      </w:r>
    </w:p>
    <w:p w14:paraId="442A42C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t>Pokuty za porušení předpisů kategorie A a B ukládá vedoucí oddělení pro chemické látky VSCHL, v jehož územní působnosti byly provedeny odběr vzorků a/nebo inspekce/kontrola</w:t>
      </w:r>
      <w:r>
        <w:rPr>
          <w:color w:val="0070C0"/>
        </w:rPr>
        <w:t xml:space="preserve">. </w:t>
      </w:r>
      <w:r>
        <w:rPr>
          <w:color w:val="000000"/>
        </w:rPr>
        <w:t>Pokuty za porušení předpisů kategorie C ukládá ředitelství pro energetické, průmyslové a chemické výrobky</w:t>
      </w:r>
      <w:bookmarkStart w:id="2" w:name="_Hlk121478472"/>
      <w:r>
        <w:t xml:space="preserve"> VSCHL</w:t>
      </w:r>
      <w:bookmarkEnd w:id="2"/>
      <w:r>
        <w:t>.</w:t>
      </w:r>
    </w:p>
    <w:p w14:paraId="245046D3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6B9DC87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134DF2A6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0628859" w14:textId="77777777" w:rsidR="002D7106" w:rsidRDefault="006E6B03">
      <w:pPr>
        <w:spacing w:line="276" w:lineRule="auto"/>
        <w:jc w:val="center"/>
      </w:pPr>
      <w:r>
        <w:rPr>
          <w:color w:val="000000"/>
        </w:rPr>
        <w:t>Článek 4</w:t>
      </w:r>
    </w:p>
    <w:p w14:paraId="4F158118" w14:textId="77777777" w:rsidR="002D7106" w:rsidRDefault="006E6B03">
      <w:pPr>
        <w:spacing w:line="276" w:lineRule="auto"/>
        <w:jc w:val="center"/>
      </w:pPr>
      <w:r>
        <w:rPr>
          <w:color w:val="000000"/>
        </w:rPr>
        <w:t>Další omezující správní opatření</w:t>
      </w:r>
    </w:p>
    <w:p w14:paraId="0706497E" w14:textId="77777777" w:rsidR="002D7106" w:rsidRDefault="002D7106">
      <w:pPr>
        <w:tabs>
          <w:tab w:val="left" w:pos="426"/>
        </w:tabs>
        <w:spacing w:line="276" w:lineRule="auto"/>
        <w:contextualSpacing/>
        <w:jc w:val="both"/>
        <w:rPr>
          <w:rFonts w:cs="MyriadPro-Regular"/>
          <w:color w:val="000000"/>
        </w:rPr>
      </w:pPr>
    </w:p>
    <w:p w14:paraId="173E1D19" w14:textId="77777777" w:rsidR="002D7106" w:rsidRDefault="006E6B03">
      <w:pPr>
        <w:spacing w:line="276" w:lineRule="auto"/>
        <w:jc w:val="both"/>
      </w:pPr>
      <w:r>
        <w:rPr>
          <w:color w:val="000000"/>
        </w:rPr>
        <w:t>V případě porušení článků 5, 6, 7, 8, 9, 12, 17, 18, 40, 41, 46, 56 a 67 se uloží dodatečný zákaz uvádění</w:t>
      </w:r>
      <w:r>
        <w:t xml:space="preserve"> na trh a stažení z trhu, </w:t>
      </w:r>
      <w:r>
        <w:rPr>
          <w:color w:val="000000"/>
        </w:rPr>
        <w:t>s výjimkou zvláštních případů souvisejících s požadavky na označování, přičemž v takovém případě se uloží konfiskace a stažení z trhu.</w:t>
      </w:r>
    </w:p>
    <w:p w14:paraId="44EF1602" w14:textId="77777777" w:rsidR="002D7106" w:rsidRDefault="006E6B03">
      <w:pPr>
        <w:spacing w:line="276" w:lineRule="auto"/>
        <w:jc w:val="both"/>
      </w:pPr>
      <w:r>
        <w:rPr>
          <w:color w:val="000000"/>
        </w:rPr>
        <w:t>Pokud jde o výše uvedená opatření, příslušné rozhodnutí vydává Ředitelství pro energetické, průmyslové a chemické výrobky VSCHL.</w:t>
      </w:r>
    </w:p>
    <w:p w14:paraId="232C20F9" w14:textId="77777777" w:rsidR="002D7106" w:rsidRDefault="002D7106">
      <w:pPr>
        <w:spacing w:line="276" w:lineRule="auto"/>
        <w:jc w:val="center"/>
        <w:rPr>
          <w:rFonts w:cs="MyriadPro-Regular"/>
          <w:color w:val="000000"/>
        </w:rPr>
      </w:pPr>
    </w:p>
    <w:p w14:paraId="6EF9A68D" w14:textId="77777777" w:rsidR="002D7106" w:rsidRDefault="006E6B03">
      <w:pPr>
        <w:spacing w:line="276" w:lineRule="auto"/>
        <w:jc w:val="center"/>
      </w:pPr>
      <w:r>
        <w:rPr>
          <w:color w:val="000000"/>
        </w:rPr>
        <w:t>Článek 5</w:t>
      </w:r>
    </w:p>
    <w:p w14:paraId="7A7774F7" w14:textId="77777777" w:rsidR="002D7106" w:rsidRDefault="006E6B03">
      <w:pPr>
        <w:spacing w:line="276" w:lineRule="auto"/>
        <w:jc w:val="center"/>
      </w:pPr>
      <w:r>
        <w:rPr>
          <w:color w:val="000000"/>
        </w:rPr>
        <w:t>Zrušená ustanovení</w:t>
      </w:r>
    </w:p>
    <w:p w14:paraId="53CF30C6" w14:textId="26BD790A" w:rsidR="002D7106" w:rsidRDefault="006E6B03">
      <w:pPr>
        <w:spacing w:line="276" w:lineRule="auto"/>
        <w:jc w:val="both"/>
      </w:pPr>
      <w:r>
        <w:rPr>
          <w:color w:val="000000"/>
        </w:rPr>
        <w:t>Ode dne vyhlášení tohoto rozhodnutí se zrušují rozhodnutí č. 450/2008 (Β΄ 2553) a č. 82/2009 (Β΄ 581).</w:t>
      </w:r>
    </w:p>
    <w:p w14:paraId="4E8EFE4F" w14:textId="77777777" w:rsidR="002D7106" w:rsidRDefault="002D7106">
      <w:pPr>
        <w:spacing w:line="276" w:lineRule="auto"/>
        <w:jc w:val="both"/>
        <w:rPr>
          <w:rFonts w:cs="Calibri"/>
          <w:color w:val="000000"/>
        </w:rPr>
      </w:pPr>
    </w:p>
    <w:p w14:paraId="5EBF097E" w14:textId="77777777" w:rsidR="002D7106" w:rsidRDefault="006E6B03">
      <w:pPr>
        <w:spacing w:line="276" w:lineRule="auto"/>
        <w:jc w:val="center"/>
      </w:pPr>
      <w:r>
        <w:rPr>
          <w:color w:val="000000"/>
        </w:rPr>
        <w:t>Článek 6</w:t>
      </w:r>
    </w:p>
    <w:p w14:paraId="61DC1D15" w14:textId="77777777" w:rsidR="002D7106" w:rsidRDefault="006E6B03">
      <w:pPr>
        <w:spacing w:line="276" w:lineRule="auto"/>
        <w:jc w:val="center"/>
      </w:pPr>
      <w:r>
        <w:rPr>
          <w:color w:val="000000"/>
        </w:rPr>
        <w:t>Nabytí účinnosti</w:t>
      </w:r>
    </w:p>
    <w:p w14:paraId="5454A790" w14:textId="77777777" w:rsidR="002D7106" w:rsidRDefault="002D7106">
      <w:pPr>
        <w:spacing w:line="276" w:lineRule="auto"/>
        <w:jc w:val="center"/>
        <w:rPr>
          <w:rFonts w:cs="Calibri"/>
          <w:color w:val="000000"/>
        </w:rPr>
      </w:pPr>
    </w:p>
    <w:p w14:paraId="4EAD1F98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 xml:space="preserve"> Toto rozhodnutí nabývá účinnosti dnem jeho vyhlášení ve Vládním věstníku a vztahuje se rovněž na probíhající případy, tj. případy, u nichž příslušná odpovědná osoba dosud nebyla informována o příslušném platebním výměru, pokud nové ustanovení v konkrétním případě vede k příznivějšímu zacházení. </w:t>
      </w:r>
    </w:p>
    <w:p w14:paraId="62A1F3B7" w14:textId="77777777" w:rsidR="002D7106" w:rsidRDefault="002D7106">
      <w:pPr>
        <w:spacing w:line="276" w:lineRule="auto"/>
        <w:jc w:val="both"/>
        <w:rPr>
          <w:rFonts w:cs="EUAlbertina-Regu"/>
          <w:color w:val="000000"/>
        </w:rPr>
      </w:pPr>
    </w:p>
    <w:p w14:paraId="7A0FAA17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Toto rozhodnutí bude vyhlášeno ve Vládním věstníku.</w:t>
      </w:r>
    </w:p>
    <w:p w14:paraId="45FD22CD" w14:textId="77777777" w:rsidR="002D7106" w:rsidRDefault="002D7106">
      <w:pPr>
        <w:rPr>
          <w:rFonts w:cs="EUAlbertina-Regu"/>
          <w:color w:val="000000"/>
        </w:rPr>
      </w:pPr>
    </w:p>
    <w:p w14:paraId="1B2CE26C" w14:textId="77777777" w:rsidR="006E6B03" w:rsidRDefault="006E6B03">
      <w:pPr>
        <w:tabs>
          <w:tab w:val="left" w:pos="426"/>
        </w:tabs>
        <w:contextualSpacing/>
        <w:jc w:val="both"/>
      </w:pPr>
    </w:p>
    <w:sectPr w:rsidR="006E6B03">
      <w:pgSz w:w="11906" w:h="16838"/>
      <w:pgMar w:top="1134" w:right="1800" w:bottom="1702" w:left="180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charset w:val="A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charset w:val="A1"/>
    <w:family w:val="auto"/>
    <w:pitch w:val="variable"/>
  </w:font>
  <w:font w:name="EUAlbertina-Regu">
    <w:charset w:val="A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962920">
    <w:abstractNumId w:val="0"/>
  </w:num>
  <w:num w:numId="2" w16cid:durableId="408816960">
    <w:abstractNumId w:val="1"/>
  </w:num>
  <w:num w:numId="3" w16cid:durableId="263684058">
    <w:abstractNumId w:val="2"/>
  </w:num>
  <w:num w:numId="4" w16cid:durableId="355160664">
    <w:abstractNumId w:val="3"/>
  </w:num>
  <w:num w:numId="5" w16cid:durableId="1074621388">
    <w:abstractNumId w:val="4"/>
  </w:num>
  <w:num w:numId="6" w16cid:durableId="894244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3"/>
    <w:rsid w:val="00140528"/>
    <w:rsid w:val="002D7106"/>
    <w:rsid w:val="00301A8E"/>
    <w:rsid w:val="0035586E"/>
    <w:rsid w:val="00424FBE"/>
    <w:rsid w:val="006E6B03"/>
    <w:rsid w:val="007145A4"/>
    <w:rsid w:val="007940D5"/>
    <w:rsid w:val="00907705"/>
    <w:rsid w:val="009730FC"/>
    <w:rsid w:val="00B501F3"/>
    <w:rsid w:val="00CD7716"/>
    <w:rsid w:val="00E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265F4E"/>
  <w15:chartTrackingRefBased/>
  <w15:docId w15:val="{53B6153D-9180-4136-972E-446F9B88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pergi@aa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ima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2442</Words>
  <Characters>13923</Characters>
  <Application>Microsoft Office Word</Application>
  <DocSecurity>0</DocSecurity>
  <Lines>116</Lines>
  <Paragraphs>32</Paragraphs>
  <ScaleCrop>false</ScaleCrop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Sotiriou</dc:creator>
  <cp:keywords/>
  <cp:lastModifiedBy>Liana Brili</cp:lastModifiedBy>
  <cp:revision>14</cp:revision>
  <cp:lastPrinted>1995-11-21T15:41:00Z</cp:lastPrinted>
  <dcterms:created xsi:type="dcterms:W3CDTF">2023-03-22T05:46:00Z</dcterms:created>
  <dcterms:modified xsi:type="dcterms:W3CDTF">2023-04-05T11:00:00Z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