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3"/>
        <w:gridCol w:w="4935"/>
      </w:tblGrid>
      <w:tr w:rsidR="002D7106" w14:paraId="3F99993F" w14:textId="77777777" w:rsidTr="00301A8E">
        <w:tc>
          <w:tcPr>
            <w:tcW w:w="9908" w:type="dxa"/>
            <w:gridSpan w:val="2"/>
            <w:shd w:val="clear" w:color="auto" w:fill="auto"/>
          </w:tcPr>
          <w:p w14:paraId="2194080D" w14:textId="04E9B5EB" w:rsidR="002D7106" w:rsidRDefault="006E6B0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F71BCF" wp14:editId="563330F3">
                  <wp:extent cx="428625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5ABB8" w14:textId="06F6EBCF" w:rsidR="002D7106" w:rsidRDefault="007145A4">
            <w:pPr>
              <w:spacing w:line="340" w:lineRule="exac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1277C" wp14:editId="2E5D50BE">
                      <wp:simplePos x="0" y="0"/>
                      <wp:positionH relativeFrom="column">
                        <wp:posOffset>497434</wp:posOffset>
                      </wp:positionH>
                      <wp:positionV relativeFrom="paragraph">
                        <wp:posOffset>226543</wp:posOffset>
                      </wp:positionV>
                      <wp:extent cx="1473225" cy="55816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25" cy="558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0C0CC" w14:textId="5653554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1B5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1B58"/>
                                      <w:sz w:val="24"/>
                                    </w:rPr>
                                    <w:t>IAPR</w:t>
                                  </w:r>
                                </w:p>
                                <w:p w14:paraId="45127187" w14:textId="73FC6D8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color w:val="001B5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t>Niezależny Urząd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br/>
                                    <w:t>Podatkowy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C12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9.15pt;margin-top:17.85pt;width:116pt;height: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" fillcolor="white [3201]" stroked="f" strokeweight=".5pt">
                      <v:textbox inset="0,0,0,0">
                        <w:txbxContent>
                          <w:p w14:paraId="0230C0CC" w14:textId="5653554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1B5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B58"/>
                                <w:sz w:val="24"/>
                              </w:rPr>
                              <w:t>IAPR</w:t>
                            </w:r>
                          </w:p>
                          <w:p w14:paraId="45127187" w14:textId="73FC6D8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color w:val="001B5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t>Niezależny Urząd</w:t>
                            </w: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br/>
                              <w:t>Podatkowy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REPUBLIKA GRECKA</w:t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9F28E1E" wp14:editId="2C6C9E0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227965</wp:posOffset>
                  </wp:positionV>
                  <wp:extent cx="2007235" cy="5581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7106" w14:paraId="38FB1E5C" w14:textId="77777777" w:rsidTr="00301A8E">
        <w:tc>
          <w:tcPr>
            <w:tcW w:w="9908" w:type="dxa"/>
            <w:gridSpan w:val="2"/>
            <w:shd w:val="clear" w:color="auto" w:fill="auto"/>
          </w:tcPr>
          <w:p w14:paraId="0298D2D8" w14:textId="77777777" w:rsidR="002D7106" w:rsidRDefault="006E6B03">
            <w:pPr>
              <w:spacing w:line="340" w:lineRule="exact"/>
            </w:pPr>
            <w:r>
              <w:rPr>
                <w:b/>
              </w:rPr>
              <w:t>DYREKCJA GENERALNA GENERALNEGO PAŃSTWOWEGO LABORATORIUM CHEMICZNEGO (GPLC)</w:t>
            </w:r>
          </w:p>
          <w:p w14:paraId="3BDD4A7D" w14:textId="77777777" w:rsidR="002D7106" w:rsidRDefault="006E6B03">
            <w:pPr>
              <w:spacing w:line="340" w:lineRule="exact"/>
            </w:pPr>
            <w:r>
              <w:rPr>
                <w:b/>
              </w:rPr>
              <w:t>Dyrekcja ds. Energii, Produktów Przemysłowych i Chemicznych</w:t>
            </w:r>
          </w:p>
          <w:p w14:paraId="337F62B9" w14:textId="3C80CF64" w:rsidR="002D7106" w:rsidRDefault="00CD7716">
            <w:pPr>
              <w:spacing w:line="340" w:lineRule="exact"/>
            </w:pPr>
            <w:r>
              <w:rPr>
                <w:b/>
              </w:rPr>
              <w:t>Sekcja B — Produkty chemiczne</w:t>
            </w:r>
          </w:p>
        </w:tc>
      </w:tr>
      <w:tr w:rsidR="002D7106" w14:paraId="68DF052B" w14:textId="77777777" w:rsidTr="00301A8E">
        <w:tc>
          <w:tcPr>
            <w:tcW w:w="4973" w:type="dxa"/>
            <w:shd w:val="clear" w:color="auto" w:fill="auto"/>
          </w:tcPr>
          <w:p w14:paraId="14C89062" w14:textId="77777777" w:rsidR="002D7106" w:rsidRDefault="002D7106">
            <w:pPr>
              <w:rPr>
                <w:b/>
              </w:rPr>
            </w:pPr>
          </w:p>
        </w:tc>
        <w:tc>
          <w:tcPr>
            <w:tcW w:w="4935" w:type="dxa"/>
            <w:shd w:val="clear" w:color="auto" w:fill="auto"/>
          </w:tcPr>
          <w:p w14:paraId="6D57B4B9" w14:textId="69FE398D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Ateny, 19 grudnia 2022 r.</w:t>
            </w:r>
          </w:p>
          <w:p w14:paraId="58BD1517" w14:textId="07B5F17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Protokół nr 30/004/000/1693 </w:t>
            </w:r>
          </w:p>
        </w:tc>
      </w:tr>
      <w:tr w:rsidR="002D7106" w14:paraId="03712E77" w14:textId="77777777" w:rsidTr="00301A8E">
        <w:tc>
          <w:tcPr>
            <w:tcW w:w="4973" w:type="dxa"/>
            <w:shd w:val="clear" w:color="auto" w:fill="auto"/>
          </w:tcPr>
          <w:p w14:paraId="4ED63F73" w14:textId="492DB4FC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Adres: 16, An. Tsocha str., 115 21 Ateny</w:t>
            </w:r>
          </w:p>
        </w:tc>
        <w:tc>
          <w:tcPr>
            <w:tcW w:w="4935" w:type="dxa"/>
            <w:shd w:val="clear" w:color="auto" w:fill="auto"/>
          </w:tcPr>
          <w:p w14:paraId="0C4D1026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</w:tr>
      <w:tr w:rsidR="002D7106" w14:paraId="773B038D" w14:textId="77777777" w:rsidTr="00301A8E">
        <w:tc>
          <w:tcPr>
            <w:tcW w:w="4973" w:type="dxa"/>
            <w:shd w:val="clear" w:color="auto" w:fill="auto"/>
          </w:tcPr>
          <w:p w14:paraId="28104899" w14:textId="34A0F3E3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Informacje: Elli – Maria Apergi</w:t>
            </w:r>
          </w:p>
        </w:tc>
        <w:tc>
          <w:tcPr>
            <w:tcW w:w="4935" w:type="dxa"/>
            <w:shd w:val="clear" w:color="auto" w:fill="auto"/>
          </w:tcPr>
          <w:p w14:paraId="13BDE65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Do</w:t>
            </w:r>
          </w:p>
        </w:tc>
      </w:tr>
      <w:tr w:rsidR="002D7106" w14:paraId="4B336E39" w14:textId="77777777" w:rsidTr="00301A8E">
        <w:tc>
          <w:tcPr>
            <w:tcW w:w="4973" w:type="dxa"/>
            <w:shd w:val="clear" w:color="auto" w:fill="auto"/>
          </w:tcPr>
          <w:p w14:paraId="2E0437E7" w14:textId="640105A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Tel.: 210 6479406</w:t>
            </w:r>
          </w:p>
        </w:tc>
        <w:tc>
          <w:tcPr>
            <w:tcW w:w="4935" w:type="dxa"/>
            <w:shd w:val="clear" w:color="auto" w:fill="auto"/>
          </w:tcPr>
          <w:p w14:paraId="72E1602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Najwyższa Rada Chemiczna</w:t>
            </w:r>
          </w:p>
        </w:tc>
      </w:tr>
      <w:tr w:rsidR="002D7106" w:rsidRPr="00424FBE" w14:paraId="798B3D59" w14:textId="77777777" w:rsidTr="00301A8E">
        <w:tc>
          <w:tcPr>
            <w:tcW w:w="4973" w:type="dxa"/>
            <w:shd w:val="clear" w:color="auto" w:fill="auto"/>
          </w:tcPr>
          <w:p w14:paraId="0F184C76" w14:textId="77777777" w:rsidR="002D7106" w:rsidRPr="00424FBE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e-mail: </w:t>
            </w:r>
            <w:hyperlink r:id="rId7" w:history="1">
              <w:r>
                <w:rPr>
                  <w:b/>
                </w:rPr>
                <w:t>e.dima@aade.gr</w:t>
              </w:r>
            </w:hyperlink>
            <w:r>
              <w:rPr>
                <w:b/>
              </w:rPr>
              <w:t xml:space="preserve">, </w:t>
            </w:r>
            <w:hyperlink r:id="rId8" w:history="1">
              <w:r>
                <w:rPr>
                  <w:b/>
                </w:rPr>
                <w:t>e.apergi@aade.gr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shd w:val="clear" w:color="auto" w:fill="auto"/>
          </w:tcPr>
          <w:p w14:paraId="323A16D8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</w:tr>
      <w:tr w:rsidR="002D7106" w14:paraId="25757648" w14:textId="77777777" w:rsidTr="00301A8E">
        <w:tc>
          <w:tcPr>
            <w:tcW w:w="4973" w:type="dxa"/>
            <w:shd w:val="clear" w:color="auto" w:fill="auto"/>
          </w:tcPr>
          <w:p w14:paraId="6DBD7A36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4935" w:type="dxa"/>
            <w:shd w:val="clear" w:color="auto" w:fill="auto"/>
          </w:tcPr>
          <w:p w14:paraId="190665A0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Rozdzielnik wewnętrzny:</w:t>
            </w:r>
          </w:p>
        </w:tc>
      </w:tr>
      <w:tr w:rsidR="002D7106" w14:paraId="068164B0" w14:textId="77777777" w:rsidTr="00301A8E">
        <w:tc>
          <w:tcPr>
            <w:tcW w:w="4973" w:type="dxa"/>
            <w:shd w:val="clear" w:color="auto" w:fill="auto"/>
          </w:tcPr>
          <w:p w14:paraId="264762C1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shd w:val="clear" w:color="auto" w:fill="auto"/>
          </w:tcPr>
          <w:p w14:paraId="1BA43B3D" w14:textId="46244341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1. Biuro Szefa Dyrekcji Generalnej GPLC</w:t>
            </w:r>
          </w:p>
        </w:tc>
      </w:tr>
      <w:tr w:rsidR="00301A8E" w14:paraId="7CC59617" w14:textId="77777777" w:rsidTr="00301A8E">
        <w:tc>
          <w:tcPr>
            <w:tcW w:w="4973" w:type="dxa"/>
            <w:shd w:val="clear" w:color="auto" w:fill="auto"/>
          </w:tcPr>
          <w:p w14:paraId="2D005907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 w:val="restart"/>
            <w:shd w:val="clear" w:color="auto" w:fill="auto"/>
          </w:tcPr>
          <w:p w14:paraId="01643804" w14:textId="766E70E2" w:rsidR="00301A8E" w:rsidRDefault="00301A8E" w:rsidP="00301A8E">
            <w:pPr>
              <w:spacing w:line="340" w:lineRule="exact"/>
              <w:ind w:right="555"/>
            </w:pPr>
            <w:r>
              <w:rPr>
                <w:b/>
                <w:u w:val="single"/>
              </w:rPr>
              <w:t>2. Dyrekcja ds. Energii, Produktów Przemysłowych i Chemicznych</w:t>
            </w:r>
          </w:p>
        </w:tc>
      </w:tr>
      <w:tr w:rsidR="00301A8E" w14:paraId="3BC2082F" w14:textId="77777777" w:rsidTr="00301A8E">
        <w:tc>
          <w:tcPr>
            <w:tcW w:w="4973" w:type="dxa"/>
            <w:shd w:val="clear" w:color="auto" w:fill="auto"/>
          </w:tcPr>
          <w:p w14:paraId="431BE9BE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/>
            <w:shd w:val="clear" w:color="auto" w:fill="auto"/>
          </w:tcPr>
          <w:p w14:paraId="20E2E6EE" w14:textId="3EEBDCE3" w:rsidR="00301A8E" w:rsidRDefault="00301A8E">
            <w:pPr>
              <w:spacing w:line="340" w:lineRule="exact"/>
              <w:jc w:val="both"/>
            </w:pPr>
          </w:p>
        </w:tc>
      </w:tr>
    </w:tbl>
    <w:p w14:paraId="1DC0D71B" w14:textId="77777777" w:rsidR="002D7106" w:rsidRDefault="002D7106">
      <w:pPr>
        <w:spacing w:line="340" w:lineRule="exact"/>
        <w:jc w:val="both"/>
        <w:rPr>
          <w:b/>
        </w:rPr>
      </w:pPr>
    </w:p>
    <w:p w14:paraId="0A08ED18" w14:textId="4AEE2B02" w:rsidR="002D7106" w:rsidRDefault="006E6B03">
      <w:pPr>
        <w:spacing w:line="340" w:lineRule="exact"/>
        <w:jc w:val="both"/>
      </w:pPr>
      <w:r>
        <w:rPr>
          <w:b/>
        </w:rPr>
        <w:t>Temat</w:t>
      </w:r>
      <w:r>
        <w:t xml:space="preserve">: </w:t>
      </w:r>
      <w:r>
        <w:rPr>
          <w:b/>
        </w:rPr>
        <w:t xml:space="preserve">Ustanowienie środków kontroli i sankcji w celu wykonania rozporządzenia (WE) nr 1907/2006 Parlamentu Europejskiego i Rady </w:t>
      </w:r>
      <w:bookmarkStart w:id="0" w:name="_Hlk122350013"/>
      <w:bookmarkEnd w:id="0"/>
    </w:p>
    <w:p w14:paraId="137C73BC" w14:textId="77777777" w:rsidR="002D7106" w:rsidRDefault="002D7106">
      <w:pPr>
        <w:spacing w:before="120" w:after="120" w:line="276" w:lineRule="auto"/>
        <w:jc w:val="both"/>
      </w:pPr>
    </w:p>
    <w:p w14:paraId="2870A7C0" w14:textId="77777777" w:rsidR="002D7106" w:rsidRDefault="006E6B03">
      <w:pPr>
        <w:spacing w:before="120" w:after="120" w:line="276" w:lineRule="auto"/>
        <w:jc w:val="both"/>
      </w:pPr>
      <w:r>
        <w:t>Mając na uwadze, że:</w:t>
      </w:r>
    </w:p>
    <w:p w14:paraId="04E029ED" w14:textId="2351B195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 xml:space="preserve">Rozporządzenie (WE) nr 1907/2006 Parlamentu Europejskiego i Rady (REACH) w sprawie rejestracji, oceny, udzielania zezwoleń i stosowanych ograniczeń w zakresie chemikaliów (REACH) i utworzenia Europejskiej Agencji Chemikaliów zostało przyjęte w celu zapewnienia lepszej ochrony zdrowia ludzkiego i środowiska przed zagrożeniami stwarzanymi przez chemikalia oraz w celu zwiększenia konkurencyjności unijnego przemysłu chemicznego. Promuje ono również alternatywne metody oceny ryzyka związanego z substancjami w celu zmniejszenia liczby badań przeprowadzanych na zwierzętach; </w:t>
      </w:r>
    </w:p>
    <w:p w14:paraId="26B50CEA" w14:textId="1C3C196E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Dyrekcja ds. Energii, Produktów Przemysłowych i Chemicznych została wyznaczona decyzją nr 3013966/2726/2007 Sekretarza Stanu ds. Gospodarki i Finansów jako krajowy organ właściwy do wykonania przepisów wyżej wymienionego rozporządzenia;</w:t>
      </w:r>
    </w:p>
    <w:p w14:paraId="0ABD401B" w14:textId="7BBABE5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Następnie, na podstawie upoważnienia udzielonego na mocy art. 125 i 126 rozporządzenia, decyzją Sekretarza Stanu ds. Gospodarki i Finansów nr 450/2008 (Β΄ 2553) wprowadzono środki kontroli w celu wykonania rozporządzenia, a decyzją Sekretarza Stanu ds. Gospodarki i Finansów nr 82/2009 (Β΄ 581) ustanowiono sankcje;</w:t>
      </w:r>
    </w:p>
    <w:p w14:paraId="19511025" w14:textId="2BB062A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Od przyjęcia powyższych decyzji upłynęło ponad dziesięć lat, w czasie których otoczenie gospodarcze i społeczne uległo zmianie;</w:t>
      </w:r>
    </w:p>
    <w:p w14:paraId="55E52818" w14:textId="77777777" w:rsidR="002D7106" w:rsidRDefault="002D7106">
      <w:pPr>
        <w:spacing w:before="120" w:after="120" w:line="276" w:lineRule="auto"/>
        <w:contextualSpacing/>
        <w:jc w:val="both"/>
      </w:pPr>
    </w:p>
    <w:p w14:paraId="533FF397" w14:textId="31773D5F" w:rsidR="002D7106" w:rsidRDefault="006E6B03">
      <w:pPr>
        <w:spacing w:before="120" w:after="120" w:line="276" w:lineRule="auto"/>
        <w:jc w:val="both"/>
      </w:pPr>
      <w:r>
        <w:rPr>
          <w:b/>
        </w:rPr>
        <w:t>Konieczna jest aktualizacja środków kontroli i sankcji w celu wykonania rozporządzenia (WE) nr 1907/2006 Parlamentu Europejskiego i Rady.</w:t>
      </w:r>
    </w:p>
    <w:p w14:paraId="5770BDA6" w14:textId="77777777" w:rsidR="002D7106" w:rsidRDefault="006E6B03">
      <w:pPr>
        <w:spacing w:before="120" w:after="120" w:line="276" w:lineRule="auto"/>
        <w:jc w:val="both"/>
      </w:pPr>
      <w:r>
        <w:lastRenderedPageBreak/>
        <w:t>Projekt nowej decyzji ujednolica środki kontroli i sankcje służące wykonaniu rozporządzenia w jeden tekst dla wygody wszystkich zainteresowanych stron, wyjaśniając przy tym procedury kontroli i modernizując sankcje administracyjne.</w:t>
      </w:r>
    </w:p>
    <w:p w14:paraId="1B286252" w14:textId="77777777" w:rsidR="002D7106" w:rsidRDefault="006E6B03">
      <w:pPr>
        <w:spacing w:before="120" w:after="120" w:line="276" w:lineRule="auto"/>
        <w:jc w:val="both"/>
      </w:pPr>
      <w:r>
        <w:t>Podstawową różnicą projektu nowej decyzji w stosunku do decyzji uchylanych jest sformułowanie i wyszczególnienie kryteriów nakładania środków i sankcji, a tym samym dążenie do rozszerzenia ich zakresu w odniesieniu do podmiotów gospodarczych dopuszczających się wykroczeń w celu przestrzegania zasady proporcjonalności przy jednoczesnej ochronie zdrowia ludzkiego, środowiska i każdego innego aspektu interesu publicznego.</w:t>
      </w:r>
    </w:p>
    <w:p w14:paraId="7750B588" w14:textId="77777777" w:rsidR="002D7106" w:rsidRDefault="006E6B03">
      <w:pPr>
        <w:spacing w:before="120" w:after="120" w:line="276" w:lineRule="auto"/>
        <w:jc w:val="both"/>
      </w:pPr>
      <w:r>
        <w:t>Projekt zwiększa ponadto przejrzystość decyzji dotyczących zarządzania, ponieważ pozwala uniknąć szerokiego i pozbawionego kryteriów zakresu cen dla każdego naruszenia.</w:t>
      </w:r>
    </w:p>
    <w:p w14:paraId="6E512920" w14:textId="77777777" w:rsidR="002D7106" w:rsidRDefault="006E6B03">
      <w:pPr>
        <w:spacing w:before="120" w:after="120" w:line="276" w:lineRule="auto"/>
        <w:jc w:val="both"/>
      </w:pPr>
      <w:r>
        <w:t xml:space="preserve">Postanowienia </w:t>
      </w:r>
      <w:bookmarkStart w:id="1" w:name="_Hlk122350719"/>
      <w:r>
        <w:t>niniejszego projektu</w:t>
      </w:r>
      <w:bookmarkEnd w:id="1"/>
      <w:r>
        <w:t xml:space="preserve"> nie pociągają za sobą żadnych wydatków dla budżetu państwa.</w:t>
      </w:r>
    </w:p>
    <w:p w14:paraId="3AA3A13E" w14:textId="77777777" w:rsidR="002D7106" w:rsidRDefault="006E6B03">
      <w:pPr>
        <w:spacing w:before="120" w:after="120" w:line="276" w:lineRule="auto"/>
        <w:jc w:val="both"/>
      </w:pPr>
      <w:r>
        <w:t>Przepisy tego projektu zostały opracowane po konsultacji z departamentami chemicznymi odpowiedzialnymi za stosowanie i egzekwowanie sankcji.</w:t>
      </w:r>
    </w:p>
    <w:p w14:paraId="326DA1AA" w14:textId="7608711C" w:rsidR="002D7106" w:rsidRDefault="006E6B03">
      <w:pPr>
        <w:spacing w:before="120" w:after="120" w:line="276" w:lineRule="auto"/>
        <w:jc w:val="both"/>
      </w:pPr>
      <w:r>
        <w:rPr>
          <w:b/>
        </w:rPr>
        <w:t>W związku z powyższym przedkładamy następujący PROJEKT do zatwierdzenia przez Najwyższą Radę Chemiczną (SCC) i pozostajemy do Państwa dyspozycji w sprawie wszelkich wyjaśnień lub informacji.</w:t>
      </w:r>
    </w:p>
    <w:p w14:paraId="32DFBDF1" w14:textId="65E376EF" w:rsidR="002D7106" w:rsidRDefault="006E6B03">
      <w:pPr>
        <w:spacing w:before="120" w:after="120" w:line="276" w:lineRule="auto"/>
        <w:jc w:val="both"/>
      </w:pPr>
      <w:r>
        <w:t>Dyrekcja ds. Energii, Produktów Przemysłowych i Chemicznych Generalnego Państwowego Laboratorium Chemicznego (GCSL), wykonując swoje uprawnienia jako krajowy organ właściwy ds. europejskiego rozporządzenia REACH w sprawie chemikaliów, przystępuje do przyjęcia krajowych środków kontroli i sankcji związanych z wykonaniem rozporządzenia (WE) nr 1907/2006 Parlamentu Europejskiego i Rady.</w:t>
      </w:r>
    </w:p>
    <w:p w14:paraId="4C868F75" w14:textId="48D0D5ED" w:rsidR="002D7106" w:rsidRDefault="006E6B03">
      <w:pPr>
        <w:spacing w:before="120" w:after="120" w:line="276" w:lineRule="auto"/>
        <w:jc w:val="both"/>
      </w:pPr>
      <w:r>
        <w:t xml:space="preserve">Zgodnie z dyrektywą Parlamentu Europejskiego i Rady (UE) 2015/1535 z dnia 9 września 2015 r. ustanawiającą procedurę udzielania informacji w dziedzinie przepisów technicznych oraz zasad dotyczących usług społeczeństwa informacyjnego, która została transponowana do prawa krajowego dekretem prezydenckim 81/2018, projekt zostanie przekazany do konsultacji społecznych na okres trzech miesięcy. </w:t>
      </w:r>
    </w:p>
    <w:p w14:paraId="613A4B3A" w14:textId="5F0027E3" w:rsidR="002D7106" w:rsidRDefault="006E6B03">
      <w:pPr>
        <w:spacing w:before="120" w:after="120" w:line="276" w:lineRule="auto"/>
        <w:jc w:val="both"/>
      </w:pPr>
      <w:r>
        <w:t>Po zakończeniu konsultacji społecznych poczynione obserwacje/uwagi zostaną omówione/zatwierdzone przez SCC w celu opracowania ostatecznej decyzji ministerialnej w sprawie wspólnego PROJEKTU, która zostanie przekazana do podpisu przez właściwe ministerstwa finansów oraz rozwoju i inwestycji.</w:t>
      </w:r>
    </w:p>
    <w:p w14:paraId="1464D41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Eftychia Dima</w:t>
      </w:r>
    </w:p>
    <w:p w14:paraId="7B29AFB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Szef Dyrekcji</w:t>
      </w:r>
    </w:p>
    <w:p w14:paraId="09475AF3" w14:textId="344A7397" w:rsidR="002D7106" w:rsidRDefault="006E6B03" w:rsidP="00907705">
      <w:pPr>
        <w:jc w:val="center"/>
      </w:pPr>
      <w:r>
        <w:rPr>
          <w:b/>
        </w:rPr>
        <w:t>PROJEKT</w:t>
      </w:r>
    </w:p>
    <w:p w14:paraId="1178D0CE" w14:textId="77777777" w:rsidR="002D7106" w:rsidRDefault="002D7106">
      <w:pPr>
        <w:rPr>
          <w:rFonts w:cs="MgHelveticaUCPol"/>
        </w:rPr>
      </w:pPr>
    </w:p>
    <w:p w14:paraId="62EF2EF9" w14:textId="77777777" w:rsidR="002D7106" w:rsidRDefault="006E6B03">
      <w:pPr>
        <w:jc w:val="center"/>
      </w:pPr>
      <w:r>
        <w:t>Artykuł 1</w:t>
      </w:r>
    </w:p>
    <w:p w14:paraId="0CE9F2E2" w14:textId="77777777" w:rsidR="002D7106" w:rsidRDefault="006E6B03">
      <w:pPr>
        <w:jc w:val="center"/>
      </w:pPr>
      <w:r>
        <w:t>Środki kontroli</w:t>
      </w:r>
    </w:p>
    <w:p w14:paraId="06177536" w14:textId="77777777" w:rsidR="002D7106" w:rsidRDefault="002D7106">
      <w:pPr>
        <w:jc w:val="center"/>
        <w:rPr>
          <w:rFonts w:cs="MgHelveticaUCPol"/>
        </w:rPr>
      </w:pPr>
    </w:p>
    <w:p w14:paraId="4CF8596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W celu monitorowania stosowania przepisów rozporządzenia nr 1907/2006/WE do substancji, w czystej postaci, mieszanin i wyrobów, w miejscach produkcji, przechowywania i ogólnego postępowania z takimi produktami prowadzi się inspekcje, kontrole i pobieranie próbek.</w:t>
      </w:r>
    </w:p>
    <w:p w14:paraId="6E8BAF5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Procedury pobierania i badania próbek substancji chemicznych, mieszanin i wyrobów, które wchodzą w zakres przepisów rozporządzenia nr 1907/2006/WE, przeprowadzane są w sposób podobny do procedur przewidzianych w przepisach ogólnych kodeksu żywności, napojów i artykułów użytkowych.</w:t>
      </w:r>
    </w:p>
    <w:p w14:paraId="7FD3A441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t xml:space="preserve">Departamenty Dyrekcji Generalnej GCSL niezależnego organu ds. dochodów publicznych (IAPR), odpowiedzialne za kontrolę, nadzór i inspekcję, opracowują i realizują programy inspekcji/kontroli w przedsiębiorstwach, które produkują, pakują, przechowują i/lub utylizują produkty chemiczne, mieszaniny i wyroby, pod nadzorem i koordynacją Dyrekcji ds. Energii, Produktów </w:t>
      </w:r>
      <w:r>
        <w:lastRenderedPageBreak/>
        <w:t xml:space="preserve">Przemysłowych i Chemicznych tej samej Dyrekcji Generalnej, która odpowiada za wdrożenie przepisów rozporządzenia 1907/2006/WE. </w:t>
      </w:r>
    </w:p>
    <w:p w14:paraId="75513C3C" w14:textId="05EB9683" w:rsidR="002D7106" w:rsidRDefault="006E6B03">
      <w:pPr>
        <w:spacing w:line="276" w:lineRule="auto"/>
        <w:contextualSpacing/>
        <w:jc w:val="both"/>
      </w:pPr>
      <w:r>
        <w:t>Inspekcje prowadzi się po uprzednim powiadomieniu lub bez uprzedniego powiadomienia przedsiębiorstwa o zbliżającej się inspekcji/kontroli. Inspekcję/kontrolę bez uprzedniego powiadomienia przedsiębiorstwa przeprowadza się w przypadku skargi, utworzenia wspólnych zespołów z innymi organami, nakazu prokuratora lub z urzędu w ramach kontroli zgodności środków administracyjnych ograniczających, a także w celu ochrony zdrowia ludzkiego i środowiska.</w:t>
      </w:r>
    </w:p>
    <w:p w14:paraId="4880B5EB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Pracownicy oddziału GCSL „Chemicy legitymujący się dyplomem ukończenia studiów wyższych”, którzy przeprowadzają inspekcję/kontrolę, sporządzają pisemne sprawozdanie z inspekcji i przedkładają je szefowi jednostki organizacyjnej GCSL</w:t>
      </w:r>
      <w:r>
        <w:t>, na której obszarze właściwości przedsiębiorstwo prowadzi działalność, w terminie dwudziestu (20) dni roboczych:</w:t>
      </w:r>
    </w:p>
    <w:p w14:paraId="0CCFD669" w14:textId="77777777" w:rsidR="002D7106" w:rsidRDefault="006E6B03">
      <w:pPr>
        <w:spacing w:line="276" w:lineRule="auto"/>
        <w:jc w:val="both"/>
      </w:pPr>
      <w:r>
        <w:t xml:space="preserve">a) od zakończenia inspekcji/kontroli, jeżeli </w:t>
      </w:r>
      <w:r>
        <w:rPr>
          <w:color w:val="000000"/>
        </w:rPr>
        <w:t>nie pobierano próbek,</w:t>
      </w:r>
      <w:r>
        <w:t xml:space="preserve"> </w:t>
      </w:r>
    </w:p>
    <w:p w14:paraId="1C612C0D" w14:textId="3DE41EB7" w:rsidR="002D7106" w:rsidRDefault="006E6B03">
      <w:pPr>
        <w:spacing w:line="276" w:lineRule="auto"/>
        <w:jc w:val="both"/>
      </w:pPr>
      <w:r>
        <w:rPr>
          <w:color w:val="000000"/>
        </w:rPr>
        <w:t>b) od uzyskania wyniku badania laboratoryjnego, jeżeli pobierano próbki i prowadzono analizę próbki/próbek.</w:t>
      </w:r>
      <w:r>
        <w:t xml:space="preserve"> </w:t>
      </w:r>
    </w:p>
    <w:p w14:paraId="56E3A126" w14:textId="77777777" w:rsidR="002D7106" w:rsidRDefault="006E6B03">
      <w:pPr>
        <w:spacing w:line="276" w:lineRule="auto"/>
        <w:jc w:val="both"/>
      </w:pPr>
      <w:r>
        <w:rPr>
          <w:color w:val="000000"/>
        </w:rPr>
        <w:t>Wyżej wymieniony szef jednostki organizacyjnej GCSL niezwłocznie przekazuje sprawozdanie z kontroli kierownikowi przedsiębiorstwa listem poleconym lub drogą elektroniczną za potwierdzeniem odbioru.</w:t>
      </w:r>
    </w:p>
    <w:p w14:paraId="75AA1202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Jeżeli inspekcja/kontrola wykazuje niezgodności z przepisami rozporządzenia 1907/2006/</w:t>
      </w:r>
      <w:r>
        <w:t>WE:</w:t>
      </w:r>
    </w:p>
    <w:p w14:paraId="1881C373" w14:textId="7984F0D3" w:rsidR="002D7106" w:rsidRDefault="006E6B03">
      <w:pPr>
        <w:spacing w:line="276" w:lineRule="auto"/>
        <w:jc w:val="both"/>
      </w:pPr>
      <w:r>
        <w:t xml:space="preserve">a) </w:t>
      </w:r>
      <w:r>
        <w:rPr>
          <w:color w:val="000000"/>
        </w:rPr>
        <w:t>kierownik przedsiębiorstwa jest uprawniony do przekazania pisemnego wyjaśnienia dotyczącego wykrytych niezgodności szefowi jednostki organizacyjnej GCSL,</w:t>
      </w:r>
      <w:r>
        <w:t xml:space="preserve"> na której obszarze właściwości przedsiębiorstwo prowadzi działalność, </w:t>
      </w:r>
      <w:r>
        <w:rPr>
          <w:color w:val="000000"/>
        </w:rPr>
        <w:t>w ciągu dwudziestu (20) dni roboczych od otrzymania sprawozdania z kontroli.</w:t>
      </w:r>
    </w:p>
    <w:p w14:paraId="4533DBD5" w14:textId="50D1A42E" w:rsidR="002D7106" w:rsidRDefault="006E6B03">
      <w:pPr>
        <w:spacing w:line="276" w:lineRule="auto"/>
        <w:jc w:val="both"/>
      </w:pPr>
      <w:r>
        <w:t>Jeżeli nie przedstawiono wyjaśnień na piśmie lub przedstawione wyjaśnienia nie zostaną uznane za zadowalające przez wyżej wymienionego szefa, szef właściwego departamentu chemicznego GCSL nakłada sankcje administracyjne za wykryte naruszenia zgodnie z art. 2, 3 i 4 niniejszej decyzji.</w:t>
      </w:r>
    </w:p>
    <w:p w14:paraId="71855809" w14:textId="77777777" w:rsidR="002D7106" w:rsidRDefault="006E6B03">
      <w:pPr>
        <w:spacing w:line="276" w:lineRule="auto"/>
        <w:jc w:val="both"/>
      </w:pPr>
      <w:r>
        <w:rPr>
          <w:color w:val="000000"/>
        </w:rPr>
        <w:t xml:space="preserve">b) </w:t>
      </w:r>
      <w:r>
        <w:t>Jeżeli możliwe jest zastosowanie środków naprawczych, ustala się terminy ich przedłożenia i wdrożenia przez przedsiębiorstwo. Terminy te mogą być różne w zależności od charakteru niezgodności</w:t>
      </w:r>
      <w:r>
        <w:rPr>
          <w:color w:val="000000"/>
        </w:rPr>
        <w:t>, od jednego (1) do trzech (3) miesięcy od otrzymania sprawozdania z kontroli przez kierownika przedsiębiorstwa.</w:t>
      </w:r>
    </w:p>
    <w:p w14:paraId="238F536C" w14:textId="365C50D8" w:rsidR="002D7106" w:rsidRDefault="006E6B03">
      <w:pPr>
        <w:spacing w:line="276" w:lineRule="auto"/>
        <w:jc w:val="both"/>
      </w:pPr>
      <w:r>
        <w:t xml:space="preserve">Środki </w:t>
      </w:r>
      <w:r>
        <w:rPr>
          <w:color w:val="000000"/>
        </w:rPr>
        <w:t xml:space="preserve">naprawcze i ich wdrożenie są następnie oceniane pod kątem ich poprawności i adekwatności przez pracowników GCSL, którzy przeprowadzili inspekcję. Po dokonaniu oceny, wnioski z inspekcji są przekazywane przez szefa jednostki organizacyjnej GCSL, </w:t>
      </w:r>
      <w:r>
        <w:t xml:space="preserve">na której obszarze właściwości przedsiębiorstwo prowadzi działalność </w:t>
      </w:r>
      <w:r>
        <w:rPr>
          <w:color w:val="000000"/>
        </w:rPr>
        <w:t>kierownikowi przedsiębiorstwa listem poleconym.</w:t>
      </w:r>
    </w:p>
    <w:p w14:paraId="4C801D57" w14:textId="1B68576F" w:rsidR="002D7106" w:rsidRDefault="006E6B03">
      <w:pPr>
        <w:spacing w:line="276" w:lineRule="auto"/>
        <w:jc w:val="both"/>
      </w:pPr>
      <w:r>
        <w:t>Jeżeli środki naprawcze nie zostaną przedłożone lub wdrożone lub zostaną uznane za nieprawidłowe lub niewystarczające, szef właściwego departamentu chemicznego nakłada przewidziane sankcje administracyjne, określone w art. 2, 3 i 4 niniejszej decyzji.</w:t>
      </w:r>
    </w:p>
    <w:p w14:paraId="69F27AE7" w14:textId="46B54D57" w:rsidR="002D7106" w:rsidRDefault="006E6B03">
      <w:pPr>
        <w:spacing w:line="276" w:lineRule="auto"/>
        <w:jc w:val="both"/>
      </w:pPr>
      <w:r>
        <w:t>6. W przypadku badania próbek, jeżeli stwierdzono, że naruszają one przepisy rozporządzenia (WE) nr 1907/2006, na odpowiedzialnych nakłada się kary administracyjne przewidziane w art. 2, 3 i 4 niniejszej decyzji.</w:t>
      </w:r>
    </w:p>
    <w:p w14:paraId="1661EA21" w14:textId="77777777" w:rsidR="002D7106" w:rsidRDefault="002D7106">
      <w:pPr>
        <w:spacing w:line="276" w:lineRule="auto"/>
        <w:jc w:val="both"/>
        <w:rPr>
          <w:rFonts w:cs="MyriadPro-Regular"/>
          <w:color w:val="2E74B5"/>
        </w:rPr>
      </w:pPr>
    </w:p>
    <w:p w14:paraId="455FB148" w14:textId="77777777" w:rsidR="002D7106" w:rsidRDefault="006E6B03">
      <w:pPr>
        <w:jc w:val="center"/>
      </w:pPr>
      <w:r>
        <w:rPr>
          <w:color w:val="000000"/>
        </w:rPr>
        <w:t>Artykuł 2</w:t>
      </w:r>
    </w:p>
    <w:p w14:paraId="0320E0F7" w14:textId="77777777" w:rsidR="002D7106" w:rsidRDefault="006E6B03">
      <w:pPr>
        <w:jc w:val="center"/>
      </w:pPr>
      <w:r>
        <w:rPr>
          <w:color w:val="000000"/>
        </w:rPr>
        <w:t>Sankcje i środki kontroli – zasady ogólne</w:t>
      </w:r>
    </w:p>
    <w:p w14:paraId="1F6313FD" w14:textId="77777777" w:rsidR="002D7106" w:rsidRDefault="002D7106">
      <w:pPr>
        <w:rPr>
          <w:rFonts w:cs="MgHelveticaUCPol"/>
          <w:color w:val="000000"/>
        </w:rPr>
      </w:pPr>
    </w:p>
    <w:p w14:paraId="3702837D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Produkcja, wprowadzanie do obrotu i/lub stosowanie substancji chemicznych w czystej postaci, w mieszaninach i w wyrobach, a także wprowadzanie do obrotu i/lub stosowanie mieszanin i wyrobów jest dozwolone, o ile są one zgodne z przepisami rozporządzenia (WE) nr 1907/2006. W przeciwnym razie stosuje się środki i sankcje.</w:t>
      </w:r>
    </w:p>
    <w:p w14:paraId="767B3430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Nałożone środki i sankcje są proporcjonalne, oparte na ocenie ryzyka dla ochrony interesu publicznego stwarzanego przez stwierdzone naruszenie i mają na celu zapobieganie zagrożeniu dla zdrowia ludzkiego, środowiska i wszelkim innym aspektom interesu publicznego lub ograniczenie takiego ryzyka.</w:t>
      </w:r>
    </w:p>
    <w:p w14:paraId="6F8E1736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Nakładane środki i sankcje są następujące:</w:t>
      </w:r>
    </w:p>
    <w:p w14:paraId="391D638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a) nałożenie grzywny</w:t>
      </w:r>
    </w:p>
    <w:p w14:paraId="37804E6B" w14:textId="1E721BAE" w:rsidR="002D7106" w:rsidRDefault="006E6B03">
      <w:pPr>
        <w:spacing w:line="276" w:lineRule="auto"/>
        <w:jc w:val="both"/>
      </w:pPr>
      <w:r>
        <w:rPr>
          <w:color w:val="000000"/>
        </w:rPr>
        <w:lastRenderedPageBreak/>
        <w:t>b) dodatkowe ograniczające środki administracyjne w postaci zakazu</w:t>
      </w:r>
      <w:r>
        <w:t xml:space="preserve"> wprowadzania do obrotu oraz nakazu wycofania z obrotu lub </w:t>
      </w:r>
      <w:r>
        <w:rPr>
          <w:color w:val="000000"/>
        </w:rPr>
        <w:t>konfiskaty produktów i wycofania z obrotu.</w:t>
      </w:r>
    </w:p>
    <w:p w14:paraId="504D3BE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3E010A3A" w14:textId="77777777" w:rsidR="002D7106" w:rsidRDefault="006E6B03">
      <w:pPr>
        <w:jc w:val="center"/>
      </w:pPr>
      <w:r>
        <w:rPr>
          <w:color w:val="000000"/>
        </w:rPr>
        <w:t>Artykuł 3</w:t>
      </w:r>
    </w:p>
    <w:p w14:paraId="48F23B12" w14:textId="77777777" w:rsidR="002D7106" w:rsidRDefault="006E6B03">
      <w:pPr>
        <w:jc w:val="center"/>
      </w:pPr>
      <w:r>
        <w:rPr>
          <w:color w:val="000000"/>
        </w:rPr>
        <w:t>Klasyfikacja naruszeń i nakładanie grzywien</w:t>
      </w:r>
    </w:p>
    <w:p w14:paraId="0FD0FFE1" w14:textId="77777777" w:rsidR="002D7106" w:rsidRDefault="002D7106">
      <w:pPr>
        <w:jc w:val="center"/>
        <w:rPr>
          <w:rFonts w:cs="MgHelveticaUCPol"/>
          <w:color w:val="000000"/>
        </w:rPr>
      </w:pPr>
    </w:p>
    <w:p w14:paraId="5FF50226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Nałożenie grzywny jest zgodne z zasadą proporcjonalności. W celu ustalenia wysokości grzywny, uwzględnia się:</w:t>
      </w:r>
    </w:p>
    <w:p w14:paraId="55605A7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a) wagę naruszeń, na podstawie których ustalana jest maksymalna wysokość podstawowa (MBP) grzywny, zgodnie z ust. 2 lit. a);</w:t>
      </w:r>
    </w:p>
    <w:p w14:paraId="6C7BB8A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b) status kontrolowanego podmiotu gospodarczego, na podstawie którego ustala się współczynnik ustalenia grzywny (CSF), zgodnie z ust. 2 lit. b);</w:t>
      </w:r>
    </w:p>
    <w:p w14:paraId="61680A07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 xml:space="preserve">c) szereg czynników operacyjnych, które są wymienione i oceniane zgodnie z ust. 2 lit. c), określających stopień, a następnie współczynnik nakładania grzywny (CIF). </w:t>
      </w:r>
    </w:p>
    <w:p w14:paraId="6F559844" w14:textId="77777777" w:rsidR="002D7106" w:rsidRDefault="006E6B0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</w:pPr>
      <w:r>
        <w:rPr>
          <w:color w:val="000000"/>
        </w:rPr>
        <w:t>Do celów wyliczenia kwoty grzywny, oblicza się, co następuje:</w:t>
      </w:r>
    </w:p>
    <w:p w14:paraId="41BF4DDB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31AACCA" w14:textId="77777777" w:rsidR="002D7106" w:rsidRDefault="006E6B03">
      <w:pPr>
        <w:tabs>
          <w:tab w:val="left" w:pos="426"/>
        </w:tabs>
        <w:spacing w:line="276" w:lineRule="auto"/>
        <w:jc w:val="both"/>
      </w:pPr>
      <w:r>
        <w:rPr>
          <w:color w:val="000000"/>
        </w:rPr>
        <w:t>a) Określanie maksymalnej wysokości podstawowej (MBP) grzywny, stosując poniższą tabelę:</w:t>
      </w:r>
    </w:p>
    <w:p w14:paraId="1163A03F" w14:textId="77777777" w:rsidR="002D7106" w:rsidRDefault="002D7106">
      <w:pPr>
        <w:tabs>
          <w:tab w:val="left" w:pos="426"/>
        </w:tabs>
        <w:jc w:val="both"/>
        <w:rPr>
          <w:rFonts w:cs="MyriadPro-Regular"/>
          <w:color w:val="000000"/>
        </w:rPr>
      </w:pPr>
    </w:p>
    <w:tbl>
      <w:tblPr>
        <w:tblW w:w="839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01"/>
        <w:gridCol w:w="3119"/>
        <w:gridCol w:w="1877"/>
      </w:tblGrid>
      <w:tr w:rsidR="002D7106" w14:paraId="7DD254F4" w14:textId="77777777" w:rsidTr="00815A29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742B7" w14:textId="6DA93048" w:rsidR="002D7106" w:rsidRDefault="006E6B03">
            <w:r>
              <w:rPr>
                <w:b/>
                <w:color w:val="000000"/>
              </w:rPr>
              <w:t>Naruszenia kategorii A – przepisy rozporządzenia (WE) nr 1907/2006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97384D" w14:textId="483C0435" w:rsidR="002D7106" w:rsidRDefault="006E6B03">
            <w:r>
              <w:rPr>
                <w:b/>
                <w:color w:val="000000"/>
              </w:rPr>
              <w:t>Artykuły rozporządzenia (WE) nr 1907/2006, które obejmują naruszenia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57C94C" w14:textId="0766FF67" w:rsidR="002D7106" w:rsidRDefault="006E6B03">
            <w:r>
              <w:rPr>
                <w:b/>
                <w:color w:val="000000"/>
              </w:rPr>
              <w:t>Maksymalna wysokość podstawowa (MBP) za substancję/mieszaninę/artykuł i za naruszenie</w:t>
            </w:r>
            <w:r>
              <w:rPr>
                <w:b/>
                <w:color w:val="000000"/>
              </w:rPr>
              <w:br/>
              <w:t>w euro</w:t>
            </w:r>
          </w:p>
        </w:tc>
      </w:tr>
      <w:tr w:rsidR="002D7106" w14:paraId="1BA7AA06" w14:textId="77777777" w:rsidTr="00815A29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07A9" w14:textId="7D84EBFE" w:rsidR="002D7106" w:rsidRDefault="006E6B03">
            <w:r>
              <w:rPr>
                <w:color w:val="000000"/>
              </w:rPr>
              <w:t xml:space="preserve">Naruszenia dotyczące obowiązku rejestracji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8AFB" w14:textId="77777777" w:rsidR="002D7106" w:rsidRDefault="006E6B03">
            <w:r>
              <w:rPr>
                <w:color w:val="000000"/>
              </w:rPr>
              <w:t xml:space="preserve">Naruszenia </w:t>
            </w:r>
            <w:r>
              <w:t>art. 5, 6, 7, 8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7595" w14:textId="77777777" w:rsidR="002D7106" w:rsidRDefault="006E6B03">
            <w:r>
              <w:rPr>
                <w:color w:val="000000"/>
              </w:rPr>
              <w:t>10 000</w:t>
            </w:r>
          </w:p>
        </w:tc>
      </w:tr>
      <w:tr w:rsidR="002D7106" w14:paraId="112868D1" w14:textId="77777777" w:rsidTr="00815A29">
        <w:trPr>
          <w:trHeight w:val="7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27A4E" w14:textId="77777777" w:rsidR="002D7106" w:rsidRDefault="006E6B03">
            <w:r>
              <w:rPr>
                <w:color w:val="000000"/>
              </w:rPr>
              <w:t>Naruszenia wymogów dotyczących przyznawania zwolnień z rejestracji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B8CF" w14:textId="77777777" w:rsidR="002D7106" w:rsidRDefault="006E6B03">
            <w:r>
              <w:rPr>
                <w:color w:val="000000"/>
              </w:rPr>
              <w:t xml:space="preserve">Naruszenia </w:t>
            </w:r>
            <w:r>
              <w:t>art. 9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B90F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6265CFBC" w14:textId="77777777" w:rsidTr="00815A29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9D0C6" w14:textId="07494E88" w:rsidR="002D7106" w:rsidRDefault="006E6B03">
            <w:r>
              <w:rPr>
                <w:color w:val="000000"/>
              </w:rPr>
              <w:t xml:space="preserve">Naruszenia obowiązku rejestracji niektórych rodzajów produktów pośrednich i izolowanych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1445" w14:textId="77777777" w:rsidR="002D7106" w:rsidRDefault="006E6B03">
            <w:r>
              <w:rPr>
                <w:color w:val="000000"/>
              </w:rPr>
              <w:t xml:space="preserve">Naruszenia </w:t>
            </w:r>
            <w:r>
              <w:t>art. 17, 18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7AD3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18A51558" w14:textId="77777777" w:rsidTr="00815A29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4C64" w14:textId="77777777" w:rsidR="002D7106" w:rsidRDefault="006E6B03">
            <w:r>
              <w:rPr>
                <w:color w:val="000000"/>
              </w:rPr>
              <w:t>Naruszenia wymogów informacyjnych do celów rejestracji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8426" w14:textId="5352B3D7" w:rsidR="002D7106" w:rsidRDefault="006E6B03">
            <w:r>
              <w:t>Naruszenia art. 10, 12, 13, 14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8E54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5671ADFE" w14:textId="77777777" w:rsidTr="00815A29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88F2" w14:textId="77777777" w:rsidR="002D7106" w:rsidRDefault="006E6B03">
            <w:r>
              <w:rPr>
                <w:color w:val="000000"/>
              </w:rPr>
              <w:t xml:space="preserve">Naruszenia w odniesieniu do wspólnego przekazywania danych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5354" w14:textId="77777777" w:rsidR="002D7106" w:rsidRDefault="006E6B03">
            <w:r>
              <w:rPr>
                <w:color w:val="000000"/>
              </w:rPr>
              <w:t>Naruszenia art. 11, 19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85D2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976C038" w14:textId="77777777" w:rsidTr="00815A29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CC7E8" w14:textId="77777777" w:rsidR="002D7106" w:rsidRDefault="006E6B03">
            <w:r>
              <w:rPr>
                <w:color w:val="000000"/>
              </w:rPr>
              <w:t>Naruszenia dalszych obowiązków rejestrujących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F8EE" w14:textId="77777777" w:rsidR="002D7106" w:rsidRDefault="006E6B03">
            <w:r>
              <w:rPr>
                <w:color w:val="000000"/>
              </w:rPr>
              <w:t>Naruszenia art. 21, 22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A0A6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5DE343C" w14:textId="77777777" w:rsidTr="00815A29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8FBDD" w14:textId="77777777" w:rsidR="002D7106" w:rsidRDefault="006E6B03">
            <w:r>
              <w:rPr>
                <w:color w:val="000000"/>
              </w:rPr>
              <w:t>Naruszenia dotyczące udostępniania danych badawczych – odmowa przedstawienia badania lub dowodu poniesienia kosztów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06C2" w14:textId="77777777" w:rsidR="002D7106" w:rsidRDefault="006E6B03">
            <w:r>
              <w:rPr>
                <w:color w:val="000000"/>
              </w:rPr>
              <w:t>Naruszenia art. 30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002A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FF17441" w14:textId="77777777" w:rsidTr="00815A29">
        <w:trPr>
          <w:trHeight w:val="906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86A7A2" w14:textId="310F3A64" w:rsidR="002D7106" w:rsidRDefault="006E6B03">
            <w:r>
              <w:rPr>
                <w:color w:val="000000"/>
              </w:rPr>
              <w:t>Naruszenia obowiązków dostawców w zakresie dostarczania i aktualizacji informacji w łańcuchu dostaw oraz przechowywania informacji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B06A" w14:textId="1C8FC441" w:rsidR="002D7106" w:rsidRDefault="006E6B03">
            <w:r>
              <w:rPr>
                <w:color w:val="000000"/>
              </w:rPr>
              <w:t>Naruszenia art. 31</w:t>
            </w:r>
          </w:p>
          <w:p w14:paraId="4A51C60C" w14:textId="77777777" w:rsidR="002D7106" w:rsidRDefault="006E6B03">
            <w:r>
              <w:rPr>
                <w:color w:val="000000"/>
              </w:rPr>
              <w:t>(wysokość maksymalna jest nakładana, jeżeli nie podano żadnych informacji)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97A5" w14:textId="77777777" w:rsidR="002D7106" w:rsidRDefault="006E6B03">
            <w:r>
              <w:rPr>
                <w:color w:val="000000"/>
              </w:rPr>
              <w:t xml:space="preserve">500-5 000 </w:t>
            </w:r>
          </w:p>
        </w:tc>
      </w:tr>
      <w:tr w:rsidR="002D7106" w14:paraId="28DFA1EB" w14:textId="77777777" w:rsidTr="00815A29">
        <w:trPr>
          <w:trHeight w:val="636"/>
        </w:trPr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596E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61ED" w14:textId="77777777" w:rsidR="002D7106" w:rsidRDefault="006E6B03">
            <w:r>
              <w:rPr>
                <w:color w:val="000000"/>
              </w:rPr>
              <w:t>Naruszenia art. 32, 33, 34, 35, 36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844E" w14:textId="77777777" w:rsidR="002D7106" w:rsidRDefault="006E6B03">
            <w:r>
              <w:rPr>
                <w:color w:val="000000"/>
              </w:rPr>
              <w:t>500</w:t>
            </w:r>
          </w:p>
        </w:tc>
      </w:tr>
      <w:tr w:rsidR="002D7106" w14:paraId="585FB785" w14:textId="77777777" w:rsidTr="00815A29">
        <w:trPr>
          <w:trHeight w:val="13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7855" w14:textId="17B6E54F" w:rsidR="002D7106" w:rsidRDefault="006E6B03">
            <w:r>
              <w:rPr>
                <w:color w:val="000000"/>
              </w:rPr>
              <w:lastRenderedPageBreak/>
              <w:t>Naruszenia oceny bezpieczeństwa chemicznego oraz wykrywania wdrażania i zalecania środków zmniejszania ryzyka przez dalszych użytkowników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250D" w14:textId="77777777" w:rsidR="002D7106" w:rsidRDefault="006E6B03">
            <w:r>
              <w:rPr>
                <w:color w:val="000000"/>
              </w:rPr>
              <w:t>Naruszenia art. 37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4B32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74B96BEF" w14:textId="77777777" w:rsidTr="00815A29">
        <w:trPr>
          <w:trHeight w:val="105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5AFB" w14:textId="69821FC6" w:rsidR="002D7106" w:rsidRDefault="006E6B03">
            <w:r>
              <w:rPr>
                <w:color w:val="000000"/>
              </w:rPr>
              <w:t>Naruszenia obowiązków dalszych użytkowników w zakresie dostarczania i przechowywania informacji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F3E13" w14:textId="77777777" w:rsidR="002D7106" w:rsidRDefault="006E6B03">
            <w:r>
              <w:rPr>
                <w:color w:val="000000"/>
              </w:rPr>
              <w:t>Naruszenia art. 38, 39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5883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43A58062" w14:textId="77777777" w:rsidTr="00815A29">
        <w:trPr>
          <w:trHeight w:val="64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A192" w14:textId="77777777" w:rsidR="002D7106" w:rsidRDefault="006E6B03">
            <w:r>
              <w:rPr>
                <w:color w:val="000000"/>
              </w:rPr>
              <w:t xml:space="preserve">Naruszenia na etapie oceny dokumentacji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0754" w14:textId="77777777" w:rsidR="002D7106" w:rsidRDefault="006E6B03">
            <w:r>
              <w:t>Naruszenia art. 40, 41, 46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D838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39FE590" w14:textId="77777777" w:rsidTr="00815A29">
        <w:trPr>
          <w:trHeight w:val="96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B179B" w14:textId="77777777" w:rsidR="002D7106" w:rsidRDefault="006E6B03">
            <w:r>
              <w:rPr>
                <w:color w:val="000000"/>
              </w:rPr>
              <w:t xml:space="preserve">Naruszenia obowiązku dostarczenia dalszych informacji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6448" w14:textId="77777777" w:rsidR="002D7106" w:rsidRDefault="006E6B03">
            <w:r>
              <w:rPr>
                <w:color w:val="000000"/>
              </w:rPr>
              <w:t>Naruszenie art. 49, 50</w:t>
            </w:r>
          </w:p>
        </w:tc>
        <w:tc>
          <w:tcPr>
            <w:tcW w:w="1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093B" w14:textId="77777777" w:rsidR="002D7106" w:rsidRDefault="006E6B03">
            <w:r>
              <w:rPr>
                <w:color w:val="000000"/>
              </w:rPr>
              <w:t>1 500</w:t>
            </w:r>
          </w:p>
        </w:tc>
      </w:tr>
      <w:tr w:rsidR="002D7106" w14:paraId="05ED5674" w14:textId="77777777" w:rsidTr="00815A29">
        <w:trPr>
          <w:trHeight w:val="73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A9F1" w14:textId="77777777" w:rsidR="002D7106" w:rsidRDefault="006E6B03">
            <w:r>
              <w:rPr>
                <w:color w:val="000000"/>
              </w:rPr>
              <w:t>Naruszenia wymogów licencyjnych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25A4B" w14:textId="77777777" w:rsidR="002D7106" w:rsidRDefault="006E6B03">
            <w:r>
              <w:rPr>
                <w:color w:val="000000"/>
              </w:rPr>
              <w:t xml:space="preserve">Naruszenia </w:t>
            </w:r>
            <w:r>
              <w:t>art. 56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BD9E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B3A99F6" w14:textId="77777777" w:rsidTr="00815A29">
        <w:trPr>
          <w:trHeight w:val="12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A63F3" w14:textId="77777777" w:rsidR="002D7106" w:rsidRDefault="006E6B03">
            <w:r>
              <w:rPr>
                <w:color w:val="000000"/>
              </w:rPr>
              <w:t xml:space="preserve">Przegląd naruszeń licencji, późniejsze wnioski o udzielenie licencji oraz obowiązki posiadaczy licencji i dalszych użytkowników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949E0" w14:textId="77777777" w:rsidR="002D7106" w:rsidRDefault="006E6B03">
            <w:r>
              <w:rPr>
                <w:color w:val="000000"/>
              </w:rPr>
              <w:t>Naruszenia art. 61, 63, 65, 66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0617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286DB7C1" w14:textId="77777777" w:rsidTr="00815A29">
        <w:trPr>
          <w:trHeight w:val="6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16B01" w14:textId="77777777" w:rsidR="002D7106" w:rsidRDefault="006E6B03">
            <w:r>
              <w:rPr>
                <w:color w:val="000000"/>
              </w:rPr>
              <w:t xml:space="preserve">Naruszenia ograniczeń w produkcji, utylizacji i stosowaniu substancji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C9ED" w14:textId="77777777" w:rsidR="002D7106" w:rsidRDefault="006E6B03">
            <w:r>
              <w:t>Naruszenia art. 67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444A" w14:textId="77777777" w:rsidR="002D7106" w:rsidRDefault="006E6B03">
            <w:r>
              <w:rPr>
                <w:color w:val="000000"/>
              </w:rPr>
              <w:t>3 000</w:t>
            </w:r>
          </w:p>
        </w:tc>
      </w:tr>
      <w:tr w:rsidR="002D7106" w14:paraId="21A038BD" w14:textId="77777777" w:rsidTr="00815A29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3E1C" w14:textId="77777777" w:rsidR="002D7106" w:rsidRDefault="006E6B03">
            <w:r>
              <w:rPr>
                <w:color w:val="000000"/>
              </w:rPr>
              <w:t>Fałszywe oświadczenie przedsiębiorstwa do Agencji Chemikaliów dotyczące kategorii MŚP (średnie, małe, mikro) „dotyczące definicji mikroprzedsiębiorstw oraz małych i średnich przedsiębiorstw”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6739" w14:textId="3CBCF20E" w:rsidR="002D7106" w:rsidRDefault="006E6B03">
            <w:r>
              <w:rPr>
                <w:color w:val="000000"/>
              </w:rPr>
              <w:t>Zalecenie Komisji 2003/361/WE (L 124/20.5.2003)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F89B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50A17BD6" w14:textId="77777777" w:rsidTr="00815A29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AD69D4" w14:textId="77777777" w:rsidR="002D7106" w:rsidRDefault="006E6B03">
            <w:r>
              <w:rPr>
                <w:b/>
                <w:color w:val="000000"/>
              </w:rPr>
              <w:t>Naruszenia kategorii B</w:t>
            </w:r>
          </w:p>
          <w:p w14:paraId="09C1A237" w14:textId="77777777" w:rsidR="002D7106" w:rsidRDefault="006E6B03">
            <w:r>
              <w:rPr>
                <w:b/>
                <w:color w:val="000000"/>
              </w:rPr>
              <w:t>Utrudnianie inspekcji/kontroli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78D44C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7549EB" w14:textId="77777777" w:rsidR="002D7106" w:rsidRDefault="006E6B03">
            <w:r>
              <w:rPr>
                <w:b/>
                <w:color w:val="000000"/>
              </w:rPr>
              <w:t>Maksymalna wysokość podstawowa (MBP) za substancję/mieszaninę/artykuł i za naruszenie w euro</w:t>
            </w:r>
          </w:p>
        </w:tc>
      </w:tr>
      <w:tr w:rsidR="002D7106" w14:paraId="2B2F3D06" w14:textId="77777777" w:rsidTr="00815A29">
        <w:trPr>
          <w:trHeight w:val="16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1347" w14:textId="75C1589D" w:rsidR="002D7106" w:rsidRDefault="006E6B03" w:rsidP="00E12AE7">
            <w:pPr>
              <w:rPr>
                <w:rFonts w:cs="MgHelveticaUCPol"/>
                <w:color w:val="000000"/>
              </w:rPr>
            </w:pPr>
            <w:r>
              <w:rPr>
                <w:color w:val="000000"/>
              </w:rPr>
              <w:t>Odmowa udzielenia informacji lub przedłożenia danych podczas inspekcji/kontroli zgodności z przepisami rozporządzenia (WE) nr 1907/2006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88E6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AE01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2F3AA24" w14:textId="77777777" w:rsidTr="00815A29">
        <w:trPr>
          <w:trHeight w:val="16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CEF1" w14:textId="77777777" w:rsidR="002D7106" w:rsidRDefault="006E6B03">
            <w:r>
              <w:rPr>
                <w:color w:val="000000"/>
              </w:rPr>
              <w:t>Utrudnianie lub odmowa inspekcji/kontroli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E37E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40DA" w14:textId="77777777" w:rsidR="002D7106" w:rsidRDefault="006E6B03">
            <w:r>
              <w:rPr>
                <w:color w:val="000000"/>
              </w:rPr>
              <w:t>50 000</w:t>
            </w:r>
          </w:p>
        </w:tc>
      </w:tr>
      <w:tr w:rsidR="002D7106" w14:paraId="09E3235D" w14:textId="77777777" w:rsidTr="00815A29">
        <w:trPr>
          <w:trHeight w:val="78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D2CA5E" w14:textId="77777777" w:rsidR="002D7106" w:rsidRDefault="006E6B03">
            <w:r>
              <w:rPr>
                <w:b/>
                <w:color w:val="000000"/>
              </w:rPr>
              <w:t>Naruszenia kategorii C</w:t>
            </w:r>
          </w:p>
          <w:p w14:paraId="29AA6732" w14:textId="77777777" w:rsidR="002D7106" w:rsidRDefault="006E6B03">
            <w:r>
              <w:rPr>
                <w:b/>
                <w:color w:val="000000"/>
              </w:rPr>
              <w:t>Inne naruszenia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5BAFD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233CDF" w14:textId="77777777" w:rsidR="002D7106" w:rsidRDefault="006E6B03">
            <w:r>
              <w:rPr>
                <w:b/>
                <w:color w:val="000000"/>
              </w:rPr>
              <w:t xml:space="preserve">Maksymalna wysokość podstawowa </w:t>
            </w:r>
            <w:r>
              <w:rPr>
                <w:b/>
                <w:color w:val="000000"/>
              </w:rPr>
              <w:lastRenderedPageBreak/>
              <w:t>(MBP) za substancję/mieszaninę/artykuł i za naruszenie</w:t>
            </w:r>
            <w:r>
              <w:rPr>
                <w:b/>
                <w:color w:val="000000"/>
              </w:rPr>
              <w:br/>
              <w:t>w euro</w:t>
            </w:r>
          </w:p>
        </w:tc>
      </w:tr>
      <w:tr w:rsidR="002D7106" w14:paraId="6BEC92E4" w14:textId="77777777" w:rsidTr="00815A29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4CEC" w14:textId="77777777" w:rsidR="002D7106" w:rsidRDefault="006E6B03">
            <w:r>
              <w:rPr>
                <w:color w:val="000000"/>
              </w:rPr>
              <w:lastRenderedPageBreak/>
              <w:t>Niewdrożenie nałożonych zakazów dotyczących produkcji i/lub obrotu i/lub stosowania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E507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41F1" w14:textId="77777777" w:rsidR="002D7106" w:rsidRDefault="006E6B03">
            <w:r>
              <w:rPr>
                <w:color w:val="000000"/>
              </w:rPr>
              <w:t>50 000</w:t>
            </w:r>
          </w:p>
        </w:tc>
      </w:tr>
    </w:tbl>
    <w:p w14:paraId="6DCC1496" w14:textId="77777777" w:rsidR="002D7106" w:rsidRDefault="002D7106">
      <w:pPr>
        <w:rPr>
          <w:rFonts w:cs="MgHelveticaUCPol"/>
          <w:color w:val="000000"/>
        </w:rPr>
      </w:pPr>
    </w:p>
    <w:p w14:paraId="493E9DBA" w14:textId="539011EB" w:rsidR="002D7106" w:rsidRDefault="006E6B03">
      <w:pPr>
        <w:jc w:val="both"/>
      </w:pPr>
      <w:r>
        <w:rPr>
          <w:color w:val="000000"/>
        </w:rPr>
        <w:t>W przypadku wielokrotnych naruszeń w tej samej kategorii A produktu z powyższej tabeli maksymalne ceny podstawowe są sumowane, ale łączna wysokość grzywny nie może przekroczyć pułapu tej kategorii, tj. dziesięciu tysięcy euro (10 000 EUR).</w:t>
      </w:r>
    </w:p>
    <w:p w14:paraId="0235BD51" w14:textId="77777777" w:rsidR="002D7106" w:rsidRDefault="006E6B03">
      <w:pPr>
        <w:jc w:val="both"/>
      </w:pPr>
      <w:r>
        <w:rPr>
          <w:color w:val="000000"/>
        </w:rPr>
        <w:t>Maksymalna wysokość podstawowa kategorii B i C, o której mowa w tabeli, jest niezależna i samodzielna.</w:t>
      </w:r>
    </w:p>
    <w:p w14:paraId="62AC909C" w14:textId="77777777" w:rsidR="002D7106" w:rsidRDefault="002D7106">
      <w:pPr>
        <w:rPr>
          <w:rFonts w:cs="MgHelveticaUCPol"/>
          <w:color w:val="000000"/>
        </w:rPr>
      </w:pPr>
    </w:p>
    <w:p w14:paraId="113495C1" w14:textId="77777777" w:rsidR="002D7106" w:rsidRDefault="006E6B03">
      <w:r>
        <w:rPr>
          <w:color w:val="000000"/>
        </w:rPr>
        <w:t>b) Określenie współczynnika ustalenia grzywny (CSF) w oparciu o status kontrolowanego podmiotu gospodarczego w sposób następujący:</w:t>
      </w:r>
    </w:p>
    <w:p w14:paraId="2961D8DE" w14:textId="77777777" w:rsidR="002D7106" w:rsidRDefault="002D7106">
      <w:pPr>
        <w:rPr>
          <w:rFonts w:cs="MgHelveticaUCPol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06"/>
        <w:gridCol w:w="1843"/>
      </w:tblGrid>
      <w:tr w:rsidR="002D7106" w14:paraId="00967840" w14:textId="77777777">
        <w:trPr>
          <w:trHeight w:val="63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C988A1" w14:textId="77777777" w:rsidR="002D7106" w:rsidRDefault="006E6B03">
            <w:r>
              <w:rPr>
                <w:b/>
                <w:color w:val="000000"/>
              </w:rPr>
              <w:t>Status podmiotu gospodarczego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8B4302" w14:textId="77777777" w:rsidR="002D7106" w:rsidRDefault="006E6B03">
            <w:r>
              <w:rPr>
                <w:b/>
                <w:color w:val="000000"/>
              </w:rPr>
              <w:t>Współczynnik ustalenia grzywny</w:t>
            </w:r>
          </w:p>
        </w:tc>
      </w:tr>
      <w:tr w:rsidR="002D7106" w14:paraId="4B8FC489" w14:textId="77777777">
        <w:trPr>
          <w:trHeight w:val="60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DE88" w14:textId="77777777" w:rsidR="002D7106" w:rsidRDefault="006E6B03">
            <w:r>
              <w:rPr>
                <w:color w:val="000000"/>
              </w:rPr>
              <w:t>Producent, wyłączny przedstawiciel, importer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D27C" w14:textId="77777777" w:rsidR="002D7106" w:rsidRDefault="006E6B03">
            <w:r>
              <w:rPr>
                <w:color w:val="000000"/>
              </w:rPr>
              <w:t>1</w:t>
            </w:r>
          </w:p>
        </w:tc>
      </w:tr>
      <w:tr w:rsidR="002D7106" w14:paraId="17841C83" w14:textId="77777777">
        <w:trPr>
          <w:trHeight w:val="43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3AA10" w14:textId="77777777" w:rsidR="002D7106" w:rsidRDefault="006E6B03">
            <w:r>
              <w:rPr>
                <w:color w:val="000000"/>
              </w:rPr>
              <w:t>Dalszy użytkownik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0100A" w14:textId="77777777" w:rsidR="002D7106" w:rsidRDefault="006E6B03">
            <w:r>
              <w:rPr>
                <w:color w:val="000000"/>
              </w:rPr>
              <w:t>0,7</w:t>
            </w:r>
          </w:p>
        </w:tc>
      </w:tr>
      <w:tr w:rsidR="002D7106" w14:paraId="2C515FE3" w14:textId="77777777" w:rsidTr="00815A29">
        <w:trPr>
          <w:trHeight w:val="39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8F01" w14:textId="77777777" w:rsidR="002D7106" w:rsidRDefault="006E6B03">
            <w:r>
              <w:rPr>
                <w:color w:val="000000"/>
              </w:rPr>
              <w:t>Dystrybutor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E2CB" w14:textId="77777777" w:rsidR="002D7106" w:rsidRDefault="006E6B03">
            <w:r>
              <w:rPr>
                <w:color w:val="000000"/>
              </w:rPr>
              <w:t>0,4</w:t>
            </w:r>
          </w:p>
        </w:tc>
      </w:tr>
    </w:tbl>
    <w:p w14:paraId="48D84EA6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2D4DFF36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c) Ocena kryteriów odnoszących się do kontrolowanego podmiotu gospodarczego lub użytkownika oraz punktacja odpowiednich kryteriów zgodnie z poniższą tabelą:</w:t>
      </w:r>
    </w:p>
    <w:p w14:paraId="24448A58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747C0FA2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89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092"/>
        <w:gridCol w:w="1160"/>
      </w:tblGrid>
      <w:tr w:rsidR="002D7106" w14:paraId="1904DCBC" w14:textId="77777777" w:rsidTr="00815A29">
        <w:trPr>
          <w:trHeight w:val="30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70A67F" w14:textId="77777777" w:rsidR="002D7106" w:rsidRDefault="006E6B03">
            <w:r>
              <w:rPr>
                <w:b/>
                <w:color w:val="000000"/>
              </w:rPr>
              <w:t xml:space="preserve">Kryterium </w:t>
            </w:r>
          </w:p>
        </w:tc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B03EAA" w14:textId="77777777" w:rsidR="002D7106" w:rsidRDefault="006E6B03">
            <w:r>
              <w:rPr>
                <w:b/>
                <w:color w:val="000000"/>
              </w:rPr>
              <w:t xml:space="preserve">Ocena 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60C226" w14:textId="77777777" w:rsidR="002D7106" w:rsidRDefault="006E6B03">
            <w:r>
              <w:rPr>
                <w:b/>
                <w:color w:val="000000"/>
              </w:rPr>
              <w:t>Punktacja</w:t>
            </w:r>
          </w:p>
        </w:tc>
      </w:tr>
      <w:tr w:rsidR="002D7106" w14:paraId="6EC7F615" w14:textId="77777777" w:rsidTr="00815A29">
        <w:trPr>
          <w:trHeight w:val="900"/>
        </w:trPr>
        <w:tc>
          <w:tcPr>
            <w:tcW w:w="3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E339" w14:textId="77777777" w:rsidR="002D7106" w:rsidRDefault="006E6B03">
            <w:r>
              <w:rPr>
                <w:color w:val="000000"/>
              </w:rPr>
              <w:t xml:space="preserve">Stopień współpracy badanego podmiotu gospodarczego </w:t>
            </w: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F41F" w14:textId="77777777" w:rsidR="002D7106" w:rsidRDefault="006E6B03">
            <w:r>
              <w:rPr>
                <w:color w:val="000000"/>
              </w:rPr>
              <w:t>Doskonały: Działanie dobrowolne – środki zapobiegawcze mające na celu zapewnienie, że naruszenie nie zostanie powtórzone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311D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BFFEE40" w14:textId="77777777" w:rsidTr="00815A29">
        <w:trPr>
          <w:trHeight w:val="795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679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A4F4" w14:textId="77777777" w:rsidR="002D7106" w:rsidRDefault="006E6B03">
            <w:r>
              <w:rPr>
                <w:color w:val="000000"/>
              </w:rPr>
              <w:t>Dobry: Zdolność do oceny sytuacji – podjęte środki naprawcze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1F13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78173FEA" w14:textId="77777777" w:rsidTr="00815A29">
        <w:trPr>
          <w:trHeight w:val="561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D8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67FC" w14:textId="7596D258" w:rsidR="002D7106" w:rsidRDefault="006E6B03">
            <w:r>
              <w:rPr>
                <w:color w:val="000000"/>
              </w:rPr>
              <w:t>Średni: Działanie krytyczne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240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0FB3973B" w14:textId="77777777" w:rsidTr="00815A29">
        <w:trPr>
          <w:trHeight w:val="587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DB5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384E" w14:textId="77777777" w:rsidR="002D7106" w:rsidRDefault="006E6B03">
            <w:r>
              <w:rPr>
                <w:color w:val="000000"/>
              </w:rPr>
              <w:t>Zły: Negatywne nastawienie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EB570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5C04ADB9" w14:textId="77777777" w:rsidTr="00815A29">
        <w:trPr>
          <w:trHeight w:val="300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6A8D" w14:textId="77777777" w:rsidR="002D7106" w:rsidRDefault="006E6B03">
            <w:r>
              <w:rPr>
                <w:color w:val="000000"/>
              </w:rPr>
              <w:t>Wartość handlowa produktów niezgodnych z wymogami (ilość X, cena jednostkowa) w oparciu o dokumenty dotyczące produkcji, przywozu, przeładunku i wprowadzania do obrotu w euro</w:t>
            </w:r>
          </w:p>
        </w:tc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A54D" w14:textId="77777777" w:rsidR="002D7106" w:rsidRDefault="006E6B03">
            <w:r>
              <w:rPr>
                <w:color w:val="000000"/>
              </w:rPr>
              <w:t>Bardzo mała: Wartość handlowa &lt; 1 000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3B09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18D0F229" w14:textId="77777777" w:rsidTr="00815A29">
        <w:trPr>
          <w:trHeight w:val="300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69F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25DA7" w14:textId="77777777" w:rsidR="002D7106" w:rsidRDefault="006E6B03">
            <w:r>
              <w:rPr>
                <w:color w:val="000000"/>
              </w:rPr>
              <w:t xml:space="preserve">Mała: 1000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Wartość handlowa &lt; 50 000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FA95C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4BD6D48B" w14:textId="77777777" w:rsidTr="00815A29">
        <w:trPr>
          <w:trHeight w:val="300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CA2A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7ABD" w14:textId="454B5455" w:rsidR="002D7106" w:rsidRDefault="006E6B03">
            <w:r>
              <w:rPr>
                <w:color w:val="000000"/>
              </w:rPr>
              <w:t xml:space="preserve">Średnia: 50 000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Wartość handlowa &lt; 100 000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511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51B7B033" w14:textId="77777777" w:rsidTr="00815A29">
        <w:trPr>
          <w:trHeight w:val="300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B5A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D939" w14:textId="77777777" w:rsidR="002D7106" w:rsidRDefault="006E6B03">
            <w:r>
              <w:rPr>
                <w:color w:val="000000"/>
              </w:rPr>
              <w:t xml:space="preserve">Wysoka wartość handlowa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100 000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4396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792D1113" w14:textId="77777777" w:rsidTr="00815A29">
        <w:trPr>
          <w:trHeight w:val="525"/>
        </w:trPr>
        <w:tc>
          <w:tcPr>
            <w:tcW w:w="3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526" w14:textId="77777777" w:rsidR="002D7106" w:rsidRDefault="006E6B03">
            <w:r>
              <w:rPr>
                <w:color w:val="000000"/>
              </w:rPr>
              <w:t>Historia niezgodności na podstawie wyników poprzednich kontroli</w:t>
            </w: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B682" w14:textId="77777777" w:rsidR="002D7106" w:rsidRDefault="006E6B03">
            <w:r>
              <w:rPr>
                <w:color w:val="000000"/>
              </w:rPr>
              <w:t>Nie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D5970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486FFA2" w14:textId="77777777" w:rsidTr="00815A29">
        <w:trPr>
          <w:trHeight w:val="615"/>
        </w:trPr>
        <w:tc>
          <w:tcPr>
            <w:tcW w:w="3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FB9D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59DA9" w14:textId="77777777" w:rsidR="002D7106" w:rsidRDefault="006E6B03">
            <w:r>
              <w:rPr>
                <w:color w:val="000000"/>
              </w:rPr>
              <w:t>Tak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3E41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69EE318A" w14:textId="77777777" w:rsidTr="00815A29">
        <w:trPr>
          <w:trHeight w:val="300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9B04A" w14:textId="77777777" w:rsidR="002D7106" w:rsidRDefault="006E6B03">
            <w:r>
              <w:rPr>
                <w:color w:val="000000"/>
              </w:rPr>
              <w:lastRenderedPageBreak/>
              <w:t>Historia incydentów i skarg</w:t>
            </w: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CB078" w14:textId="77777777" w:rsidR="002D7106" w:rsidRDefault="006E6B03">
            <w:r>
              <w:rPr>
                <w:color w:val="000000"/>
              </w:rPr>
              <w:t>Nie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ABE2A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70C7C6B6" w14:textId="77777777" w:rsidTr="00815A29">
        <w:trPr>
          <w:trHeight w:val="300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64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46B1B" w14:textId="77777777" w:rsidR="002D7106" w:rsidRDefault="006E6B03">
            <w:r>
              <w:rPr>
                <w:color w:val="000000"/>
              </w:rPr>
              <w:t>Tak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8C9A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9C3D68E" w14:textId="77777777" w:rsidTr="00815A29">
        <w:trPr>
          <w:trHeight w:val="600"/>
        </w:trPr>
        <w:tc>
          <w:tcPr>
            <w:tcW w:w="3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1AFF" w14:textId="77777777" w:rsidR="002D7106" w:rsidRDefault="006E6B03">
            <w:r>
              <w:rPr>
                <w:color w:val="000000"/>
              </w:rPr>
              <w:t>Wielkość podmiotu gospodarczego związana z liczbą pracowników (roczna jednostka robocza (AWU)) lub rocznym obrotem (w mln EUR)</w:t>
            </w: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B6B40" w14:textId="77777777" w:rsidR="002D7106" w:rsidRDefault="006E6B03">
            <w:r>
              <w:rPr>
                <w:color w:val="000000"/>
              </w:rPr>
              <w:t xml:space="preserve">Bardzo małe AWU &lt; 10 pracowników i/lub obroty z poprzedniego roku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E3C15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00073648" w14:textId="77777777" w:rsidTr="00815A29">
        <w:trPr>
          <w:trHeight w:val="600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F92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1DE9" w14:textId="71E66ABF" w:rsidR="002D7106" w:rsidRDefault="006E6B03">
            <w:r>
              <w:rPr>
                <w:color w:val="000000"/>
              </w:rPr>
              <w:t xml:space="preserve">Małe 10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AWU &lt; 50 pracowników i/lub 2 &lt; obroty z poprzedniego roku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10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52F5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0252FD70" w14:textId="77777777" w:rsidTr="00815A29">
        <w:trPr>
          <w:trHeight w:val="600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214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7DD4" w14:textId="2165B8C8" w:rsidR="002D7106" w:rsidRDefault="006E6B03">
            <w:r>
              <w:rPr>
                <w:color w:val="000000"/>
              </w:rPr>
              <w:t xml:space="preserve">Średnie 50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AWU &lt; 250 pracowników i/lub 10 &lt; obroty z poprzedniego roku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50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EC81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F792232" w14:textId="77777777" w:rsidTr="00815A29">
        <w:trPr>
          <w:trHeight w:val="600"/>
        </w:trPr>
        <w:tc>
          <w:tcPr>
            <w:tcW w:w="3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CBB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20DF" w14:textId="77777777" w:rsidR="002D7106" w:rsidRDefault="006E6B03">
            <w:r>
              <w:rPr>
                <w:color w:val="000000"/>
              </w:rPr>
              <w:t>Duże AWU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250 pracowników i/lub obroty z poprzedniego roku &gt; 50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DACF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4A6D4F41" w14:textId="77777777" w:rsidTr="00815A29">
        <w:trPr>
          <w:trHeight w:val="300"/>
        </w:trPr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C0B1" w14:textId="77777777" w:rsidR="002D7106" w:rsidRDefault="006E6B03">
            <w:r>
              <w:rPr>
                <w:b/>
                <w:i/>
                <w:color w:val="000000"/>
              </w:rPr>
              <w:t>Całkowita punktacja</w:t>
            </w:r>
          </w:p>
        </w:tc>
        <w:tc>
          <w:tcPr>
            <w:tcW w:w="4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A08C3" w14:textId="77777777" w:rsidR="002D7106" w:rsidRDefault="006E6B03">
            <w:r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FF1A" w14:textId="77777777" w:rsidR="002D7106" w:rsidRDefault="006E6B03">
            <w:r>
              <w:rPr>
                <w:color w:val="000000"/>
              </w:rPr>
              <w:t> </w:t>
            </w:r>
          </w:p>
        </w:tc>
      </w:tr>
    </w:tbl>
    <w:p w14:paraId="5E863D0A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5EE08CF6" w14:textId="77777777" w:rsidR="002D7106" w:rsidRDefault="006E6B03">
      <w:pPr>
        <w:tabs>
          <w:tab w:val="left" w:pos="426"/>
        </w:tabs>
        <w:contextualSpacing/>
        <w:jc w:val="both"/>
      </w:pPr>
      <w:r>
        <w:rPr>
          <w:color w:val="000000"/>
        </w:rPr>
        <w:t>oraz określenie współczynnika nakładania grzywny (CIF) w zależności od ogólnego wyniku punktacji czynników operacyjnych zgodnie z poniższą tabelą:</w:t>
      </w:r>
    </w:p>
    <w:p w14:paraId="678C9B85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80"/>
        <w:gridCol w:w="2286"/>
        <w:gridCol w:w="2630"/>
      </w:tblGrid>
      <w:tr w:rsidR="002D7106" w14:paraId="123031EE" w14:textId="77777777">
        <w:trPr>
          <w:trHeight w:val="60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373B93" w14:textId="77777777" w:rsidR="002D7106" w:rsidRDefault="006E6B03">
            <w:r>
              <w:rPr>
                <w:b/>
                <w:color w:val="000000"/>
              </w:rPr>
              <w:t>Łączny wynik punktacji oceny kryteriów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F52C5A" w14:textId="77777777" w:rsidR="002D7106" w:rsidRDefault="006E6B03">
            <w:r>
              <w:rPr>
                <w:b/>
                <w:color w:val="000000"/>
              </w:rPr>
              <w:t>Stopień nakładania grzywny</w:t>
            </w:r>
          </w:p>
        </w:tc>
        <w:tc>
          <w:tcPr>
            <w:tcW w:w="2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34A24" w14:textId="77777777" w:rsidR="002D7106" w:rsidRDefault="006E6B03">
            <w:r>
              <w:rPr>
                <w:b/>
                <w:color w:val="000000"/>
              </w:rPr>
              <w:t>Współczynnik nakładania grzywny</w:t>
            </w:r>
          </w:p>
        </w:tc>
      </w:tr>
      <w:tr w:rsidR="002D7106" w14:paraId="58F554B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2BD6" w14:textId="77777777" w:rsidR="002D7106" w:rsidRDefault="006E6B03">
            <w:r>
              <w:rPr>
                <w:color w:val="000000"/>
              </w:rPr>
              <w:t>60-90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894F" w14:textId="77777777" w:rsidR="002D7106" w:rsidRDefault="006E6B03">
            <w:r>
              <w:rPr>
                <w:color w:val="000000"/>
              </w:rPr>
              <w:t>Wysoki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E6A00" w14:textId="77777777" w:rsidR="002D7106" w:rsidRDefault="006E6B03">
            <w:r>
              <w:rPr>
                <w:color w:val="000000"/>
              </w:rPr>
              <w:t>1</w:t>
            </w:r>
          </w:p>
        </w:tc>
      </w:tr>
      <w:tr w:rsidR="002D7106" w14:paraId="1147DE2C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00510" w14:textId="77777777" w:rsidR="002D7106" w:rsidRDefault="006E6B03">
            <w:r>
              <w:rPr>
                <w:color w:val="000000"/>
              </w:rPr>
              <w:t>30-55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F1812" w14:textId="77777777" w:rsidR="002D7106" w:rsidRDefault="006E6B03">
            <w:r>
              <w:rPr>
                <w:color w:val="000000"/>
              </w:rPr>
              <w:t>Średni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3B89" w14:textId="77777777" w:rsidR="002D7106" w:rsidRDefault="006E6B03">
            <w:r>
              <w:rPr>
                <w:color w:val="000000"/>
              </w:rPr>
              <w:t>0,7</w:t>
            </w:r>
          </w:p>
        </w:tc>
      </w:tr>
      <w:tr w:rsidR="002D7106" w14:paraId="521CA7D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0AF0" w14:textId="77777777" w:rsidR="002D7106" w:rsidRDefault="006E6B03">
            <w:r>
              <w:rPr>
                <w:color w:val="000000"/>
              </w:rPr>
              <w:t>0-25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76192" w14:textId="77777777" w:rsidR="002D7106" w:rsidRDefault="006E6B03">
            <w:r>
              <w:rPr>
                <w:color w:val="000000"/>
              </w:rPr>
              <w:t>Niski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E359" w14:textId="77777777" w:rsidR="002D7106" w:rsidRDefault="006E6B03">
            <w:r>
              <w:rPr>
                <w:color w:val="000000"/>
              </w:rPr>
              <w:t>0,4</w:t>
            </w:r>
          </w:p>
        </w:tc>
      </w:tr>
    </w:tbl>
    <w:p w14:paraId="305FF37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C0D036F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Wysokość grzywny (F) jest określana poprzez pomnożenie maksymalnej wysokości podstawowej, współczynnika ustalenia grzywny i współczynnika nakładania grzywny:</w:t>
      </w:r>
    </w:p>
    <w:p w14:paraId="4A49B149" w14:textId="77777777" w:rsidR="002D7106" w:rsidRPr="00424FBE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F= (MBP) x (CS) x (CI)</w:t>
      </w:r>
    </w:p>
    <w:p w14:paraId="0823100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W przypadku ponownego popełnienia tego samego naruszenia przez to samo przedsiębiorstwo lub niewdrożenia środków naprawczych stwierdzonych podczas inspekcji/kontroli, sprawcy podlegają karze grzywny dwukrotnie wyższej niż grzywna pierwotna.</w:t>
      </w:r>
    </w:p>
    <w:p w14:paraId="442A42C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t>Grzywny za naruszenia kategorii A i B są nakładane przez szefa departamentu chemicznego GCSL, który dokonał pobrania próbek i/lub przeprowadził inspekcję/kontrolę</w:t>
      </w:r>
      <w:r>
        <w:rPr>
          <w:color w:val="0070C0"/>
        </w:rPr>
        <w:t xml:space="preserve">. </w:t>
      </w:r>
      <w:r>
        <w:rPr>
          <w:color w:val="000000"/>
        </w:rPr>
        <w:t>Grzywny za naruszenia kategorii C są nakładane przez Dyrekcję ds. Energii, Produktów Przemysłowych i Chemicznych</w:t>
      </w:r>
      <w:bookmarkStart w:id="2" w:name="_Hlk121478472"/>
      <w:r>
        <w:t xml:space="preserve"> GCSL</w:t>
      </w:r>
      <w:bookmarkEnd w:id="2"/>
      <w:r>
        <w:t>.</w:t>
      </w:r>
    </w:p>
    <w:p w14:paraId="245046D3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6B9DC87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134DF2A6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0628859" w14:textId="77777777" w:rsidR="002D7106" w:rsidRDefault="006E6B03">
      <w:pPr>
        <w:spacing w:line="276" w:lineRule="auto"/>
        <w:jc w:val="center"/>
      </w:pPr>
      <w:r>
        <w:rPr>
          <w:color w:val="000000"/>
        </w:rPr>
        <w:t>Artykuł 4</w:t>
      </w:r>
    </w:p>
    <w:p w14:paraId="4F158118" w14:textId="77777777" w:rsidR="002D7106" w:rsidRDefault="006E6B03">
      <w:pPr>
        <w:spacing w:line="276" w:lineRule="auto"/>
        <w:jc w:val="center"/>
      </w:pPr>
      <w:r>
        <w:rPr>
          <w:color w:val="000000"/>
        </w:rPr>
        <w:t>Dodatkowe ograniczające środki administracyjne</w:t>
      </w:r>
    </w:p>
    <w:p w14:paraId="0706497E" w14:textId="77777777" w:rsidR="002D7106" w:rsidRDefault="002D7106">
      <w:pPr>
        <w:tabs>
          <w:tab w:val="left" w:pos="426"/>
        </w:tabs>
        <w:spacing w:line="276" w:lineRule="auto"/>
        <w:contextualSpacing/>
        <w:jc w:val="both"/>
        <w:rPr>
          <w:rFonts w:cs="MyriadPro-Regular"/>
          <w:color w:val="000000"/>
        </w:rPr>
      </w:pPr>
    </w:p>
    <w:p w14:paraId="173E1D19" w14:textId="77777777" w:rsidR="002D7106" w:rsidRDefault="006E6B03">
      <w:pPr>
        <w:spacing w:line="276" w:lineRule="auto"/>
        <w:jc w:val="both"/>
      </w:pPr>
      <w:r>
        <w:rPr>
          <w:color w:val="000000"/>
        </w:rPr>
        <w:t>W przypadku naruszeń przepisów art. 5, 6, 7, 8, 9, 12, 17, 18, 40, 41, 46, 56 i 67, nakłada się dodatkowy zakaz wprowadzania</w:t>
      </w:r>
      <w:r>
        <w:t xml:space="preserve"> do obrotu i nakaz wycofania z obrotu </w:t>
      </w:r>
      <w:r>
        <w:rPr>
          <w:color w:val="000000"/>
        </w:rPr>
        <w:t>z wyjątkiem szczególnych przypadków związanych z wymogami dotyczącymi etykietowania, w których nakłada się nakaz konfiskaty i wycofania z obrotu.</w:t>
      </w:r>
    </w:p>
    <w:p w14:paraId="44EF1602" w14:textId="77777777" w:rsidR="002D7106" w:rsidRDefault="006E6B03">
      <w:pPr>
        <w:spacing w:line="276" w:lineRule="auto"/>
        <w:jc w:val="both"/>
      </w:pPr>
      <w:r>
        <w:rPr>
          <w:color w:val="000000"/>
        </w:rPr>
        <w:t>W odniesieniu do powyższych środków Dyrekcja ds. Energii, Produktów Przemysłowych i Chemicznych GCSL wydaje odpowiednią decyzję.</w:t>
      </w:r>
    </w:p>
    <w:p w14:paraId="232C20F9" w14:textId="77777777" w:rsidR="002D7106" w:rsidRDefault="002D7106">
      <w:pPr>
        <w:spacing w:line="276" w:lineRule="auto"/>
        <w:jc w:val="center"/>
        <w:rPr>
          <w:rFonts w:cs="MyriadPro-Regular"/>
          <w:color w:val="000000"/>
        </w:rPr>
      </w:pPr>
    </w:p>
    <w:p w14:paraId="6EF9A68D" w14:textId="77777777" w:rsidR="002D7106" w:rsidRDefault="006E6B03">
      <w:pPr>
        <w:spacing w:line="276" w:lineRule="auto"/>
        <w:jc w:val="center"/>
      </w:pPr>
      <w:r>
        <w:rPr>
          <w:color w:val="000000"/>
        </w:rPr>
        <w:t>Artykuł 5</w:t>
      </w:r>
    </w:p>
    <w:p w14:paraId="7A7774F7" w14:textId="77777777" w:rsidR="002D7106" w:rsidRDefault="006E6B03">
      <w:pPr>
        <w:spacing w:line="276" w:lineRule="auto"/>
        <w:jc w:val="center"/>
      </w:pPr>
      <w:r>
        <w:rPr>
          <w:color w:val="000000"/>
        </w:rPr>
        <w:t>Uchylone przepisy</w:t>
      </w:r>
    </w:p>
    <w:p w14:paraId="53CF30C6" w14:textId="26BD790A" w:rsidR="002D7106" w:rsidRDefault="006E6B03">
      <w:pPr>
        <w:spacing w:line="276" w:lineRule="auto"/>
        <w:jc w:val="both"/>
      </w:pPr>
      <w:r>
        <w:rPr>
          <w:color w:val="000000"/>
        </w:rPr>
        <w:t>Z dniem opublikowania niniejszej decyzji uchyla się decyzje nr 450/2008 (Β΄ 2553) i 82/2009 (Β΄ 581).</w:t>
      </w:r>
    </w:p>
    <w:p w14:paraId="4E8EFE4F" w14:textId="77777777" w:rsidR="002D7106" w:rsidRDefault="002D7106">
      <w:pPr>
        <w:spacing w:line="276" w:lineRule="auto"/>
        <w:jc w:val="both"/>
        <w:rPr>
          <w:rFonts w:cs="Calibri"/>
          <w:color w:val="000000"/>
        </w:rPr>
      </w:pPr>
    </w:p>
    <w:p w14:paraId="5EBF097E" w14:textId="77777777" w:rsidR="002D7106" w:rsidRDefault="006E6B03" w:rsidP="00815A29">
      <w:pPr>
        <w:keepNext/>
        <w:spacing w:line="276" w:lineRule="auto"/>
        <w:jc w:val="center"/>
      </w:pPr>
      <w:r>
        <w:rPr>
          <w:color w:val="000000"/>
        </w:rPr>
        <w:lastRenderedPageBreak/>
        <w:t>Artykuł 6</w:t>
      </w:r>
    </w:p>
    <w:p w14:paraId="61DC1D15" w14:textId="77777777" w:rsidR="002D7106" w:rsidRDefault="006E6B03" w:rsidP="00815A29">
      <w:pPr>
        <w:keepNext/>
        <w:spacing w:line="276" w:lineRule="auto"/>
        <w:jc w:val="center"/>
      </w:pPr>
      <w:r>
        <w:rPr>
          <w:color w:val="000000"/>
        </w:rPr>
        <w:t>Wejście w życie</w:t>
      </w:r>
    </w:p>
    <w:p w14:paraId="5454A790" w14:textId="77777777" w:rsidR="002D7106" w:rsidRDefault="002D7106" w:rsidP="00815A29">
      <w:pPr>
        <w:keepNext/>
        <w:spacing w:line="276" w:lineRule="auto"/>
        <w:jc w:val="center"/>
        <w:rPr>
          <w:rFonts w:cs="Calibri"/>
          <w:color w:val="000000"/>
        </w:rPr>
      </w:pPr>
    </w:p>
    <w:p w14:paraId="4EAD1F98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 xml:space="preserve"> Niniejsza decyzja wchodzi w życie z dniem jej opublikowania w Dzienniku Urzędowym i ma również zastosowanie do spraw w toku, tj. spraw, w odniesieniu do których osoba odpowiedzialna nie została jeszcze powiadomiona o odpowiednim zawiadomieniu o płatności, a nowy przepis wiąże się z korzystniejszym traktowaniem w konkretnym przypadku. </w:t>
      </w:r>
    </w:p>
    <w:p w14:paraId="62A1F3B7" w14:textId="77777777" w:rsidR="002D7106" w:rsidRDefault="002D7106">
      <w:pPr>
        <w:spacing w:line="276" w:lineRule="auto"/>
        <w:jc w:val="both"/>
        <w:rPr>
          <w:rFonts w:cs="EUAlbertina-Regu"/>
          <w:color w:val="000000"/>
        </w:rPr>
      </w:pPr>
    </w:p>
    <w:p w14:paraId="7A0FAA17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Niniejsza decyzja zostaje opublikowana w Dzienniku Urzędowym.</w:t>
      </w:r>
    </w:p>
    <w:p w14:paraId="45FD22CD" w14:textId="77777777" w:rsidR="002D7106" w:rsidRDefault="002D7106">
      <w:pPr>
        <w:rPr>
          <w:rFonts w:cs="EUAlbertina-Regu"/>
          <w:color w:val="000000"/>
        </w:rPr>
      </w:pPr>
    </w:p>
    <w:p w14:paraId="1B2CE26C" w14:textId="77777777" w:rsidR="006E6B03" w:rsidRDefault="006E6B03">
      <w:pPr>
        <w:tabs>
          <w:tab w:val="left" w:pos="426"/>
        </w:tabs>
        <w:contextualSpacing/>
        <w:jc w:val="both"/>
      </w:pPr>
    </w:p>
    <w:sectPr w:rsidR="006E6B03">
      <w:pgSz w:w="11906" w:h="16838"/>
      <w:pgMar w:top="1134" w:right="1800" w:bottom="1702" w:left="180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charset w:val="A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charset w:val="A1"/>
    <w:family w:val="auto"/>
    <w:pitch w:val="variable"/>
  </w:font>
  <w:font w:name="EUAlbertina-Regu">
    <w:charset w:val="A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962920">
    <w:abstractNumId w:val="0"/>
  </w:num>
  <w:num w:numId="2" w16cid:durableId="408816960">
    <w:abstractNumId w:val="1"/>
  </w:num>
  <w:num w:numId="3" w16cid:durableId="263684058">
    <w:abstractNumId w:val="2"/>
  </w:num>
  <w:num w:numId="4" w16cid:durableId="355160664">
    <w:abstractNumId w:val="3"/>
  </w:num>
  <w:num w:numId="5" w16cid:durableId="1074621388">
    <w:abstractNumId w:val="4"/>
  </w:num>
  <w:num w:numId="6" w16cid:durableId="894244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3"/>
    <w:rsid w:val="00140528"/>
    <w:rsid w:val="002D7106"/>
    <w:rsid w:val="00301A8E"/>
    <w:rsid w:val="00424FBE"/>
    <w:rsid w:val="006E6B03"/>
    <w:rsid w:val="007145A4"/>
    <w:rsid w:val="007940D5"/>
    <w:rsid w:val="00815A29"/>
    <w:rsid w:val="00907705"/>
    <w:rsid w:val="009730FC"/>
    <w:rsid w:val="00B501F3"/>
    <w:rsid w:val="00CD7716"/>
    <w:rsid w:val="00E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265F4E"/>
  <w15:chartTrackingRefBased/>
  <w15:docId w15:val="{53B6153D-9180-4136-972E-446F9B88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pergi@aa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ima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2559</Words>
  <Characters>14588</Characters>
  <Application>Microsoft Office Word</Application>
  <DocSecurity>0</DocSecurity>
  <Lines>121</Lines>
  <Paragraphs>34</Paragraphs>
  <ScaleCrop>false</ScaleCrop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Sotiriou</dc:creator>
  <cp:keywords/>
  <cp:lastModifiedBy>Liana Brili</cp:lastModifiedBy>
  <cp:revision>14</cp:revision>
  <cp:lastPrinted>1995-11-21T15:41:00Z</cp:lastPrinted>
  <dcterms:created xsi:type="dcterms:W3CDTF">2023-03-22T05:46:00Z</dcterms:created>
  <dcterms:modified xsi:type="dcterms:W3CDTF">2023-04-05T14:20:00Z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