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 xml:space="preserve">Legislativní návrhy</w:t>
      </w:r>
      <w:bookmarkEnd w:id="0"/>
    </w:p>
    <w:p w14:paraId="08A98031" w14:textId="77777777" w:rsidR="00AA0AC6" w:rsidRDefault="00000000">
      <w:pPr>
        <w:pStyle w:val="Heading20"/>
        <w:keepNext/>
        <w:keepLines/>
      </w:pPr>
      <w:bookmarkStart w:id="1" w:name="bookmark2"/>
      <w:r>
        <w:rPr>
          <w:rStyle w:val="Heading2"/>
        </w:rPr>
        <w:t xml:space="preserve">Dodatky a pozměňovací návrhy jsou zvýrazněny kurzívou.</w:t>
      </w:r>
      <w:bookmarkEnd w:id="1"/>
    </w:p>
    <w:p w14:paraId="69A787FA" w14:textId="77777777" w:rsidR="00AA0AC6" w:rsidRDefault="00000000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 xml:space="preserve">Návrh změn zákona č. 14 ze dne 9. března 1973 o prevenci škodlivých účinků tabáku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 xml:space="preserve">§ 30.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Standardizovaný design a označování obalů a výrobků</w:t>
      </w:r>
    </w:p>
    <w:p w14:paraId="55131F6E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Je zakázáno do Norska dovážet nebo v Norsku prodávat tabákové obaly a tabákové výrobky, které nejsou standardizovaného designu v souladu s podrobnými předpisy stanovenými ministerstvem.</w:t>
      </w:r>
      <w:r>
        <w:rPr>
          <w:rStyle w:val="BodyTextChar"/>
        </w:rPr>
        <w:t xml:space="preserve"> </w:t>
      </w:r>
      <w:r>
        <w:rPr>
          <w:rStyle w:val="BodyTextChar"/>
          <w:i/>
        </w:rPr>
        <w:t xml:space="preserve">Totéž platí pro elektronické cigarety a náhradní náplně bez ohledu na obsah nikotinu.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Standardizace se může mimo jiné vztahovat na barvu, tvar, vzhled, materiál a označování, včetně používání značek, log a dalších prvků spojených se značkou.</w:t>
      </w:r>
    </w:p>
    <w:p w14:paraId="59A9A310" w14:textId="77777777" w:rsidR="00AA0AC6" w:rsidRDefault="00000000">
      <w:pPr>
        <w:pStyle w:val="BodyText"/>
        <w:spacing w:after="540"/>
        <w:ind w:firstLine="580"/>
      </w:pPr>
      <w:r>
        <w:rPr>
          <w:rStyle w:val="BodyTextChar"/>
        </w:rPr>
        <w:t xml:space="preserve">Ministerstvo může vydávat předpisy týkající se podobné standardizace označování a designu obalů pro příslušenství pro kuřáky a tabákové náhražky a stanovit výjimky pro konkrétní kategorie výrobků.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Ministerstvo může v nařízeních omezit, jaký druh maloobchodních prodejen je oprávněn prodávat výrobky, které jsou vyňaty z požadavku na standardizaci.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 xml:space="preserve">§ 30a.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Zdravotní varování a prezentování výrobků</w:t>
      </w:r>
    </w:p>
    <w:p w14:paraId="776E89D9" w14:textId="652A9ACA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Je zakázáno do Norska dovážet nebo v Norsku prodávat tabákové výrobky, elektronické cigarety a náhradní náplně, jakož i rostlinné výrobky určené ke kouření, které nejsou označeny zdravotními varováními.</w:t>
      </w:r>
    </w:p>
    <w:p w14:paraId="66AB4B62" w14:textId="77777777" w:rsidR="00AA0AC6" w:rsidRDefault="00000000">
      <w:pPr>
        <w:pStyle w:val="BodyText"/>
        <w:spacing w:line="240" w:lineRule="auto"/>
        <w:ind w:firstLine="500"/>
      </w:pPr>
      <w:r>
        <w:rPr>
          <w:rStyle w:val="BodyTextChar"/>
        </w:rPr>
        <w:t xml:space="preserve">[Je zakázáno do Norska dovážet nebo v Norsku prodávat tabákové výrobky, bylinné výrobky určené ke kouření, elektronické cigarety a náhradní náplně označené jakýmkoli prvkem nebo znakem, včetně textů, názvů, ochranných známek, symbolů, obrazových nebo jiných značek, který:</w:t>
      </w:r>
    </w:p>
    <w:p w14:paraId="5477CAB0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propaguje tabákový výrobek nebo navádí k jeho konzumaci vyvoláním mylného dojmu, pokud jde o jeho vlastnosti, zdravotní vlivy, rizika nebo emise;</w:t>
      </w:r>
    </w:p>
    <w:p w14:paraId="12A7A4D9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obsahuje jakékoli informace o obsahu nikotinu, dehtu nebo oxidu uhelnatého v tabákovém výrobku;</w:t>
      </w:r>
    </w:p>
    <w:p w14:paraId="446BC351" w14:textId="77777777" w:rsidR="00AA0AC6" w:rsidRDefault="00000000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naznačuje, že určitý výrobek je méně škodlivý než jiné nebo má vitalizační, energizující, léčivé, omlazující, přírodní vlastnosti nebo vlastnosti produktu ekologického zemědělství nebo má jiné přínosy pro zdraví nebo životní styl;</w:t>
      </w:r>
    </w:p>
    <w:p w14:paraId="7530D3E3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odkazuje na chuť, vůni nebo příchuť či jiné přísady nebo na jejich absenci;</w:t>
      </w:r>
    </w:p>
    <w:p w14:paraId="6D3DA705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 xml:space="preserve">podobá se potravinářskému nebo kosmetickému přípravku;</w:t>
      </w:r>
    </w:p>
    <w:p w14:paraId="713D58E2" w14:textId="77777777" w:rsidR="00AA0AC6" w:rsidRDefault="00000000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 xml:space="preserve">naznačuje, že určitý tabákový výrobek má environmentální nebo finanční výhody.</w:t>
      </w:r>
    </w:p>
    <w:p w14:paraId="5987CFDC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Ustanovení 1. </w:t>
      </w:r>
      <w:r>
        <w:rPr>
          <w:rStyle w:val="BodyTextChar"/>
          <w:strike/>
        </w:rPr>
        <w:t xml:space="preserve">a 2.</w:t>
      </w:r>
      <w:r>
        <w:rPr>
          <w:rStyle w:val="BodyTextChar"/>
        </w:rPr>
        <w:t xml:space="preserve"> odstavce se nevztahují na jednorázové elektronické cigarety bez nikotinu a náhradní náplně bez nikotinu.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Zákaz informací o obsahu nikotinu ve 2. odstavci písm. b </w:t>
      </w:r>
      <w:r>
        <w:rPr>
          <w:rStyle w:val="BodyTextChar"/>
          <w:strike/>
        </w:rPr>
        <w:t xml:space="preserve">a o</w:t>
      </w:r>
      <w:r>
        <w:rPr>
          <w:rStyle w:val="BodyTextChar"/>
        </w:rPr>
        <w:t xml:space="preserve">d</w:t>
      </w:r>
      <w:r>
        <w:rPr>
          <w:rStyle w:val="BodyTextChar"/>
          <w:strike/>
        </w:rPr>
        <w:t xml:space="preserve">k</w:t>
      </w:r>
      <w:r>
        <w:rPr>
          <w:rStyle w:val="BodyTextChar"/>
        </w:rPr>
        <w:t xml:space="preserve">a</w:t>
      </w:r>
      <w:r>
        <w:rPr>
          <w:rStyle w:val="BodyTextChar"/>
          <w:strike/>
        </w:rPr>
        <w:t xml:space="preserve">z</w:t>
      </w:r>
      <w:r>
        <w:rPr>
          <w:rStyle w:val="BodyTextChar"/>
        </w:rPr>
        <w:t xml:space="preserve">  </w:t>
      </w:r>
      <w:r>
        <w:rPr>
          <w:rStyle w:val="BodyTextChar"/>
          <w:strike/>
        </w:rPr>
        <w:t xml:space="preserve">na aromatizační látky v písm. d</w:t>
      </w:r>
      <w:r>
        <w:rPr>
          <w:rStyle w:val="BodyTextChar"/>
          <w:i/>
        </w:rPr>
        <w:t xml:space="preserve"> se nevztahuje</w:t>
      </w:r>
      <w:r>
        <w:rPr>
          <w:rStyle w:val="BodyTextChar"/>
        </w:rPr>
        <w:t xml:space="preserve"> na elektronické cigarety a náhradní náplně.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2. odstavec písm. d a písm. f se nevztahují na bylinné výrobky určené ke kouření, nicméně není dovoleno uvádět, že výrobek neobsahuje přísady nebo aromatizační látky.</w:t>
      </w:r>
    </w:p>
    <w:p w14:paraId="4A3E0B34" w14:textId="77777777" w:rsidR="00AA0AC6" w:rsidRDefault="00000000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Ministerstvo může v nařízeních stanovit doplňující ustanovení k provedení požadavků 1. a 2. odstavce a uplatnit výjimky z nich.</w:t>
      </w:r>
    </w:p>
    <w:p w14:paraId="4940B364" w14:textId="77777777" w:rsidR="00AA0AC6" w:rsidRDefault="00000000" w:rsidP="001F37DB">
      <w:pPr>
        <w:pStyle w:val="BodyText"/>
        <w:keepNext/>
        <w:spacing w:after="140"/>
        <w:ind w:firstLine="0"/>
      </w:pPr>
      <w:r>
        <w:rPr>
          <w:rStyle w:val="BodyTextChar"/>
        </w:rPr>
        <w:t xml:space="preserve">Nový § 32 a. Zákaz charakteristických příchutí v elektronických cigaretách atd.</w:t>
      </w:r>
    </w:p>
    <w:p w14:paraId="522ED393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Je zakázáno do Norska dovážet nebo v Norsku prodávat elektronické cigarety a náhradní náplně, bez ohledu na obsah nikotinu, s charakteristickou příchutí.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Totéž platí pro samostatné náplně s aromatickými přísadami pro použití v elektronických cigaretách.</w:t>
      </w:r>
    </w:p>
    <w:p w14:paraId="69779CD8" w14:textId="77777777" w:rsidR="00AA0AC6" w:rsidRDefault="00000000">
      <w:pPr>
        <w:pStyle w:val="BodyText"/>
        <w:ind w:firstLine="580"/>
      </w:pPr>
      <w:r>
        <w:rPr>
          <w:rStyle w:val="BodyTextChar"/>
          <w:i/>
        </w:rPr>
        <w:t xml:space="preserve">Zákaz uvedený v 1. pododstavci se vztahuje rovněž na zařízení a součásti používané v souvislosti s elektronickými cigaretami, které umožňují změnu chuti nebo vůně výrobků.</w:t>
      </w:r>
    </w:p>
    <w:p w14:paraId="2CC900A2" w14:textId="77777777" w:rsidR="00AA0AC6" w:rsidRDefault="00000000">
      <w:pPr>
        <w:pStyle w:val="BodyText"/>
        <w:spacing w:after="420"/>
        <w:ind w:firstLine="580"/>
      </w:pPr>
      <w:r>
        <w:rPr>
          <w:rStyle w:val="BodyTextChar"/>
          <w:i/>
        </w:rPr>
        <w:t xml:space="preserve">Ministerstvo může přijmout doplňující předpisy týkající se zákazů uvedených v 1. a 2. odstavci, stanovit výjimky, stanovit maximální limity přídatných látek nebo kombinací přídatných látek, které určují charakteristickou příchuť, a stanovit poplatky pokrývající provádění a kontrolu zákazů orgány veřejné správy.</w:t>
      </w:r>
      <w:r>
        <w:rPr>
          <w:rStyle w:val="BodyTextChar"/>
          <w:i/>
        </w:rPr>
        <w:t xml:space="preserve"> </w:t>
      </w:r>
      <w:r>
        <w:rPr>
          <w:rStyle w:val="BodyTextChar"/>
          <w:i/>
        </w:rPr>
        <w:t xml:space="preserve">Ministerstvo může rovněž v nařízeních přijmout seznam přídatných látek určujících chuť, které mohou být použity jako přísady v elektronických cigaretách a náhradních náplních.</w:t>
      </w:r>
    </w:p>
    <w:p w14:paraId="362A0B7D" w14:textId="77777777" w:rsidR="00AA0AC6" w:rsidRDefault="00000000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 xml:space="preserve">Návrh změn nařízení č. 141 ze dne 6. února 2003 o obsahu, označování a designu tabákových výrobků atd.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 xml:space="preserve">§ 31.</w:t>
      </w:r>
      <w:r>
        <w:rPr>
          <w:rStyle w:val="BodyTextChar"/>
        </w:rPr>
        <w:t xml:space="preserve"> </w:t>
      </w:r>
      <w:r>
        <w:rPr>
          <w:rStyle w:val="BodyTextChar"/>
        </w:rPr>
        <w:t xml:space="preserve">Minimální velikost a hmotnost tabákových výrobků</w:t>
      </w:r>
    </w:p>
    <w:p w14:paraId="6842D5C9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Jednotlivé balení určené k prodeji spotřebitelům obsahující</w:t>
      </w:r>
    </w:p>
    <w:p w14:paraId="67107DAC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 xml:space="preserve">cigarety musí obsahovat nejméně 20 cigaret;</w:t>
      </w:r>
    </w:p>
    <w:p w14:paraId="7EB220C6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 xml:space="preserve">tabák k ručnímu balení cigaret musí obsahovat nejméně 30 gramů;</w:t>
      </w:r>
    </w:p>
    <w:p w14:paraId="12A03E59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 xml:space="preserve">porce tabáku pro orální užití musí obsahovat nejméně 20 porcí a 15 gramů;</w:t>
      </w:r>
    </w:p>
    <w:p w14:paraId="28849DE5" w14:textId="77777777" w:rsidR="00AA0AC6" w:rsidRDefault="00000000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 xml:space="preserve">volný tabák pro orální užití (tzv. snus) musí obsahovat nejméně 30 gramů.</w:t>
      </w:r>
    </w:p>
    <w:p w14:paraId="02AA3190" w14:textId="77777777" w:rsidR="00AA0AC6" w:rsidRDefault="00000000">
      <w:pPr>
        <w:pStyle w:val="BodyText"/>
        <w:ind w:firstLine="580"/>
      </w:pPr>
      <w:r>
        <w:rPr>
          <w:rStyle w:val="BodyTextChar"/>
        </w:rPr>
        <w:t xml:space="preserve">Tato jednotlivá balení nesmí obsahovat menší balení a nesmí být dělitelná na menší balení.</w:t>
      </w:r>
    </w:p>
    <w:p w14:paraId="563C0CD8" w14:textId="77777777" w:rsidR="00AA0AC6" w:rsidRDefault="00000000">
      <w:pPr>
        <w:pStyle w:val="BodyText"/>
        <w:spacing w:after="80"/>
        <w:ind w:firstLine="580"/>
      </w:pPr>
      <w:r>
        <w:rPr>
          <w:rStyle w:val="BodyTextChar"/>
        </w:rPr>
        <w:t xml:space="preserve">Doutníky mohou být prodávány jednotlivě se zdravotním varováním na obalu.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000000">
    <w:pPr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000000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2</cp:revision>
  <dcterms:created xsi:type="dcterms:W3CDTF">2023-01-30T12:45:00Z</dcterms:created>
  <dcterms:modified xsi:type="dcterms:W3CDTF">2023-01-30T12:49:00Z</dcterms:modified>
</cp:coreProperties>
</file>