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HOSPODÁŘSTVÍ A NÁMOŘNÍ ZÁLEŽITOSTI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Úřad státního tajemníka pro hospodářství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Nařízení č. 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Shrnutí: Nařízení, kterým se stanoví nařízení o zákonné metrologické kontrole opacimetrů.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Metrologická kontrola metod měření a přístrojů v Portugalsku je v souladu s obecným režimem schváleným nařízením s mocí zákona č. 29/2022 ze dne 7. dubna, obecnými právními ustanoveními obecného nařízení o metrologické kontrole schváleným nařízením č. 211/2022 ze dne 23. srpna, jakož i ustanoveními obsaženými ve zvláštních nařízeních každého měřicího přístroje.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S ohledem na zveřejnění tohoto právního postavení je nezbytné přijmout zvláštní nařízení, které musí splňovat metrologická kontrola opacimetrů a kterým se zrušuje nařízení č. 797/2009 ze dne 1. prosince.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Na toto nařízení se vztahuje informační postup v oblasti technických předpisů a předpisů pro služby informační společnosti stanovený ve směrnici Evropského parlamentu a Rady (EU) 2015/1535 ze dne 9. září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Z tohoto důvodu: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Podle čl. 2 písm. a) a čl. 25 odst. 1 nařízení s mocí zákona č. 29/2022 ze dne 7. dubna ve spojení s ustanoveními čl. 1 odst. 4 nařízení připojeného k nařízení č. 211/2022 ze dne 23. srpna, vláda, prostřednictvím státního tajemníka pro hospodářství, nařizuje následující: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Článek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Předmět</w:t>
      </w:r>
    </w:p>
    <w:p w14:paraId="02F0580C" w14:textId="4858DA5D" w:rsidR="00572E2D" w:rsidRDefault="00503EE6" w:rsidP="00501FB0">
      <w:pPr>
        <w:spacing w:after="12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Tímto se schvaluje nařízení o zákonné metrologické kontrole opacimetrů připojené k tomuto nařízení, která tvoří jeho nedílnou součást.</w:t>
      </w:r>
    </w:p>
    <w:p w14:paraId="3E8E735E" w14:textId="77777777" w:rsidR="00247FE2" w:rsidRPr="003D5AFB" w:rsidRDefault="00247FE2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Článek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Ustanovení o zrušení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Nařízení č. 797/2009 ze dne 1. prosince se tímto zrušuje.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Vstup v platnost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Toto nařízení vstupuje v platnost prvním dnem po jeho zveřejnění.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xx xxxxxx 2023. – Státní tajemník pro hospodářství,</w:t>
      </w:r>
      <w:r>
        <w:rPr>
          <w:rFonts w:ascii="Garamond" w:hAnsi="Garamond"/>
          <w:i/>
          <w:sz w:val="24"/>
        </w:rPr>
        <w:t xml:space="preserve"> 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PŘÍLOHA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NAŘÍZENÍ O ZÁKONNÉ METROLOGICKÉ KONTROLE OPACIMETRŮ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Oblast působnosti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Toto nařízení se vztahuje na opacimetry určené k měření opacity emisí výfukových plynů z vozidel s dieselovým pohonem.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Definice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Pro účely tohoto nařízení se opacimetry rozumí přístroje konstruované pro kontinuální měření opacity výfukových plynů vypouštěných vozidly.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Článek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Uvedení do provozu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Opacimetry musí splňovat metrologické a technické požadavky vymezené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v </w:t>
      </w:r>
      <w:bookmarkEnd w:id="2"/>
      <w:bookmarkEnd w:id="3"/>
      <w:r>
        <w:rPr>
          <w:rFonts w:ascii="Garamond" w:hAnsi="Garamond"/>
          <w:sz w:val="24"/>
        </w:rPr>
        <w:t>normě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Údaje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Údaje opacimetrů se vyjádří pomocí koeficientu světelné absorpce, představovaného symbolem k, a v jednotce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Hodnoty opacity jsou procentuálními hodnotami a jsou vyjádřeny symbolem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Je-li přepočítací koeficient řádně vyjádřen, mohou být přijaty jiné ekvivalentní jednotky na základě jednotek Mezinárodní soustavy jednotek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Zákonná metrologická kontrola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 xml:space="preserve">Za zákonnou metrologickou kontrolu </w:t>
      </w:r>
      <w:bookmarkStart w:id="4" w:name="_Hlk106875133"/>
      <w:r>
        <w:rPr>
          <w:rFonts w:ascii="Garamond" w:hAnsi="Garamond"/>
          <w:sz w:val="24"/>
        </w:rPr>
        <w:t xml:space="preserve">opacimetrů </w:t>
      </w:r>
      <w:bookmarkEnd w:id="4"/>
      <w:r>
        <w:rPr>
          <w:rFonts w:ascii="Garamond" w:hAnsi="Garamond"/>
          <w:sz w:val="24"/>
        </w:rPr>
        <w:t>odpovídá Portugalský institut kvality I. P. (IPQ, I. P.) a zahrnuje činnosti schvalování modelu, prvního ověření, pravidelného ověřování a mimořádného ověření.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Schválení modelu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Schválení modelu musí splňovat požadavky stanovené v článku 7 nařízení s mocí zákona č. 29/2022 ze dne 7. dubna a článku 2 nařízení připojeného k nařízení č. 211/2022 ze dne 23. srpna.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Pokud během doby platnosti schválení modelu dojde k jakýmkoli nebo veškerým změnám schváleného modelu provedeným výměnou součástí, přidáním doplňkového zařízení, změnou instalovaného počítačového programu </w:t>
      </w:r>
      <w:r>
        <w:rPr>
          <w:rFonts w:ascii="Garamond" w:hAnsi="Garamond"/>
          <w:i/>
          <w:iCs/>
          <w:sz w:val="24"/>
        </w:rPr>
        <w:t>(softwaru)</w:t>
      </w:r>
      <w:r>
        <w:rPr>
          <w:rFonts w:ascii="Garamond" w:hAnsi="Garamond"/>
          <w:sz w:val="24"/>
        </w:rPr>
        <w:t xml:space="preserve"> nebo jeho úpravami, které mohou ovlivnit výsledky měření nebo regulační podmínky použití, vyžaduje se dodatečné schválení modelu.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</w:t>
      </w:r>
      <w:r>
        <w:rPr>
          <w:rFonts w:ascii="Garamond" w:hAnsi="Garamond"/>
          <w:sz w:val="24"/>
        </w:rPr>
        <w:t xml:space="preserve">Počítačové programy používané </w:t>
      </w:r>
      <w:bookmarkStart w:id="5" w:name="_Hlk126936097"/>
      <w:r>
        <w:rPr>
          <w:rFonts w:ascii="Garamond" w:hAnsi="Garamond"/>
          <w:sz w:val="24"/>
        </w:rPr>
        <w:t>opacimetry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musí zajišťovat integritu a důvěrnost získaných a předložených údajů a musí rovněž podléhat jedinečné a jednoznačné identifikaci.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První ověření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První ověření se provede před uvedením přístroje na trh nebo po jeho opravě a kdykoli dojde k porušení systému zaplombování, bez pravidelného ověřování v daném roce, se stejnou dobou platnosti.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První ověřovací zkoušky se provádějí v souladu s metrologickými a technickými požadavky stanovenými v článku 3 tohoto nařízení.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Hodnoty maximálních přípustných chyb pro první ověření se rovnají ±2 % opacity,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Pravidelné ověřování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Pravidelné ověřování je prováděno s roční četností a je platné po dobu jednoho roku od jeho dokončení.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(2) Pravidelné ověřovací zkoušky musí být stejné jako zkoušky stanovené pro první ověření.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Hodnoty maximálních přípustných chyb při pravidelném ověřování se rovnají hodnotám maximálních přípustných chyb stanovených při prvním ověření.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Mimořádné ověření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Mimořádné ověření zahrnuje pravidelné ověřovací zkoušky.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Při mimořádném ověření se hodnoty maximálních přípustných chyb rovnají hodnotám maximálních přípustných chyb stanovených v případě pravidelného ověřování.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Nápisy a označení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Na opacimetrech musí být viditelně a čitelně uvedeny nápisy a označení v souladu s metrologickými požadavky stanovenými v článku 3 tohoto nařízení.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Opacimetry musí být rovněž opatřeny symbolem schválení typu a ostatními symboly nebo odkazy, které jsou užitečné pro jejich použití.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Článek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Přechodné ustanovení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Přístroje, které jsou používány, mohou zůstat v provozu, pokud jsou v dobrém stavu a pokud se při metrologických ověřovacích zkouškách vyskytnou chyby, které nepřekračují maximální přípustné chyby.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Článek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Závěrečné ustanovení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Ustanovení předchozích článků nebrání uvádění na trh nebo dalšímu používání opacimetrů, k nimž jsou přiložena osvědčení o posouzení shody vydaná orgány uznanými podle platných právních předpisů Evropské unie v rámci zákonné metrologické činnosti, na základě </w:t>
      </w:r>
      <w:r>
        <w:rPr>
          <w:rFonts w:ascii="Garamond" w:hAnsi="Garamond"/>
          <w:sz w:val="24"/>
        </w:rPr>
        <w:lastRenderedPageBreak/>
        <w:t>specifikací a postupů zajišťujících metrologickou jakost, jak je uvedeno v tomto nařízení, přičemž rovnocennost posuzuje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47FE2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Dimitris Dimitriadis</cp:lastModifiedBy>
  <cp:revision>4</cp:revision>
  <dcterms:created xsi:type="dcterms:W3CDTF">2023-04-03T15:23:00Z</dcterms:created>
  <dcterms:modified xsi:type="dcterms:W3CDTF">2023-04-20T06:47:00Z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