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ΟΙΚΟΝΟΜΊΑ ΚΑΙ ΝΑΥΤΙΛΙΑ</w:t>
      </w:r>
    </w:p>
    <w:p w14:paraId="4BE6550D" w14:textId="77777777"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Γραφείο υπουργού Οικονομίας</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Διάταγμα αριθ.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bCs/>
          <w:sz w:val="24"/>
          <w:szCs w:val="24"/>
          <w:rFonts w:ascii="Garamond" w:eastAsia="Times New Roman" w:hAnsi="Garamond" w:cs="Times New Roman"/>
        </w:rPr>
      </w:pPr>
      <w:r>
        <w:rPr>
          <w:sz w:val="24"/>
          <w:rFonts w:ascii="Garamond" w:hAnsi="Garamond"/>
        </w:rPr>
        <w:t xml:space="preserve">Περίληψη:</w:t>
      </w:r>
      <w:r>
        <w:rPr>
          <w:sz w:val="24"/>
          <w:rFonts w:ascii="Garamond" w:hAnsi="Garamond"/>
        </w:rPr>
        <w:t xml:space="preserve"> </w:t>
      </w:r>
      <w:r>
        <w:rPr>
          <w:sz w:val="24"/>
          <w:rFonts w:ascii="Garamond" w:hAnsi="Garamond"/>
        </w:rPr>
        <w:t xml:space="preserve">Διάταγμα για τη θέσπιση κανονισμού για τον νόμιμο μετρολογικό έλεγχο των νεφελόμετρων</w:t>
      </w:r>
    </w:p>
    <w:p w14:paraId="4AE88BD5" w14:textId="0D92811E" w:rsidR="00501FB0" w:rsidRDefault="00752C59" w:rsidP="00501FB0">
      <w:pPr>
        <w:spacing w:after="120" w:line="360" w:lineRule="auto"/>
        <w:jc w:val="both"/>
        <w:rPr>
          <w:sz w:val="24"/>
          <w:szCs w:val="24"/>
          <w:rFonts w:ascii="Garamond" w:hAnsi="Garamond" w:cs="Arial"/>
        </w:rPr>
      </w:pPr>
      <w:r>
        <w:rPr>
          <w:sz w:val="24"/>
          <w:rFonts w:ascii="Garamond" w:hAnsi="Garamond"/>
        </w:rPr>
        <w:t xml:space="preserve">Ο μετρολογικός έλεγχος των μεθόδων και οργάνων μετρήσεων στην Πορτογαλία είναι σύμφωνος με το γενικό καθεστώς που εγκρίθηκε με το νομοθετικό διάταγμα αριθ. 29/2022 της 7ης Απριλίου, τις γενικές κανονιστικές διατάξεις που προβλέπονται στον γενικό κανονισμό για τον μετρολογικό έλεγχο που εγκρίθηκε με το διάταγμα αριθ. 211/2022 της 23ης Αυγούστου, καθώς και τις διατάξεις που περιέχονται στα ειδικά διατάγματα κάθε οργάνου μετρήσεων.</w:t>
      </w:r>
    </w:p>
    <w:p w14:paraId="0689E6B7" w14:textId="3B86FDFE" w:rsidR="00CB623B" w:rsidRDefault="00CB623B" w:rsidP="00B86C46">
      <w:pPr>
        <w:shd w:val="clear" w:color="auto" w:fill="FFFFFF" w:themeFill="background1"/>
        <w:spacing w:after="120" w:line="360" w:lineRule="auto"/>
        <w:jc w:val="both"/>
        <w:rPr>
          <w:sz w:val="24"/>
          <w:szCs w:val="24"/>
          <w:rFonts w:ascii="Garamond" w:hAnsi="Garamond" w:cs="Arial"/>
        </w:rPr>
      </w:pPr>
      <w:bookmarkStart w:id="0" w:name="_Hlk66124405"/>
      <w:r>
        <w:rPr>
          <w:sz w:val="24"/>
          <w:rFonts w:ascii="Garamond" w:hAnsi="Garamond"/>
        </w:rPr>
        <w:t xml:space="preserve">Ενόψει της δημοσίευσης αυτής της νομικής θέσης, καθίσταται αναγκαίο να εκδοθεί ο ειδικός κανονισμός τον οποίο πρέπει να τηρεί ο μετρολογικός έλεγχος των νεφελόμετρων, ο οποίος καταργεί το διάταγμα αριθ. 797/2009 της 1ης Δεκεμβρίου.</w:t>
      </w:r>
    </w:p>
    <w:p w14:paraId="44CADCEE" w14:textId="5BD42CB3" w:rsidR="00473279" w:rsidRPr="00B86C46" w:rsidRDefault="00473279" w:rsidP="00B86C46">
      <w:pPr>
        <w:shd w:val="clear" w:color="auto" w:fill="FFFFFF" w:themeFill="background1"/>
        <w:spacing w:after="120" w:line="360" w:lineRule="auto"/>
        <w:jc w:val="both"/>
        <w:rPr>
          <w:bCs/>
          <w:sz w:val="24"/>
          <w:szCs w:val="24"/>
          <w:rFonts w:ascii="Garamond" w:eastAsia="Times New Roman" w:hAnsi="Garamond" w:cs="Times New Roman"/>
        </w:rPr>
      </w:pPr>
      <w:r>
        <w:rPr>
          <w:sz w:val="24"/>
          <w:rFonts w:ascii="Garamond" w:hAnsi="Garamond"/>
        </w:rPr>
        <w:t xml:space="preserve">Το παρόν διάταγμα υπόκειται στη διαδικασία πληροφόρησης στον τομέα των τεχνικών προδιαγραφών και των κανόνων σχετικά με τις υπηρεσίες της κοινωνίας των πληροφοριών που προβλέπεται στην οδηγία (ΕΕ) 2015/1535 του Ευρωπαϊκού Κοινοβουλίου και του Συμβουλίου, της 9ης Σεπτεμβρίου 2015.</w:t>
      </w:r>
    </w:p>
    <w:bookmarkEnd w:id="0"/>
    <w:p w14:paraId="03472A57" w14:textId="157F5F06" w:rsidR="00752C59" w:rsidRPr="003D5AFB" w:rsidRDefault="001E2713" w:rsidP="000E7B45">
      <w:pPr>
        <w:spacing w:after="120" w:line="360" w:lineRule="auto"/>
        <w:jc w:val="both"/>
        <w:rPr>
          <w:sz w:val="24"/>
          <w:szCs w:val="24"/>
          <w:rFonts w:ascii="Garamond" w:hAnsi="Garamond" w:cs="Arial"/>
        </w:rPr>
      </w:pPr>
      <w:r>
        <w:rPr>
          <w:sz w:val="24"/>
          <w:rFonts w:ascii="Garamond" w:hAnsi="Garamond"/>
        </w:rPr>
        <w:t xml:space="preserve">Ως εκ τούτου:</w:t>
      </w:r>
    </w:p>
    <w:p w14:paraId="675622A4" w14:textId="215B8811" w:rsidR="00CB623B" w:rsidRPr="00CA3DB1" w:rsidRDefault="00CB623B" w:rsidP="00CB623B">
      <w:pPr>
        <w:spacing w:after="120" w:line="360" w:lineRule="auto"/>
        <w:jc w:val="both"/>
        <w:rPr>
          <w:sz w:val="24"/>
          <w:szCs w:val="24"/>
          <w:rFonts w:ascii="Garamond" w:hAnsi="Garamond" w:cs="Arial"/>
        </w:rPr>
      </w:pPr>
      <w:r>
        <w:rPr>
          <w:sz w:val="24"/>
          <w:rFonts w:ascii="Garamond" w:hAnsi="Garamond"/>
        </w:rPr>
        <w:t xml:space="preserve">Σύμφωνα με το άρθρο 2 στοιχείο α) και το άρθρο 25 παράγραφος 1 του νομοθετικού διατάγματος 29/2022, της 7ης Απριλίου, σε συνδυασμό με τις διατάξεις του άρθρου 1 παράγραφος 4 του κανονισμού που προσαρτάται στο διάταγμα αριθ. 211/2022 της 23ης Αυγούστου, η κυβέρνηση, δια του υπουργού Οικονομίας, θεσπίζει τα εξής:</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b/>
          <w:bCs/>
          <w:sz w:val="24"/>
          <w:szCs w:val="24"/>
          <w:rFonts w:ascii="Garamond" w:hAnsi="Garamond" w:cs="Arial"/>
        </w:rPr>
      </w:pPr>
      <w:r>
        <w:rPr>
          <w:sz w:val="24"/>
          <w:rFonts w:ascii="Garamond" w:hAnsi="Garamond"/>
        </w:rPr>
        <w:t xml:space="preserve">Άρθρο 1</w:t>
      </w:r>
    </w:p>
    <w:p w14:paraId="1BA6C310"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Αντικείμενο</w:t>
      </w:r>
    </w:p>
    <w:p w14:paraId="02F0580C" w14:textId="4858DA5D" w:rsidR="00572E2D"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Εγκρίνεται ο κανονισμός για τον νόμιμο μετρολογικό έλεγχο των νεφελόμετρων, ο οποίος προσαρτάται στο παρόν διάταγμα, του οποίου αποτελεί αναπόσπαστο μέρος.</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Άρθρο 2</w:t>
      </w:r>
    </w:p>
    <w:p w14:paraId="209921D8"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Καταργητική ρήτρα</w:t>
      </w:r>
    </w:p>
    <w:p w14:paraId="2DB40EAF" w14:textId="1318F5B8" w:rsidR="00503EE6"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Το διάταγμα αριθ. 797/2009 της 1ης Δεκεμβρίου καταργείται.</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Άρθρο 3</w:t>
      </w:r>
    </w:p>
    <w:p w14:paraId="05D48045"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Έναρξη ισχύος</w:t>
      </w:r>
    </w:p>
    <w:p w14:paraId="06329FD8" w14:textId="0217627E" w:rsidR="000D5C89" w:rsidRPr="000E7B45" w:rsidRDefault="000D5C89" w:rsidP="000D5C89">
      <w:pPr>
        <w:spacing w:after="120" w:line="360" w:lineRule="auto"/>
        <w:jc w:val="both"/>
        <w:rPr>
          <w:sz w:val="24"/>
          <w:szCs w:val="24"/>
          <w:rFonts w:ascii="Garamond" w:hAnsi="Garamond" w:cs="Arial"/>
        </w:rPr>
      </w:pPr>
      <w:r>
        <w:rPr>
          <w:sz w:val="24"/>
          <w:rFonts w:ascii="Garamond" w:hAnsi="Garamond"/>
        </w:rPr>
        <w:t xml:space="preserve">Το παρόν διάταγμα αρχίζει να ισχύει την επομένη της δημοσίευσής του.</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sz w:val="24"/>
          <w:szCs w:val="24"/>
          <w:rFonts w:ascii="Garamond" w:hAnsi="Garamond" w:cs="Arial"/>
        </w:rPr>
      </w:pPr>
      <w:r>
        <w:rPr>
          <w:sz w:val="24"/>
          <w:rFonts w:ascii="Garamond" w:hAnsi="Garamond"/>
        </w:rPr>
        <w:t xml:space="preserve">xx xxxxxx 2023.</w:t>
      </w:r>
      <w:r>
        <w:rPr>
          <w:sz w:val="24"/>
          <w:rFonts w:ascii="Garamond" w:hAnsi="Garamond"/>
        </w:rPr>
        <w:t xml:space="preserve"> </w:t>
      </w:r>
      <w:r>
        <w:rPr>
          <w:sz w:val="24"/>
          <w:rFonts w:ascii="Garamond" w:hAnsi="Garamond"/>
        </w:rPr>
        <w:t xml:space="preserve">–</w:t>
      </w:r>
      <w:r>
        <w:rPr>
          <w:sz w:val="24"/>
          <w:rFonts w:ascii="Garamond" w:hAnsi="Garamond"/>
        </w:rPr>
        <w:t xml:space="preserve"> </w:t>
      </w:r>
      <w:r>
        <w:rPr>
          <w:sz w:val="24"/>
          <w:rFonts w:ascii="Garamond" w:hAnsi="Garamond"/>
        </w:rPr>
        <w:t xml:space="preserve">Ο υπουργός Οικονομίας, </w:t>
      </w:r>
      <w:r>
        <w:rPr>
          <w:sz w:val="24"/>
          <w:i/>
          <w:rFonts w:ascii="Garamond" w:hAnsi="Garamond"/>
        </w:rPr>
        <w:t xml:space="preserve">Pedro Cilínio</w:t>
      </w:r>
      <w:r>
        <w:rPr>
          <w:sz w:val="24"/>
          <w:rFonts w:ascii="Garamond" w:hAnsi="Garamond"/>
        </w:rPr>
        <w:t xml:space="preserve">.</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sz w:val="24"/>
          <w:szCs w:val="24"/>
          <w:rFonts w:ascii="Garamond" w:hAnsi="Garamond" w:cs="Arial"/>
        </w:rPr>
      </w:pPr>
      <w:r>
        <w:br w:type="page"/>
      </w:r>
    </w:p>
    <w:p w14:paraId="67F457C7" w14:textId="010A1BD5" w:rsidR="00503EE6" w:rsidRPr="003D5AFB" w:rsidRDefault="00503EE6" w:rsidP="00BF69F3">
      <w:pPr>
        <w:spacing w:after="120" w:line="360" w:lineRule="auto"/>
        <w:jc w:val="center"/>
        <w:rPr>
          <w:sz w:val="24"/>
          <w:szCs w:val="24"/>
          <w:rFonts w:ascii="Garamond" w:hAnsi="Garamond" w:cs="Arial"/>
        </w:rPr>
      </w:pPr>
      <w:r>
        <w:rPr>
          <w:sz w:val="24"/>
          <w:rFonts w:ascii="Garamond" w:hAnsi="Garamond"/>
        </w:rPr>
        <w:t xml:space="preserve">ΠΑΡΑΡΤΗΜΑ</w:t>
      </w:r>
    </w:p>
    <w:p w14:paraId="7BBDD6D4" w14:textId="792EC905" w:rsidR="00B55531" w:rsidRPr="003D5AFB" w:rsidRDefault="00B55531" w:rsidP="000E7B45">
      <w:pPr>
        <w:spacing w:after="120" w:line="360" w:lineRule="auto"/>
        <w:jc w:val="center"/>
        <w:rPr>
          <w:b/>
          <w:bCs/>
          <w:sz w:val="24"/>
          <w:szCs w:val="24"/>
          <w:rFonts w:ascii="Garamond" w:hAnsi="Garamond" w:cs="Arial"/>
        </w:rPr>
      </w:pPr>
      <w:r>
        <w:rPr>
          <w:b/>
          <w:sz w:val="24"/>
          <w:rFonts w:ascii="Garamond" w:hAnsi="Garamond"/>
        </w:rPr>
        <w:t xml:space="preserve">ΚΑΝΟΝΙΣΜΟΣ ΓΙΑ ΤΟΝ ΝΟΜΙΜΟ ΜΕΤΡΟΛΟΓΙΚΟ ΕΛΕΓΧΟ ΤΩΝ ΝΕΦΕΛΟΜΕΤΡΩΝ</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Άρθρο 1</w:t>
      </w:r>
    </w:p>
    <w:p w14:paraId="67D520C6"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Πεδίο εφαρμογής</w:t>
      </w:r>
    </w:p>
    <w:p w14:paraId="4356A378" w14:textId="58CC8C8E" w:rsidR="00B55531" w:rsidRPr="003D5AFB" w:rsidRDefault="00B55531" w:rsidP="000E7B45">
      <w:pPr>
        <w:spacing w:after="120" w:line="360" w:lineRule="auto"/>
        <w:jc w:val="both"/>
        <w:rPr>
          <w:sz w:val="24"/>
          <w:szCs w:val="24"/>
          <w:rFonts w:ascii="Garamond" w:hAnsi="Garamond" w:cs="Arial"/>
        </w:rPr>
      </w:pPr>
      <w:r>
        <w:rPr>
          <w:sz w:val="24"/>
          <w:rFonts w:ascii="Garamond" w:hAnsi="Garamond"/>
        </w:rPr>
        <w:t xml:space="preserve">Ο παρών κανονισμός εφαρμόζεται στα νεφελόμετρα που προορίζονται για τη μέτρηση της αδιαφάνειας των εκπομπών καυσαερίων από πετρελαιοκίνητα οχήματα.</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Άρθρο 2</w:t>
      </w:r>
    </w:p>
    <w:p w14:paraId="5FB19F42" w14:textId="3A391A93"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Ορισμός</w:t>
      </w:r>
      <w:r>
        <w:rPr>
          <w:b/>
          <w:sz w:val="24"/>
          <w:rFonts w:ascii="Garamond" w:hAnsi="Garamond"/>
        </w:rPr>
        <w:t xml:space="preserve"> </w:t>
      </w:r>
    </w:p>
    <w:p w14:paraId="216E5843" w14:textId="78AA9014" w:rsidR="00A57A1C" w:rsidRDefault="00E144AF" w:rsidP="000E7B45">
      <w:pPr>
        <w:spacing w:after="120" w:line="360" w:lineRule="auto"/>
        <w:jc w:val="both"/>
        <w:rPr>
          <w:sz w:val="24"/>
          <w:szCs w:val="24"/>
          <w:rFonts w:ascii="Garamond" w:hAnsi="Garamond" w:cs="Arial"/>
        </w:rPr>
      </w:pPr>
      <w:r>
        <w:rPr>
          <w:sz w:val="24"/>
          <w:rFonts w:ascii="Garamond" w:hAnsi="Garamond"/>
        </w:rPr>
        <w:t xml:space="preserve">Για τους σκοπούς του παρόντος κανονισμού, ως νεφελόμετρα νοούνται τα όργανα που έχουν σχεδιαστεί για τη συνεχή μέτρηση της αδιαφάνειας των καυσαερίων που εκπέμπονται από τα οχήματα.</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sz w:val="24"/>
          <w:szCs w:val="24"/>
          <w:rFonts w:ascii="Garamond" w:hAnsi="Garamond" w:cs="Arial"/>
        </w:rPr>
      </w:pPr>
      <w:bookmarkStart w:id="1" w:name="_Hlk63432496"/>
      <w:r>
        <w:rPr>
          <w:sz w:val="24"/>
          <w:rFonts w:ascii="Garamond" w:hAnsi="Garamond"/>
        </w:rPr>
        <w:t xml:space="preserve">Άρθρο 3</w:t>
      </w:r>
    </w:p>
    <w:bookmarkEnd w:id="1"/>
    <w:p w14:paraId="58D3E434" w14:textId="77777777"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Θέση σε λειτουργία</w:t>
      </w:r>
    </w:p>
    <w:p w14:paraId="53E67223" w14:textId="39B9CF21" w:rsidR="006D605C" w:rsidRPr="003D5AFB" w:rsidRDefault="006D605C" w:rsidP="006D605C">
      <w:pPr>
        <w:spacing w:after="120" w:line="360" w:lineRule="auto"/>
        <w:jc w:val="both"/>
        <w:rPr>
          <w:sz w:val="24"/>
          <w:szCs w:val="24"/>
          <w:rFonts w:ascii="Garamond" w:hAnsi="Garamond" w:cs="Arial"/>
        </w:rPr>
      </w:pPr>
      <w:r>
        <w:rPr>
          <w:sz w:val="24"/>
          <w:rFonts w:ascii="Garamond" w:hAnsi="Garamond"/>
        </w:rPr>
        <w:t xml:space="preserve">Τα νεφελόμετρα πρέπει να πληρούν τις μετρολογικές και τεχνικές απαιτήσεις που ορίζονται </w:t>
      </w:r>
      <w:bookmarkStart w:id="2" w:name="_Hlk63409046"/>
      <w:bookmarkStart w:id="3" w:name="_Hlk63674255"/>
      <w:r>
        <w:rPr>
          <w:sz w:val="24"/>
          <w:rFonts w:ascii="Garamond" w:hAnsi="Garamond"/>
        </w:rPr>
        <w:t xml:space="preserve">στο </w:t>
      </w:r>
      <w:bookmarkEnd w:id="2"/>
      <w:bookmarkEnd w:id="3"/>
      <w:r>
        <w:rPr>
          <w:sz w:val="24"/>
          <w:rFonts w:ascii="Garamond" w:hAnsi="Garamond"/>
        </w:rPr>
        <w:t xml:space="preserve">πρότυπο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sz w:val="24"/>
          <w:szCs w:val="24"/>
          <w:rFonts w:ascii="Garamond" w:hAnsi="Garamond" w:cs="Arial"/>
        </w:rPr>
      </w:pPr>
      <w:r>
        <w:rPr>
          <w:sz w:val="24"/>
          <w:rFonts w:ascii="Garamond" w:hAnsi="Garamond"/>
        </w:rPr>
        <w:t xml:space="preserve">Άρθρο 4</w:t>
      </w:r>
    </w:p>
    <w:p w14:paraId="75DB895D" w14:textId="58B82272" w:rsidR="00C75076" w:rsidRPr="003D5AFB" w:rsidRDefault="00597F39" w:rsidP="000E7B45">
      <w:pPr>
        <w:spacing w:after="120" w:line="360" w:lineRule="auto"/>
        <w:jc w:val="center"/>
        <w:rPr>
          <w:sz w:val="24"/>
          <w:szCs w:val="24"/>
          <w:rFonts w:ascii="Garamond" w:hAnsi="Garamond" w:cs="Arial"/>
        </w:rPr>
      </w:pPr>
      <w:r>
        <w:rPr>
          <w:b/>
          <w:sz w:val="24"/>
          <w:rFonts w:ascii="Garamond" w:hAnsi="Garamond"/>
        </w:rPr>
        <w:t xml:space="preserve">Ένδειξη</w:t>
      </w:r>
    </w:p>
    <w:p w14:paraId="7F87933E" w14:textId="542F813F"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Η ένδειξη των νεφελόμετρων εκφράζεται μέσω του συντελεστή απορρόφησης φωτός, που αντιπροσωπεύεται από το σύμβολο k, και στη μονάδα m</w:t>
      </w:r>
      <w:r>
        <w:rPr>
          <w:sz w:val="24"/>
          <w:vertAlign w:val="superscript"/>
          <w:rFonts w:ascii="Garamond" w:hAnsi="Garamond"/>
        </w:rPr>
        <w:t xml:space="preserve">-1</w:t>
      </w:r>
      <w:r>
        <w:rPr>
          <w:sz w:val="24"/>
          <w:rFonts w:ascii="Garamond" w:hAnsi="Garamond"/>
        </w:rPr>
        <w:t xml:space="preserve">.</w:t>
      </w:r>
    </w:p>
    <w:p w14:paraId="0F28A0DF" w14:textId="3D7E2FD2"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Οι τιμές αδιαφάνειας είναι ποσοστά και εκφράζονται μέσω του συμβόλου Ν.</w:t>
      </w:r>
    </w:p>
    <w:p w14:paraId="7B029027" w14:textId="571AF0FE" w:rsidR="001B79B7" w:rsidRPr="003D5AFB" w:rsidRDefault="00197A36" w:rsidP="00197A36">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Όταν ο συντελεστής μετατροπής εκφράζεται δεόντως, άλλες ισοδύναμες μονάδες μπορούν να γίνουν δεκτές με βάση τις μονάδες του Διεθνούς Συστήματος Μονάδων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sz w:val="24"/>
          <w:szCs w:val="24"/>
          <w:rFonts w:ascii="Garamond" w:hAnsi="Garamond" w:cs="Arial"/>
        </w:rPr>
      </w:pPr>
      <w:r>
        <w:rPr>
          <w:sz w:val="24"/>
          <w:rFonts w:ascii="Garamond" w:hAnsi="Garamond"/>
        </w:rPr>
        <w:t xml:space="preserve">Άρθρο 5</w:t>
      </w:r>
    </w:p>
    <w:p w14:paraId="7A1BEF1E" w14:textId="77777777" w:rsidR="00503EE6" w:rsidRPr="003D5AFB" w:rsidRDefault="00503EE6" w:rsidP="005024E2">
      <w:pPr>
        <w:spacing w:after="120" w:line="360" w:lineRule="auto"/>
        <w:jc w:val="center"/>
        <w:rPr>
          <w:b/>
          <w:bCs/>
          <w:sz w:val="24"/>
          <w:szCs w:val="24"/>
          <w:rFonts w:ascii="Garamond" w:hAnsi="Garamond" w:cs="Arial"/>
        </w:rPr>
      </w:pPr>
      <w:r>
        <w:rPr>
          <w:b/>
          <w:sz w:val="24"/>
          <w:rFonts w:ascii="Garamond" w:hAnsi="Garamond"/>
        </w:rPr>
        <w:t xml:space="preserve">Νόμιμος μετρολογικός έλεγχος</w:t>
      </w:r>
    </w:p>
    <w:p w14:paraId="1A8C137B" w14:textId="3F9C24C1" w:rsidR="00A57A1C" w:rsidRPr="003D5AFB" w:rsidRDefault="00503EE6" w:rsidP="005024E2">
      <w:pPr>
        <w:spacing w:after="120" w:line="360" w:lineRule="auto"/>
        <w:jc w:val="both"/>
        <w:rPr>
          <w:sz w:val="24"/>
          <w:szCs w:val="24"/>
          <w:rFonts w:ascii="Garamond" w:hAnsi="Garamond" w:cs="Arial"/>
        </w:rPr>
      </w:pPr>
      <w:r>
        <w:rPr>
          <w:sz w:val="24"/>
          <w:rFonts w:ascii="Garamond" w:hAnsi="Garamond"/>
        </w:rPr>
        <w:t xml:space="preserve">Ο νόμιμος μετρολογικός έλεγχος των </w:t>
      </w:r>
      <w:bookmarkStart w:id="4" w:name="_Hlk106875133"/>
      <w:r>
        <w:rPr>
          <w:sz w:val="24"/>
          <w:rFonts w:ascii="Garamond" w:hAnsi="Garamond"/>
        </w:rPr>
        <w:t xml:space="preserve">νεφελόμετρων</w:t>
      </w:r>
      <w:bookmarkEnd w:id="4"/>
      <w:r>
        <w:rPr>
          <w:sz w:val="24"/>
          <w:rFonts w:ascii="Garamond" w:hAnsi="Garamond"/>
        </w:rPr>
        <w:t xml:space="preserve"> είναι ευθύνη του Πορτογαλικού Ινστιτούτου Ποιότητας, I. P. (IPQ, I.P.) και περιλαμβάνει τις λειτουργίες της έγκρισης μοντέλου, του αρχικού ελέγχου, του περιοδικού ελέγχου και του έκτακτου ελέγχου.</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sz w:val="24"/>
          <w:szCs w:val="24"/>
          <w:rFonts w:ascii="Garamond" w:hAnsi="Garamond" w:cs="Arial"/>
        </w:rPr>
      </w:pPr>
      <w:r>
        <w:rPr>
          <w:sz w:val="24"/>
          <w:rFonts w:ascii="Garamond" w:hAnsi="Garamond"/>
        </w:rPr>
        <w:t xml:space="preserve">Άρθρο 6</w:t>
      </w:r>
    </w:p>
    <w:p w14:paraId="2FD67190" w14:textId="19023FF4" w:rsidR="00503EE6" w:rsidRPr="003D5AFB" w:rsidRDefault="00727801" w:rsidP="00104E49">
      <w:pPr>
        <w:spacing w:after="120" w:line="360" w:lineRule="auto"/>
        <w:jc w:val="center"/>
        <w:rPr>
          <w:b/>
          <w:bCs/>
          <w:sz w:val="24"/>
          <w:szCs w:val="24"/>
          <w:rFonts w:ascii="Garamond" w:hAnsi="Garamond" w:cs="Arial"/>
        </w:rPr>
      </w:pPr>
      <w:r>
        <w:rPr>
          <w:b/>
          <w:sz w:val="24"/>
          <w:rFonts w:ascii="Garamond" w:hAnsi="Garamond"/>
        </w:rPr>
        <w:t xml:space="preserve">Έγκριση μοντέλου</w:t>
      </w:r>
    </w:p>
    <w:p w14:paraId="07DF1D43" w14:textId="149EC1C6" w:rsidR="00BF3396" w:rsidRDefault="00BF3396" w:rsidP="00BF3396">
      <w:pPr>
        <w:spacing w:after="120" w:line="360" w:lineRule="auto"/>
        <w:jc w:val="both"/>
        <w:rPr>
          <w:sz w:val="24"/>
          <w:szCs w:val="24"/>
          <w:rFonts w:ascii="Garamond" w:hAnsi="Garamond"/>
        </w:rPr>
      </w:pPr>
      <w:r>
        <w:rPr>
          <w:sz w:val="24"/>
          <w:rFonts w:ascii="Garamond" w:hAnsi="Garamond"/>
        </w:rPr>
        <w:t xml:space="preserve">(1)</w:t>
      </w:r>
      <w:r>
        <w:rPr>
          <w:sz w:val="24"/>
          <w:rFonts w:ascii="Garamond" w:hAnsi="Garamond"/>
        </w:rPr>
        <w:t xml:space="preserve"> </w:t>
      </w:r>
      <w:r>
        <w:rPr>
          <w:sz w:val="24"/>
          <w:rFonts w:ascii="Garamond" w:hAnsi="Garamond"/>
        </w:rPr>
        <w:t xml:space="preserve">Η έγκριση μοντέλου πρέπει να πληροί τις απαιτήσεις του άρθρου 7 του νομοθετικού διατάγματος αριθ. 29/2022 της 7ης Απριλίου και του άρθρου 2 του κανονισμού που προσαρτάται στο διάταγμα αριθ. 211/2022 της 23ης Αυγούστου.</w:t>
      </w:r>
    </w:p>
    <w:p w14:paraId="157246D2" w14:textId="297C8A92" w:rsidR="00BF3396" w:rsidRDefault="00BF3396" w:rsidP="00BF3396">
      <w:pPr>
        <w:spacing w:after="120" w:line="360" w:lineRule="auto"/>
        <w:jc w:val="both"/>
        <w:rPr>
          <w:color w:val="000000"/>
          <w:sz w:val="24"/>
          <w:szCs w:val="24"/>
          <w:rFonts w:ascii="Garamond" w:hAnsi="Garamond"/>
        </w:rPr>
      </w:pPr>
      <w:r>
        <w:rPr>
          <w:sz w:val="24"/>
          <w:rFonts w:ascii="Garamond" w:hAnsi="Garamond"/>
        </w:rPr>
        <w:t xml:space="preserve">(2)</w:t>
      </w:r>
      <w:r>
        <w:rPr>
          <w:sz w:val="24"/>
          <w:rFonts w:ascii="Garamond" w:hAnsi="Garamond"/>
        </w:rPr>
        <w:t xml:space="preserve"> </w:t>
      </w:r>
      <w:r>
        <w:rPr>
          <w:sz w:val="24"/>
          <w:rFonts w:ascii="Garamond" w:hAnsi="Garamond"/>
        </w:rPr>
        <w:t xml:space="preserve">Κατά τη διάρκεια ισχύος της έγκρισης μοντέλου, οποιαδήποτε ή όλες οι αλλαγές που έγιναν στο εγκεκριμένο μοντέλο, με την αντικατάσταση των εξαρτημάτων, με την προσθήκη συμπληρωματικής συσκευής, με τροποποίηση του </w:t>
      </w:r>
      <w:r>
        <w:rPr>
          <w:sz w:val="24"/>
          <w:color w:val="000000"/>
          <w:rFonts w:ascii="Garamond" w:hAnsi="Garamond"/>
        </w:rPr>
        <w:t xml:space="preserve">εγκατεστημένου προγράμματος υπολογιστή </w:t>
      </w:r>
      <w:r>
        <w:rPr>
          <w:sz w:val="24"/>
          <w:color w:val="000000"/>
          <w:i/>
          <w:rFonts w:ascii="Garamond" w:hAnsi="Garamond"/>
        </w:rPr>
        <w:t xml:space="preserve">(</w:t>
      </w:r>
      <w:r>
        <w:rPr>
          <w:sz w:val="24"/>
          <w:color w:val="000000"/>
          <w:rFonts w:ascii="Garamond" w:hAnsi="Garamond"/>
        </w:rPr>
        <w:t xml:space="preserve">λογισμικού) ή με τροποποιήσεις που μπορεί να επηρεάσουν τα αποτελέσματα των μετρήσεων ή τις κανονιστικές συνθήκες χρήσης, χρειάζονται συμπληρωματική έγκριση μοντέλου.</w:t>
      </w:r>
    </w:p>
    <w:p w14:paraId="5C139199" w14:textId="0E76FCE2" w:rsidR="00BF3396" w:rsidRDefault="00BF3396" w:rsidP="00BF3396">
      <w:pPr>
        <w:spacing w:after="120" w:line="360" w:lineRule="auto"/>
        <w:jc w:val="both"/>
        <w:rPr>
          <w:color w:val="000000"/>
          <w:sz w:val="24"/>
          <w:szCs w:val="24"/>
          <w:rFonts w:ascii="Garamond" w:hAnsi="Garamond"/>
        </w:rPr>
      </w:pPr>
      <w:r>
        <w:rPr>
          <w:sz w:val="24"/>
          <w:color w:val="000000"/>
          <w:rFonts w:ascii="Garamond" w:hAnsi="Garamond"/>
        </w:rPr>
        <w:t xml:space="preserve">(3)</w:t>
      </w:r>
      <w:r>
        <w:rPr>
          <w:sz w:val="24"/>
          <w:color w:val="000000"/>
          <w:rFonts w:ascii="Garamond" w:hAnsi="Garamond"/>
        </w:rPr>
        <w:t xml:space="preserve"> </w:t>
      </w:r>
      <w:r>
        <w:rPr>
          <w:sz w:val="24"/>
          <w:color w:val="000000"/>
          <w:rFonts w:ascii="Garamond" w:hAnsi="Garamond"/>
        </w:rPr>
        <w:t xml:space="preserve">Τα </w:t>
      </w:r>
      <w:r>
        <w:rPr>
          <w:sz w:val="24"/>
          <w:rFonts w:ascii="Garamond" w:hAnsi="Garamond"/>
        </w:rPr>
        <w:t xml:space="preserve">υπολογιστικά </w:t>
      </w:r>
      <w:r>
        <w:rPr>
          <w:sz w:val="24"/>
          <w:color w:val="000000"/>
          <w:rFonts w:ascii="Garamond" w:hAnsi="Garamond"/>
        </w:rPr>
        <w:t xml:space="preserve">που χρησιμοποιούνται από τα </w:t>
      </w:r>
      <w:bookmarkStart w:id="5" w:name="_Hlk126936097"/>
      <w:r>
        <w:rPr>
          <w:sz w:val="24"/>
          <w:rFonts w:ascii="Garamond" w:hAnsi="Garamond"/>
        </w:rPr>
        <w:t xml:space="preserve">νεφελόμετρα</w:t>
      </w:r>
      <w:r>
        <w:rPr>
          <w:sz w:val="24"/>
          <w:color w:val="000000"/>
          <w:rFonts w:ascii="Garamond" w:hAnsi="Garamond"/>
        </w:rPr>
        <w:t xml:space="preserve"> </w:t>
      </w:r>
      <w:bookmarkEnd w:id="5"/>
      <w:r>
        <w:rPr>
          <w:color w:val="000000"/>
          <w:sz w:val="24"/>
          <w:rFonts w:ascii="Garamond" w:hAnsi="Garamond"/>
        </w:rPr>
        <w:t xml:space="preserve">θα πρέπει να διασφαλίζουν την ακεραιότητα και την εμπιστευτικότητα των δεδομένων που λαμβάνονται και υποβάλλονται και πρέπει επίσης να υπόκεινται σε μοναδική και αδιαμφισβήτητη ταυτοποίηση.</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sz w:val="24"/>
          <w:szCs w:val="24"/>
          <w:rFonts w:ascii="Garamond" w:hAnsi="Garamond" w:cs="Arial"/>
        </w:rPr>
      </w:pPr>
      <w:r>
        <w:rPr>
          <w:sz w:val="24"/>
          <w:rFonts w:ascii="Garamond" w:hAnsi="Garamond"/>
        </w:rPr>
        <w:t xml:space="preserve">Άρθρο 7</w:t>
      </w:r>
    </w:p>
    <w:p w14:paraId="34626D98" w14:textId="7B508073" w:rsidR="00F97B29" w:rsidRPr="003D5AFB" w:rsidRDefault="00570BD9" w:rsidP="002C68EA">
      <w:pPr>
        <w:spacing w:after="120" w:line="360" w:lineRule="auto"/>
        <w:jc w:val="center"/>
        <w:rPr>
          <w:b/>
          <w:bCs/>
          <w:sz w:val="24"/>
          <w:szCs w:val="24"/>
          <w:rFonts w:ascii="Garamond" w:hAnsi="Garamond" w:cs="Arial"/>
        </w:rPr>
      </w:pPr>
      <w:r>
        <w:rPr>
          <w:b/>
          <w:sz w:val="24"/>
          <w:rFonts w:ascii="Garamond" w:hAnsi="Garamond"/>
        </w:rPr>
        <w:t xml:space="preserve">Αρχικός έλεγχος</w:t>
      </w:r>
    </w:p>
    <w:p w14:paraId="43E5DF15" w14:textId="05439965" w:rsidR="0087542F" w:rsidRPr="003D5AFB" w:rsidRDefault="0087542F"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Ο αρχικός έλεγχος πραγματοποιείται πριν από τη θέση σε λειτουργία του οργάνου ή μετά την επισκευή του και κάθε φορά που υπάρχει παραβίαση του συστήματος σφράγισης, χωρίς περιοδικό έλεγχο κατά το εν λόγω έτος και με την ίδια περίοδο ισχύος.</w:t>
      </w:r>
    </w:p>
    <w:p w14:paraId="5A2368F9" w14:textId="167DAACC" w:rsidR="003842F2" w:rsidRPr="003D5AFB" w:rsidRDefault="003842F2" w:rsidP="002C68EA">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Οι δοκιμές αρχικού ελέγχου διενεργούνται σύμφωνα με τις μετρολογικές και τεχνικές απαιτήσεις που ορίζονται στο άρθρο 3 του παρόντος κανονισμού.</w:t>
      </w:r>
    </w:p>
    <w:p w14:paraId="320CE689" w14:textId="6E0E1DB0" w:rsidR="00A17F17" w:rsidRDefault="003842F2" w:rsidP="00A17F17">
      <w:pPr>
        <w:jc w:val="both"/>
        <w:rPr>
          <w:sz w:val="24"/>
          <w:szCs w:val="24"/>
          <w:rFonts w:ascii="Garamond" w:hAnsi="Garamond" w:cs="Arial"/>
        </w:rPr>
      </w:pPr>
      <w:bookmarkStart w:id="6" w:name="_Hlk63414812"/>
      <w:r>
        <w:rPr>
          <w:sz w:val="24"/>
          <w:rFonts w:ascii="Garamond" w:hAnsi="Garamond"/>
        </w:rPr>
        <w:t xml:space="preserve">(3)</w:t>
      </w:r>
      <w:bookmarkEnd w:id="6"/>
      <w:r>
        <w:rPr>
          <w:sz w:val="24"/>
          <w:rFonts w:ascii="Garamond" w:hAnsi="Garamond"/>
        </w:rPr>
        <w:t xml:space="preserve"> </w:t>
      </w:r>
      <w:r>
        <w:rPr>
          <w:sz w:val="24"/>
          <w:rFonts w:ascii="Garamond" w:hAnsi="Garamond"/>
        </w:rPr>
        <w:t xml:space="preserve">Οι μέγιστες επιτρεπτές τιμές σφάλματος για τον αρχικό έλεγχο είναι ίσες με ± 2 % αδιαφάνεια, N.</w:t>
      </w:r>
      <w:r>
        <w:rPr>
          <w:sz w:val="24"/>
          <w:rFonts w:ascii="Garamond" w:hAnsi="Garamond"/>
        </w:rPr>
        <w:t xml:space="preserve">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Άρθρο 8</w:t>
      </w:r>
    </w:p>
    <w:p w14:paraId="177F56D3"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Περιοδικός έλεγχος</w:t>
      </w:r>
    </w:p>
    <w:p w14:paraId="62D7103A" w14:textId="3D028C7A" w:rsidR="005E797A" w:rsidRDefault="005E797A" w:rsidP="005E797A">
      <w:pPr>
        <w:spacing w:after="120" w:line="360" w:lineRule="auto"/>
        <w:jc w:val="both"/>
        <w:rPr>
          <w:sz w:val="24"/>
          <w:szCs w:val="24"/>
          <w:rFonts w:ascii="Garamond" w:hAnsi="Garamond" w:cs="Arial"/>
        </w:rPr>
      </w:pPr>
      <w:bookmarkStart w:id="7" w:name="_Hlk107869984"/>
      <w:bookmarkStart w:id="8" w:name="_Hlk107936171"/>
      <w:r>
        <w:rPr>
          <w:sz w:val="24"/>
          <w:rFonts w:ascii="Garamond" w:hAnsi="Garamond"/>
        </w:rPr>
        <w:t xml:space="preserve">(1)</w:t>
      </w:r>
      <w:r>
        <w:rPr>
          <w:sz w:val="24"/>
          <w:rFonts w:ascii="Garamond" w:hAnsi="Garamond"/>
        </w:rPr>
        <w:t xml:space="preserve"> </w:t>
      </w:r>
      <w:r>
        <w:rPr>
          <w:sz w:val="24"/>
          <w:rFonts w:ascii="Garamond" w:hAnsi="Garamond"/>
        </w:rPr>
        <w:t xml:space="preserve">Ο περιοδικός έλεγχος έχει ετήσια συχνότητα και ισχύει για ένα έτος μετά την ολοκλήρωσή του.</w:t>
      </w:r>
    </w:p>
    <w:bookmarkEnd w:id="7"/>
    <w:bookmarkEnd w:id="8"/>
    <w:p w14:paraId="583B7830" w14:textId="4D5C067E" w:rsidR="002B5F8C" w:rsidRPr="003D5AFB" w:rsidRDefault="002B5F8C" w:rsidP="002B5F8C">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Οι δοκιμές περιοδικού ελέγχου είναι οι ίδιες με εκείνες που ορίζονται για τον αρχικό έλεγχο.</w:t>
      </w:r>
    </w:p>
    <w:p w14:paraId="6E7C93C7" w14:textId="5E71EEB5" w:rsidR="0073637C" w:rsidRPr="003D5AFB" w:rsidRDefault="002B5F8C">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Οι τιμές των μέγιστων επιτρεπόμενων σφαλμάτων κατά τον περιοδικό έλεγχο είναι ίσες με τις τιμές των μέγιστων επιτρεπόμενων σφαλμάτων που διαπιστώθηκαν για τον αρχικό έλεγχο.</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Άρθρο 9</w:t>
      </w:r>
    </w:p>
    <w:p w14:paraId="62B7028E"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Έκτακτος έλεγχος</w:t>
      </w:r>
    </w:p>
    <w:p w14:paraId="21E9EEE9" w14:textId="5CC7507F" w:rsidR="00503EE6" w:rsidRPr="003D5AFB" w:rsidRDefault="00944E05"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Ο έκτακτος έλεγχος περιλαμβάνει τις δοκιμές περιοδικού ελέγχου.</w:t>
      </w:r>
    </w:p>
    <w:p w14:paraId="7447DA07" w14:textId="6567F499" w:rsidR="00503EE6" w:rsidRPr="003D5AFB" w:rsidRDefault="00503EE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Στον έκτακτο έλεγχο, οι τιμές των μέγιστων επιτρεπόμενων σφαλμάτων είναι ίσες με τις τιμές των μέγιστων επιτρεπόμενων σφαλμάτων που έχουν καθοριστεί για τον περιοδικό έλεγχο.</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sz w:val="24"/>
          <w:szCs w:val="24"/>
          <w:rFonts w:ascii="Garamond" w:hAnsi="Garamond" w:cs="Arial"/>
        </w:rPr>
      </w:pPr>
      <w:r>
        <w:rPr>
          <w:sz w:val="24"/>
          <w:rFonts w:ascii="Garamond" w:hAnsi="Garamond"/>
        </w:rPr>
        <w:t xml:space="preserve">Άρθρο 10</w:t>
      </w:r>
    </w:p>
    <w:p w14:paraId="39298155" w14:textId="53987728" w:rsidR="000A231E" w:rsidRPr="003D5AFB" w:rsidRDefault="000A231E" w:rsidP="007366C9">
      <w:pPr>
        <w:spacing w:after="120" w:line="360" w:lineRule="auto"/>
        <w:jc w:val="center"/>
        <w:rPr>
          <w:b/>
          <w:bCs/>
          <w:sz w:val="24"/>
          <w:szCs w:val="24"/>
          <w:rFonts w:ascii="Garamond" w:hAnsi="Garamond" w:cs="Arial"/>
        </w:rPr>
      </w:pPr>
      <w:r>
        <w:rPr>
          <w:b/>
          <w:sz w:val="24"/>
          <w:rFonts w:ascii="Garamond" w:hAnsi="Garamond"/>
        </w:rPr>
        <w:t xml:space="preserve">Επιγραφές και σημάνσεις</w:t>
      </w:r>
    </w:p>
    <w:p w14:paraId="7A96B35F" w14:textId="514B3BE3" w:rsidR="004A5897" w:rsidRPr="003D5AFB" w:rsidRDefault="004A5897" w:rsidP="00BF69F3">
      <w:pPr>
        <w:spacing w:after="120" w:line="360" w:lineRule="auto"/>
        <w:jc w:val="both"/>
        <w:rPr>
          <w:sz w:val="24"/>
          <w:szCs w:val="24"/>
          <w:rFonts w:ascii="Garamond" w:hAnsi="Garamond" w:cs="Arial"/>
        </w:rPr>
      </w:pPr>
      <w:bookmarkStart w:id="9" w:name="_Hlk82391725"/>
      <w:bookmarkStart w:id="10" w:name="_Hlk82391591"/>
      <w:r>
        <w:rPr>
          <w:sz w:val="24"/>
          <w:rFonts w:ascii="Garamond" w:hAnsi="Garamond"/>
        </w:rPr>
        <w:t xml:space="preserve">(1)</w:t>
      </w:r>
      <w:r>
        <w:rPr>
          <w:sz w:val="24"/>
          <w:rFonts w:ascii="Garamond" w:hAnsi="Garamond"/>
        </w:rPr>
        <w:t xml:space="preserve"> </w:t>
      </w:r>
      <w:r>
        <w:rPr>
          <w:sz w:val="24"/>
          <w:rFonts w:ascii="Garamond" w:hAnsi="Garamond"/>
        </w:rPr>
        <w:t xml:space="preserve">Τα νεφελόμετρα πρέπει να φέρουν, με ευδιάκριτο και ευανάγνωστο τρόπο, επιγραφές και σημάνσεις σύμφωνα με τις μετρολογικές απαιτήσεις που ορίζονται στο άρθρο 3 του παρόντος κανονισμού.</w:t>
      </w:r>
    </w:p>
    <w:p w14:paraId="28620774" w14:textId="7685BCFA" w:rsidR="004A5897" w:rsidRPr="003D5AFB" w:rsidRDefault="004A5897" w:rsidP="00BF69F3">
      <w:pPr>
        <w:spacing w:after="120" w:line="360" w:lineRule="auto"/>
        <w:jc w:val="both"/>
        <w:rPr>
          <w:sz w:val="24"/>
          <w:szCs w:val="24"/>
          <w:rFonts w:ascii="Garamond" w:hAnsi="Garamond" w:cs="Arial"/>
        </w:rPr>
      </w:pPr>
      <w:r>
        <w:rPr>
          <w:sz w:val="24"/>
          <w:rFonts w:ascii="Garamond" w:hAnsi="Garamond"/>
        </w:rPr>
        <w:t xml:space="preserve">(2)</w:t>
      </w:r>
      <w:bookmarkEnd w:id="9"/>
      <w:r>
        <w:rPr>
          <w:sz w:val="24"/>
          <w:rFonts w:ascii="Garamond" w:hAnsi="Garamond"/>
        </w:rPr>
        <w:t xml:space="preserve"> </w:t>
      </w:r>
      <w:r>
        <w:rPr>
          <w:sz w:val="24"/>
          <w:rFonts w:ascii="Garamond" w:hAnsi="Garamond"/>
        </w:rPr>
        <w:t xml:space="preserve">Τα νεφελόμετρα φέρουν επίσης το σύμβολο έγκρισης μοντέλου και άλλα σύμβολα ή αναφορές που ευνοούν τη χρήση τους.</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sz w:val="24"/>
          <w:szCs w:val="24"/>
          <w:rFonts w:ascii="Garamond" w:hAnsi="Garamond" w:cs="Arial"/>
        </w:rPr>
      </w:pPr>
      <w:bookmarkStart w:id="11" w:name="_Hlk63417111"/>
      <w:r>
        <w:rPr>
          <w:sz w:val="24"/>
          <w:rFonts w:ascii="Garamond" w:hAnsi="Garamond"/>
        </w:rPr>
        <w:t xml:space="preserve">Άρθρο 11</w:t>
      </w:r>
    </w:p>
    <w:p w14:paraId="7F04099F" w14:textId="77777777" w:rsidR="00503EE6" w:rsidRPr="003D5AFB" w:rsidRDefault="00503EE6" w:rsidP="00BF69F3">
      <w:pPr>
        <w:spacing w:after="120" w:line="360" w:lineRule="auto"/>
        <w:jc w:val="center"/>
        <w:rPr>
          <w:b/>
          <w:bCs/>
          <w:sz w:val="24"/>
          <w:szCs w:val="24"/>
          <w:rFonts w:ascii="Garamond" w:hAnsi="Garamond" w:cs="Arial"/>
        </w:rPr>
      </w:pPr>
      <w:r>
        <w:rPr>
          <w:b/>
          <w:sz w:val="24"/>
          <w:rFonts w:ascii="Garamond" w:hAnsi="Garamond"/>
        </w:rPr>
        <w:t xml:space="preserve">Μεταβατική διάταξη</w:t>
      </w:r>
    </w:p>
    <w:bookmarkEnd w:id="11"/>
    <w:p w14:paraId="441DDFF2" w14:textId="48C08D7A" w:rsidR="00D24055" w:rsidRPr="003D5AFB" w:rsidRDefault="00D24055" w:rsidP="00BF69F3">
      <w:pPr>
        <w:spacing w:after="120" w:line="360" w:lineRule="auto"/>
        <w:jc w:val="both"/>
        <w:rPr>
          <w:sz w:val="24"/>
          <w:szCs w:val="24"/>
          <w:rFonts w:ascii="Garamond" w:hAnsi="Garamond" w:cs="Arial"/>
        </w:rPr>
      </w:pPr>
      <w:r>
        <w:rPr>
          <w:sz w:val="24"/>
          <w:rFonts w:ascii="Garamond" w:hAnsi="Garamond"/>
        </w:rPr>
        <w:t xml:space="preserve">Τα χρησιμοποιούμενα όργανα μπορούν να παραμείνουν σε χρήση εφόσον βρίσκονται σε καλή κατάσταση και κατά τις δοκιμές μετρολογικού ελέγχου παρουσιάζουν σφάλματα που δεν υπερβαίνουν τα μέγιστα επιτρεπτά σφάλματα.</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sz w:val="24"/>
          <w:szCs w:val="24"/>
          <w:rFonts w:ascii="Garamond" w:hAnsi="Garamond" w:cs="Arial"/>
        </w:rPr>
      </w:pPr>
      <w:r>
        <w:rPr>
          <w:sz w:val="24"/>
          <w:rFonts w:ascii="Garamond" w:hAnsi="Garamond"/>
        </w:rPr>
        <w:t xml:space="preserve">Άρθρο 12</w:t>
      </w:r>
    </w:p>
    <w:p w14:paraId="00AFCFB4" w14:textId="2D0E9E49" w:rsidR="0014394D" w:rsidRPr="003D5AFB" w:rsidRDefault="00336A88" w:rsidP="00BF69F3">
      <w:pPr>
        <w:spacing w:after="120" w:line="360" w:lineRule="auto"/>
        <w:jc w:val="center"/>
        <w:rPr>
          <w:b/>
          <w:bCs/>
          <w:sz w:val="24"/>
          <w:szCs w:val="24"/>
          <w:rFonts w:ascii="Garamond" w:hAnsi="Garamond" w:cs="Arial"/>
        </w:rPr>
      </w:pPr>
      <w:r>
        <w:rPr>
          <w:b/>
          <w:sz w:val="24"/>
          <w:rFonts w:ascii="Garamond" w:hAnsi="Garamond"/>
        </w:rPr>
        <w:t xml:space="preserve">Τελική διάταξη</w:t>
      </w:r>
      <w:r>
        <w:rPr>
          <w:b/>
          <w:sz w:val="24"/>
          <w:rFonts w:ascii="Garamond" w:hAnsi="Garamond"/>
        </w:rPr>
        <w:t xml:space="preserve"> </w:t>
      </w:r>
    </w:p>
    <w:p w14:paraId="745D5232" w14:textId="79E15894" w:rsidR="00181C8E" w:rsidRPr="003D5AFB" w:rsidRDefault="00181C8E" w:rsidP="00BF69F3">
      <w:pPr>
        <w:spacing w:after="120" w:line="360" w:lineRule="auto"/>
        <w:jc w:val="both"/>
        <w:rPr>
          <w:sz w:val="24"/>
          <w:szCs w:val="24"/>
          <w:rFonts w:ascii="Garamond" w:hAnsi="Garamond" w:cs="Arial"/>
        </w:rPr>
      </w:pPr>
      <w:r>
        <w:rPr>
          <w:sz w:val="24"/>
          <w:rFonts w:ascii="Garamond" w:hAnsi="Garamond"/>
        </w:rPr>
        <w:t xml:space="preserve">Οι διατάξεις των προηγούμενων άρθρων δεν εμποδίζουν την εμπορία ή την περαιτέρω χρήση νεφελόμετρων, συνοδευόμενων από πιστοποιητικά αξιολόγησης της συμμόρφωσης που εκδίδονται από οργανισμούς αναγνωρισμένους βάσει της ισχύουσας νομοθεσίας της Ευρωπαϊκής Ένωσης, στο πλαίσιο της νόμιμης μετρολογικής δραστηριότητας, βάσει προδιαγραφών και διαδικασιών που εξασφαλίζουν μετρολογική ποιότητα αντίστοιχη με την προβλεπόμενη από τον παρόντα κανονισμό και η ισοδυναμία αξιολογείται από το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3D0F512B-875A-4B06-8BC4-34DF7F15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926</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Anastasia Stavroulaki</cp:lastModifiedBy>
  <cp:revision>3</cp:revision>
  <dcterms:created xsi:type="dcterms:W3CDTF">2023-04-03T15:23:00Z</dcterms:created>
  <dcterms:modified xsi:type="dcterms:W3CDTF">2023-04-11T09:50:00Z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