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Lag om ändring av djurskyddslagen – förbud mot avlivning av kycklingar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Utfärdad den 18 juni 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Tyska förbundsdagen har antagit följande lag: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Ändring av djurskyddslagen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Efter 4b § i djurskyddslagen i den lydelse som offentliggjordes den 18 maj 2006 (BGBl. I s. 1206, 1313), senast ändrad genom […], ska följande 4c § läggas till: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Efter § 4b, ska följande § 4c införas: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”4c §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Det är förbjudet att döda kycklingar av arten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 tamkycklingar.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Förbudet gäller inte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i det fall avlivning av kycklingarna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har föreskrivits eller förordnats enligt djurhälsobestämmelser eller</w:t>
      </w:r>
      <w:r>
        <w:rPr>
          <w:color w:val="auto"/>
        </w:rPr>
        <w:t xml:space="preserve">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i det enskilda fallet är nödvändigt av djurskyddsskäl,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för kycklingar som inte kan kläckas,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för s.k. poussins enligt artikel 1.1 a i kommissionens förordning (EG) nr 543/2008 av den 16 juni 2008 om tillämpningsföreskrifter för rådets förordning (EG) nr 1234/2007 när det gäller handelsnormerna för fjäderfäkött (EUT L 157, 17.6.2008, s. 46),</w:t>
      </w:r>
      <w:r>
        <w:rPr>
          <w:color w:val="auto"/>
        </w:rPr>
        <w:t xml:space="preserve"> </w:t>
      </w:r>
      <w:r>
        <w:rPr>
          <w:color w:val="auto"/>
        </w:rPr>
        <w:t xml:space="preserve">senast ändrad genom kommissionens förordning (EU) nr 519/2013 av den 21 februari 2013 (EUT L 158, 10.6.2013, s. 74)</w:t>
      </w:r>
      <w:r>
        <w:rPr>
          <w:color w:val="auto"/>
        </w:rPr>
        <w:t xml:space="preserve"> </w:t>
      </w:r>
      <w:r>
        <w:rPr>
          <w:color w:val="auto"/>
        </w:rPr>
        <w:t xml:space="preserve">och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för kycklingar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som är avsedda att användas i djurförsök eller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vars vävnader eller organ är avsedda att användas för vetenskapliga ändamål.”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Punkt 6a ska införas efter punkt 21(6) enligt följande: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”(6a)</w:t>
      </w:r>
      <w:r>
        <w:rPr>
          <w:color w:val="auto"/>
        </w:rPr>
        <w:tab/>
      </w:r>
      <w:r>
        <w:rPr>
          <w:color w:val="auto"/>
        </w:rPr>
        <w:t xml:space="preserve">Senast den 31 mars 2023 ska förbundsministeriet före den sjunde inkubationsdagen rapportera till den behöriga tekniska kommittén vid den tyska förbundsdagen om utvecklingen av förfaranden och metoder för könsbestämning i kycklingägg.”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Ytterligare ändring av djurskyddslagen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Djurskyddslagen, senast ändrad genom artikel 1 i denna lag, ska ändras på följande sätt: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Följande punkt 2 ska läggas till: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”2. Från och med den sjunde ruvningsdagen är det förbjudet att under eller efter tillämpning av en metod för könsbestämning i hönsägget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utföra ett ingrepp på ett hönsägg som leder till kycklingembryots död, eller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utföra ett avbrott i ruvningen som leder till kycklingembryots död.”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Efter 18.1.6 § ska följande punkt införas som punkt 6a: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”6a) i strid med 4c.2 § utför ett ingrepp eller avbrott som anges däri,”.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Ikraftträdande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Denna lag träder, med förbehåll för punkt 2, i kraft den 1 januari 2022.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Artikel 2 träder i kraft den 1 januari 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Förbundsrådets rättigheter enligt författningen bevaras härmed.</w:t>
      </w:r>
      <w:r>
        <w:t xml:space="preserve"> </w:t>
      </w:r>
      <w:r>
        <w:t xml:space="preserve">Den lag som anges ovan verkställs härmed.</w:t>
      </w:r>
      <w:r>
        <w:t xml:space="preserve"> </w:t>
      </w:r>
      <w:r>
        <w:t xml:space="preserve">Den ska offentliggöras i den federala lagens officiella tidning.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 den 18 juni 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Förbundspresidenten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Förbundskanslern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Förbundsministern för kost och jordbruk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ab/>
      </w:r>
      <w:r>
        <w:t xml:space="preserve">Anmäld enligt Europaparlamentets och rådets direktiv (EU) 2015/1535 av den 9 september 2015 om ett informationsförfarande beträffande tekniska föreskrifter och beträffande föreskrifter för informationssamhällets tjänster (EUT L 241, 17.9.2015, s. 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