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1A0AF" w14:textId="6E015C20" w:rsidR="00341F8F" w:rsidRPr="002E5171" w:rsidRDefault="00341F8F" w:rsidP="009D5D83">
      <w:pPr>
        <w:rPr>
          <w:rFonts w:ascii="Arial" w:hAnsi="Arial" w:cs="Arial"/>
          <w:b/>
          <w:i/>
          <w:sz w:val="22"/>
          <w:szCs w:val="22"/>
        </w:rPr>
      </w:pPr>
    </w:p>
    <w:p w14:paraId="72EE155D" w14:textId="1512F31E" w:rsidR="00341F8F" w:rsidRPr="001E7C87" w:rsidRDefault="00341F8F" w:rsidP="007B0C9B">
      <w:pPr>
        <w:jc w:val="both"/>
        <w:rPr>
          <w:rFonts w:ascii="Arial" w:hAnsi="Arial" w:cs="Arial"/>
          <w:strike/>
          <w:sz w:val="24"/>
          <w:szCs w:val="24"/>
        </w:rPr>
      </w:pPr>
      <w:r>
        <w:rPr>
          <w:rFonts w:ascii="Arial" w:hAnsi="Arial"/>
          <w:b/>
          <w:sz w:val="24"/>
        </w:rPr>
        <w:t>UDKAST TIL KONGELIGT DEKRET OM NATIONALE HANDELSBETEGNELSER SAMT BETEGNELSER FOR KONSERVEREDE OG TILBEREDTE FØDEVARER GODKENDT I SPANIEN, OG SOM FINDER ANVENDELSE PÅ FISKEVARER OG AKVAKULTURPRODUKTER</w:t>
      </w:r>
    </w:p>
    <w:p w14:paraId="32B68F0A" w14:textId="77777777" w:rsidR="00341F8F" w:rsidRPr="001E7C87" w:rsidRDefault="00341F8F" w:rsidP="00EC748B">
      <w:pPr>
        <w:jc w:val="both"/>
        <w:rPr>
          <w:rFonts w:ascii="Arial" w:hAnsi="Arial" w:cs="Arial"/>
          <w:sz w:val="24"/>
          <w:szCs w:val="24"/>
        </w:rPr>
      </w:pPr>
    </w:p>
    <w:p w14:paraId="209A4F06" w14:textId="77777777" w:rsidR="00341F8F" w:rsidRPr="001E7C87" w:rsidRDefault="00341F8F" w:rsidP="009D5D83">
      <w:pPr>
        <w:ind w:firstLine="708"/>
        <w:jc w:val="both"/>
        <w:rPr>
          <w:rFonts w:ascii="Arial" w:hAnsi="Arial" w:cs="Arial"/>
          <w:sz w:val="24"/>
          <w:szCs w:val="24"/>
        </w:rPr>
      </w:pPr>
      <w:r>
        <w:rPr>
          <w:rFonts w:ascii="Arial" w:hAnsi="Arial"/>
          <w:sz w:val="24"/>
        </w:rPr>
        <w:t xml:space="preserve">I henhold til artikel 169 i traktaten om Den Europæiske Unions funktionsmåde (TEUF) skal Den Europæiske Union for at fremme forbrugernes interesser og sikre et højt forbrugerbeskyttelsesniveau bidrage til at beskytte deres sundhed, sikkerhed og økonomiske interesser samt til at fremme deres ret til oplysning. </w:t>
      </w:r>
    </w:p>
    <w:p w14:paraId="5AD64B3B" w14:textId="77777777" w:rsidR="00341F8F" w:rsidRPr="001E7C87" w:rsidRDefault="00341F8F" w:rsidP="00EC748B">
      <w:pPr>
        <w:jc w:val="both"/>
        <w:rPr>
          <w:rFonts w:ascii="Arial" w:hAnsi="Arial" w:cs="Arial"/>
          <w:sz w:val="24"/>
          <w:szCs w:val="24"/>
        </w:rPr>
      </w:pPr>
    </w:p>
    <w:p w14:paraId="6A10FD28" w14:textId="77777777" w:rsidR="00341F8F" w:rsidRPr="001E7C87" w:rsidRDefault="00341F8F" w:rsidP="009D5D83">
      <w:pPr>
        <w:ind w:firstLine="708"/>
        <w:jc w:val="both"/>
        <w:rPr>
          <w:rFonts w:ascii="Arial" w:hAnsi="Arial" w:cs="Arial"/>
          <w:sz w:val="24"/>
          <w:szCs w:val="24"/>
        </w:rPr>
      </w:pPr>
      <w:r>
        <w:rPr>
          <w:rFonts w:ascii="Arial" w:hAnsi="Arial"/>
          <w:sz w:val="24"/>
        </w:rPr>
        <w:t xml:space="preserve">Den frie bevægelighed for sikre og sunde fødevarer er et afgørende aspekt af det indre marked og bidrager i høj grad til beskyttelsen af borgernes sundhed og velvære og af deres sociale og økonomiske interesser. </w:t>
      </w:r>
    </w:p>
    <w:p w14:paraId="28CCE8DC" w14:textId="77777777" w:rsidR="00341F8F" w:rsidRPr="001E7C87" w:rsidRDefault="00341F8F" w:rsidP="00EC748B">
      <w:pPr>
        <w:jc w:val="both"/>
        <w:rPr>
          <w:rFonts w:ascii="Arial" w:hAnsi="Arial" w:cs="Arial"/>
          <w:sz w:val="24"/>
          <w:szCs w:val="24"/>
        </w:rPr>
      </w:pPr>
    </w:p>
    <w:p w14:paraId="580E0707" w14:textId="77777777" w:rsidR="00341F8F" w:rsidRPr="001E7C87" w:rsidRDefault="00341F8F" w:rsidP="009D5D83">
      <w:pPr>
        <w:ind w:firstLine="708"/>
        <w:jc w:val="both"/>
        <w:rPr>
          <w:rFonts w:ascii="Arial" w:hAnsi="Arial" w:cs="Arial"/>
          <w:sz w:val="24"/>
          <w:szCs w:val="24"/>
        </w:rPr>
      </w:pPr>
      <w:r>
        <w:rPr>
          <w:rFonts w:ascii="Arial" w:hAnsi="Arial"/>
          <w:sz w:val="24"/>
        </w:rPr>
        <w:t>For at opnå et højt beskyttelsesniveau af forbrugernes sundhed og garantere deres ret til information bør de sikres hensigtsmæssige forbrugeroplysninger om de fødevarer, de indtager. Forbrugernes valg kan bl.a. påvirkes af sundhedsmæssige, økonomiske, miljømæssige, sociale og etiske betragtninger.</w:t>
      </w:r>
    </w:p>
    <w:p w14:paraId="2D307FD8" w14:textId="77777777" w:rsidR="00341F8F" w:rsidRPr="001E7C87" w:rsidRDefault="00341F8F" w:rsidP="00EC748B">
      <w:pPr>
        <w:tabs>
          <w:tab w:val="left" w:pos="2205"/>
        </w:tabs>
        <w:jc w:val="both"/>
        <w:rPr>
          <w:rFonts w:ascii="Arial" w:hAnsi="Arial" w:cs="Arial"/>
          <w:sz w:val="24"/>
          <w:szCs w:val="24"/>
        </w:rPr>
      </w:pPr>
      <w:r>
        <w:rPr>
          <w:rFonts w:ascii="Arial" w:hAnsi="Arial"/>
          <w:sz w:val="24"/>
        </w:rPr>
        <w:tab/>
      </w:r>
    </w:p>
    <w:p w14:paraId="38A55550" w14:textId="77777777" w:rsidR="00341F8F" w:rsidRPr="001E7C87" w:rsidRDefault="00341F8F" w:rsidP="009D5D83">
      <w:pPr>
        <w:ind w:firstLine="708"/>
        <w:jc w:val="both"/>
        <w:rPr>
          <w:rFonts w:ascii="Arial" w:hAnsi="Arial" w:cs="Arial"/>
          <w:sz w:val="24"/>
          <w:szCs w:val="24"/>
        </w:rPr>
      </w:pPr>
      <w:r>
        <w:rPr>
          <w:rFonts w:ascii="Arial" w:hAnsi="Arial"/>
          <w:sz w:val="24"/>
        </w:rPr>
        <w:t>I henhold til Europa-Parlamentets og Rådets forordning (EF) nr. 178/2002 af 28. januar 2002 om generelle principper og krav i fødevarelovgivningen, om oprettelse af Den Europæiske Fødevaresikkerhedsautoritet og om procedurer vedrørende fødevaresikkerhed er det et generelt princip for fødevarelovgivningen, at den skal give forbrugerne grundlag for at træffe informerede valg med hensyn til de fødevarer, de indtager, og hindre enhver praksis, som kan vildlede forbrugeren.</w:t>
      </w:r>
    </w:p>
    <w:p w14:paraId="39C6C1B8" w14:textId="77777777" w:rsidR="00341F8F" w:rsidRPr="001E7C87" w:rsidRDefault="00341F8F" w:rsidP="00EC748B">
      <w:pPr>
        <w:jc w:val="both"/>
        <w:rPr>
          <w:rFonts w:ascii="Arial" w:hAnsi="Arial" w:cs="Arial"/>
          <w:sz w:val="24"/>
          <w:szCs w:val="24"/>
        </w:rPr>
      </w:pPr>
    </w:p>
    <w:p w14:paraId="190279A7" w14:textId="77777777" w:rsidR="00341F8F" w:rsidRPr="001E7C87" w:rsidRDefault="00341F8F" w:rsidP="009D5D83">
      <w:pPr>
        <w:ind w:firstLine="708"/>
        <w:jc w:val="both"/>
        <w:rPr>
          <w:rFonts w:ascii="Arial" w:hAnsi="Arial" w:cs="Arial"/>
          <w:sz w:val="24"/>
          <w:szCs w:val="24"/>
        </w:rPr>
      </w:pPr>
      <w:r>
        <w:rPr>
          <w:rFonts w:ascii="Arial" w:hAnsi="Arial"/>
          <w:sz w:val="24"/>
        </w:rPr>
        <w:t>Mærkningen af fødevarer er i denne forbindelse det primære kommunikationsmiddel mellem fødevareproducenterne og de endelige forbrugere, og den er således et centralt værktøj til at give dem mulighed for at træffe informerede beslutninger om de fødevarer, de køber og forbruger.</w:t>
      </w:r>
    </w:p>
    <w:p w14:paraId="0F01ABED" w14:textId="77777777" w:rsidR="00341F8F" w:rsidRPr="001E7C87" w:rsidRDefault="00341F8F" w:rsidP="00EC748B">
      <w:pPr>
        <w:jc w:val="both"/>
        <w:rPr>
          <w:rFonts w:ascii="Arial" w:hAnsi="Arial" w:cs="Arial"/>
          <w:sz w:val="24"/>
          <w:szCs w:val="24"/>
        </w:rPr>
      </w:pPr>
    </w:p>
    <w:p w14:paraId="4E2D55AC" w14:textId="77777777" w:rsidR="00341F8F" w:rsidRPr="001E7C87" w:rsidRDefault="00341F8F" w:rsidP="009D5D83">
      <w:pPr>
        <w:ind w:firstLine="708"/>
        <w:jc w:val="both"/>
        <w:rPr>
          <w:rFonts w:ascii="Arial" w:hAnsi="Arial" w:cs="Arial"/>
          <w:sz w:val="24"/>
          <w:szCs w:val="24"/>
        </w:rPr>
      </w:pPr>
      <w:r>
        <w:rPr>
          <w:rFonts w:ascii="Arial" w:hAnsi="Arial"/>
          <w:sz w:val="24"/>
        </w:rPr>
        <w:t xml:space="preserve">Europa-Parlamentets og Rådets forordning (EU) nr. 1380/2013 af 11. december 2013 om den fælles fiskeripolitik, ændring af Rådets forordning (EF) nr. 1954/2003 og (EF) nr. 1224/2009 og ophævelse af Rådets forordning (EF) nr. 2371/2002 og (EF) nr. 639/2004 samt Rådets afgørelse 2004/585/EF fastslår desuden, at den fælles fiskeripolitik skal bidrage til et effektivt og gennemsigtigt indre marked for fiskevarer og akvakulturprodukter og til at sikre lige vilkår for fiskevarer og akvakulturprodukter, der afsættes, samt tage hensyn til både forbruger- og producentinteresser. </w:t>
      </w:r>
    </w:p>
    <w:p w14:paraId="3C3C98A0" w14:textId="77777777" w:rsidR="00341F8F" w:rsidRPr="001E7C87" w:rsidRDefault="00341F8F" w:rsidP="00EC748B">
      <w:pPr>
        <w:jc w:val="both"/>
        <w:rPr>
          <w:rFonts w:ascii="Arial" w:hAnsi="Arial" w:cs="Arial"/>
          <w:sz w:val="24"/>
          <w:szCs w:val="24"/>
        </w:rPr>
      </w:pPr>
    </w:p>
    <w:p w14:paraId="7BB8169A" w14:textId="72440F18" w:rsidR="00341F8F" w:rsidRPr="001E7C87" w:rsidRDefault="00341F8F" w:rsidP="009D5D83">
      <w:pPr>
        <w:ind w:firstLine="708"/>
        <w:jc w:val="both"/>
        <w:rPr>
          <w:rFonts w:ascii="Arial" w:hAnsi="Arial" w:cs="Arial"/>
          <w:sz w:val="24"/>
          <w:szCs w:val="24"/>
        </w:rPr>
      </w:pPr>
      <w:r>
        <w:rPr>
          <w:rFonts w:ascii="Arial" w:hAnsi="Arial"/>
          <w:sz w:val="24"/>
        </w:rPr>
        <w:t xml:space="preserve">I Europa-Parlamentets og Rådets forordning (EU) nr. 1380/2013 af 11. december 2013, nævnt ovenfor, fastslås det, at den fælles markedsordning bør gøre markederne mere gennemsigtige og stabile, sikre at fordelingen af merværdien gennem sektorens forsyningskæde er mere afbalanceret og forbedre </w:t>
      </w:r>
      <w:r>
        <w:rPr>
          <w:rFonts w:ascii="Arial" w:hAnsi="Arial"/>
          <w:sz w:val="24"/>
        </w:rPr>
        <w:lastRenderedPageBreak/>
        <w:t>forbrugerinformation og -bevidsthed ved hjælp af underretninger og/eller mærkning, der giver forståelig information. Forbrugeren bør navnlig få klare og fyldestgørende oplysninger om produktets oprindelse og produktionsmåde, navnlig ved hjælp af mærkning.</w:t>
      </w:r>
    </w:p>
    <w:p w14:paraId="60480209" w14:textId="77777777" w:rsidR="00341F8F" w:rsidRPr="001E7C87" w:rsidRDefault="00341F8F" w:rsidP="00EC748B">
      <w:pPr>
        <w:jc w:val="both"/>
        <w:rPr>
          <w:rFonts w:ascii="Arial" w:hAnsi="Arial" w:cs="Arial"/>
          <w:sz w:val="24"/>
          <w:szCs w:val="24"/>
        </w:rPr>
      </w:pPr>
    </w:p>
    <w:p w14:paraId="45830948" w14:textId="77777777" w:rsidR="00341F8F" w:rsidRPr="001E7C87" w:rsidRDefault="00341F8F" w:rsidP="009D5D83">
      <w:pPr>
        <w:ind w:firstLine="708"/>
        <w:jc w:val="both"/>
        <w:rPr>
          <w:rFonts w:ascii="Arial" w:hAnsi="Arial" w:cs="Arial"/>
          <w:sz w:val="24"/>
          <w:szCs w:val="24"/>
        </w:rPr>
      </w:pPr>
      <w:r>
        <w:rPr>
          <w:rFonts w:ascii="Arial" w:hAnsi="Arial"/>
          <w:sz w:val="24"/>
        </w:rPr>
        <w:t xml:space="preserve">I denne forbindelse fastslår Europa-Parlamentets og Rådets forordning (EU) nr. 1379/2013 af 11. december 2013 om den fælles markedsordning for fiskevarer og akvakulturprodukter, at det for at give forbrugerne mulighed for at vælge produkter er nødvendigt, at de får klare og fyldestgørende oplysninger om produkterne. Formålet med nævnte forordning er at forfølge et højt beskyttelsesniveau for forbrugernes sundhed og, når alt kommer til alt, sikre deres ret til oplysninger, for at de kan træffe informerede valg. Med henblik herpå omhandler kapitel IV i nævnte forordning oplysningerne til den endelige forbruger, jf. dog Europa-Parlamentets og Rådets forordning (EU) nr. 1169/2011 af 25. oktober 2011 om fødevareinformation til forbrugerne, om ændring af Europa-Parlamentets og Rådets forordning (EF) nr. 1924/2006 og (EF) nr. 1925/2006 og om ophævelse af Kommissionens direktiv 87/250/EØF, Rådets direktiv 90/496/EØF, Kommissionens direktiv 1999/10/EF, Europa-Parlamentets og Rådets direktiv 2000/13/EF, Kommissionens direktiv 2002/67/EF og 2008/5/EF og Kommissionens forordning (EF) nr. 608/2004, som finder anvendelse på de fiskevarer og akvakulturprodukter, der er anført under litra a), b), c) og e) i bilag I til den fælles markedsordning. </w:t>
      </w:r>
    </w:p>
    <w:p w14:paraId="4F07EC37" w14:textId="77777777" w:rsidR="00341F8F" w:rsidRPr="001E7C87" w:rsidRDefault="00341F8F" w:rsidP="00EC748B">
      <w:pPr>
        <w:jc w:val="both"/>
        <w:rPr>
          <w:rFonts w:ascii="Arial" w:hAnsi="Arial" w:cs="Arial"/>
          <w:sz w:val="24"/>
          <w:szCs w:val="24"/>
        </w:rPr>
      </w:pPr>
    </w:p>
    <w:p w14:paraId="7DFDEABE" w14:textId="77777777" w:rsidR="00341F8F" w:rsidRPr="001E7C87" w:rsidRDefault="00341F8F" w:rsidP="009D5D83">
      <w:pPr>
        <w:ind w:firstLine="708"/>
        <w:jc w:val="both"/>
        <w:rPr>
          <w:rFonts w:ascii="Arial" w:hAnsi="Arial" w:cs="Arial"/>
          <w:sz w:val="24"/>
          <w:szCs w:val="24"/>
        </w:rPr>
      </w:pPr>
      <w:r>
        <w:rPr>
          <w:rFonts w:ascii="Arial" w:hAnsi="Arial"/>
          <w:sz w:val="24"/>
        </w:rPr>
        <w:t xml:space="preserve">Mere specifikt fastslås det i artikel 37 i Europa-Parlamentets og Rådets forordning (EU) nr. 1379/2013 af 11. december 2013, nævnt ovenfor, at hver medlemsstat hvad angår obligatoriske oplysninger til forbrugeren skal offentliggøre en liste over de handelsbetegnelser, der er godkendt på dets område, sammen med de videnskabelige navne for de produkter, der er omfattet af litra a), b) c) og e) i bilag I til nævnte forordning. </w:t>
      </w:r>
    </w:p>
    <w:p w14:paraId="11238964" w14:textId="77777777" w:rsidR="00341F8F" w:rsidRPr="001E7C87" w:rsidRDefault="00341F8F" w:rsidP="00EC748B">
      <w:pPr>
        <w:jc w:val="both"/>
        <w:rPr>
          <w:rFonts w:ascii="Arial" w:hAnsi="Arial" w:cs="Arial"/>
          <w:sz w:val="24"/>
          <w:szCs w:val="24"/>
        </w:rPr>
      </w:pPr>
    </w:p>
    <w:p w14:paraId="1B5A794D" w14:textId="77777777" w:rsidR="00341F8F" w:rsidRPr="001E7C87" w:rsidRDefault="00341F8F" w:rsidP="009D5D83">
      <w:pPr>
        <w:ind w:firstLine="708"/>
        <w:jc w:val="both"/>
        <w:rPr>
          <w:rFonts w:ascii="Arial" w:hAnsi="Arial" w:cs="Arial"/>
          <w:sz w:val="24"/>
          <w:szCs w:val="24"/>
        </w:rPr>
      </w:pPr>
      <w:r>
        <w:rPr>
          <w:rFonts w:ascii="Arial" w:hAnsi="Arial"/>
          <w:sz w:val="24"/>
        </w:rPr>
        <w:t>Generalsekretariatet for fiskeri har i denne forbindelse årligt offentliggjort listen med handelsbetegnelser over fiske- og akvakulturarter, der er godkendt i Spanien, sidst ved afgørelse af 24. maj 2019.</w:t>
      </w:r>
    </w:p>
    <w:p w14:paraId="78EC4CBF" w14:textId="77777777" w:rsidR="00341F8F" w:rsidRPr="001E7C87" w:rsidRDefault="00341F8F" w:rsidP="00EC748B">
      <w:pPr>
        <w:jc w:val="both"/>
        <w:rPr>
          <w:rFonts w:ascii="Arial" w:hAnsi="Arial" w:cs="Arial"/>
          <w:sz w:val="24"/>
          <w:szCs w:val="24"/>
        </w:rPr>
      </w:pPr>
    </w:p>
    <w:p w14:paraId="1C492A0F" w14:textId="77777777" w:rsidR="00341F8F" w:rsidRPr="001E7C87" w:rsidRDefault="00341F8F" w:rsidP="009D5D83">
      <w:pPr>
        <w:ind w:firstLine="708"/>
        <w:jc w:val="both"/>
        <w:rPr>
          <w:rFonts w:ascii="Arial" w:hAnsi="Arial" w:cs="Arial"/>
          <w:sz w:val="24"/>
          <w:szCs w:val="24"/>
        </w:rPr>
      </w:pPr>
      <w:r>
        <w:rPr>
          <w:rFonts w:ascii="Arial" w:hAnsi="Arial"/>
          <w:sz w:val="24"/>
        </w:rPr>
        <w:t>Denne liste over handelsbetegnelser omfatter imidlertid ikke betegnelserne for de produkter, der er omfattet af litra h) og i) i nævnte bilag I til forordning (EU) nr. 1379/2013, dvs. fisk, bløddyr, krebsdyr og andre hvirvelløse vanddyr, tilberedte eller konserverede, der hører under toldposition 1604 og 1605 i den kombinerede nomenklatur. For disse produkter finder kravene til obligatoriske oplysninger i Europa-Parlamentets og Rådets forordning (EU) nr. 1169/2011 om fødevareinformation til forbrugerne anvendelse, navnlig oplysninger vedrørende varebetegnelsen for fødevaren.</w:t>
      </w:r>
    </w:p>
    <w:p w14:paraId="3DDF3FDD" w14:textId="77777777" w:rsidR="00341F8F" w:rsidRPr="001E7C87" w:rsidRDefault="00341F8F" w:rsidP="00EC748B">
      <w:pPr>
        <w:jc w:val="both"/>
        <w:rPr>
          <w:rFonts w:ascii="Arial" w:hAnsi="Arial" w:cs="Arial"/>
          <w:sz w:val="24"/>
          <w:szCs w:val="24"/>
        </w:rPr>
      </w:pPr>
    </w:p>
    <w:p w14:paraId="38A1E6E4" w14:textId="77777777" w:rsidR="00341F8F" w:rsidRPr="001E7C87" w:rsidRDefault="00341F8F" w:rsidP="009D5D83">
      <w:pPr>
        <w:pStyle w:val="Default"/>
        <w:ind w:firstLine="708"/>
        <w:jc w:val="both"/>
        <w:rPr>
          <w:rFonts w:ascii="Arial" w:hAnsi="Arial" w:cs="Arial"/>
          <w:color w:val="auto"/>
        </w:rPr>
      </w:pPr>
      <w:r>
        <w:rPr>
          <w:rFonts w:ascii="Arial" w:hAnsi="Arial"/>
          <w:color w:val="auto"/>
        </w:rPr>
        <w:t xml:space="preserve">Hvad angår sidstnævnte gøres der opmærksom på, at de standardiserede betegnelser, der finder anvendelse på konserveret fisk, og som har været anvendt i Spanien, er dem, der er anført i det gældende bilag IV til kongeligt dekret 1521/1984 </w:t>
      </w:r>
      <w:r>
        <w:rPr>
          <w:rFonts w:ascii="Arial" w:hAnsi="Arial"/>
          <w:color w:val="auto"/>
        </w:rPr>
        <w:lastRenderedPageBreak/>
        <w:t xml:space="preserve">af 1. august 1984 om godkendelse af sundhedstekniske forskrifter for anlæg og produkter fra fiskeri og akvakultur med henblik på konsum, en forskrift som er delvist ophævet med undtagelse af lige nøjagtig nævnte bilag IV, bilag VII samt artikel 3 og 4. På grund af den tid, der er gået og i overensstemmelse med ændringerne i de europæiske og nationale bestemmelser om fiskeri, fødevareinformation og -sikkerhed, anses det i denne forbindelse for nødvendigt at tilpasse definitionerne i disse bestemmelser hvad angår henholdsvis præsentations-, konserverings- og handelsformer for fiskerivarer og akvakulturprodukter og delene af fiskerivarer. Samtidig erstattes nævnte bilag IV til kongeligt dekret 1521/1984 af 1. august 1984 med bestemmelserne i det nye bilag til nærværende kongelige dekret. </w:t>
      </w:r>
    </w:p>
    <w:p w14:paraId="362377FE" w14:textId="77777777" w:rsidR="00341F8F" w:rsidRPr="001E7C87" w:rsidRDefault="00341F8F" w:rsidP="00EC748B">
      <w:pPr>
        <w:jc w:val="both"/>
        <w:rPr>
          <w:rFonts w:ascii="Arial" w:hAnsi="Arial" w:cs="Arial"/>
          <w:sz w:val="24"/>
          <w:szCs w:val="24"/>
        </w:rPr>
      </w:pPr>
    </w:p>
    <w:p w14:paraId="09BF29D6" w14:textId="77777777" w:rsidR="00341F8F" w:rsidRPr="001E7C87" w:rsidRDefault="00341F8F" w:rsidP="009D5D83">
      <w:pPr>
        <w:ind w:firstLine="708"/>
        <w:jc w:val="both"/>
        <w:rPr>
          <w:rFonts w:ascii="Arial" w:hAnsi="Arial" w:cs="Arial"/>
          <w:sz w:val="24"/>
          <w:szCs w:val="24"/>
        </w:rPr>
      </w:pPr>
      <w:r>
        <w:rPr>
          <w:rFonts w:ascii="Arial" w:hAnsi="Arial"/>
          <w:sz w:val="24"/>
        </w:rPr>
        <w:t xml:space="preserve">Ligeledes bør visse andre forskrifter, der i denne forbindelse skal ajourføres, revideres med henblik på at sikre intern kohærens med den spanske lovgivning, navnlig bekendtgørelse af 15. oktober 1985 om godkendelse af kvalitetsstandard for konserverede muslinger, tæppemuslinger og hjertemuslinger og bekendtgørelse af 15. oktober 1985 om godkendelse af kvalitetsstandard for kogte og frosne muslinger, der regulerer forhold vedrørende varebetegnelsen for disse produkter. </w:t>
      </w:r>
    </w:p>
    <w:p w14:paraId="05B4B310" w14:textId="77777777" w:rsidR="00341F8F" w:rsidRPr="001E7C87" w:rsidRDefault="00341F8F" w:rsidP="00EC748B">
      <w:pPr>
        <w:jc w:val="both"/>
        <w:rPr>
          <w:rFonts w:ascii="Arial" w:hAnsi="Arial" w:cs="Arial"/>
          <w:sz w:val="24"/>
          <w:szCs w:val="24"/>
        </w:rPr>
      </w:pPr>
    </w:p>
    <w:p w14:paraId="004628C2" w14:textId="77777777" w:rsidR="00341F8F" w:rsidRPr="001E7C87" w:rsidRDefault="00341F8F" w:rsidP="009D5D83">
      <w:pPr>
        <w:ind w:firstLine="708"/>
        <w:jc w:val="both"/>
        <w:rPr>
          <w:rFonts w:ascii="Arial" w:hAnsi="Arial" w:cs="Arial"/>
          <w:sz w:val="24"/>
          <w:szCs w:val="24"/>
        </w:rPr>
      </w:pPr>
      <w:r>
        <w:rPr>
          <w:rFonts w:ascii="Arial" w:hAnsi="Arial"/>
          <w:sz w:val="24"/>
        </w:rPr>
        <w:t>Der er i begge tilfælde tale om forskrifter, der har fundet anvendelse på dette område i mange år, og som skal erstattes af indholdet i dette kongelige dekret, idet der tages højde for udviklingen af fødevareproduktionen inden for det indre marked, de nye standarder og forbrugsvaner samt endelig og frem for alt aktørernes og de erhvervsdrivendes ansvar, de er de hovedansvarlige i fødevarekæden for sikkerheden hvad angår passende oplysninger til forbrugeren, fra primærproduktion til forarbejdning, distribution og salg, og derfor bør alle firmaer i fødevaresektoren garantere sikkerheden af deres produkter i de faser af fødevarekæden, de har ansvaret for, fra produktion til salg til den endelige forbruger.</w:t>
      </w:r>
    </w:p>
    <w:p w14:paraId="1E9659F1" w14:textId="77777777" w:rsidR="00341F8F" w:rsidRPr="001E7C87" w:rsidRDefault="00341F8F" w:rsidP="00EC748B">
      <w:pPr>
        <w:jc w:val="both"/>
        <w:rPr>
          <w:rFonts w:ascii="Arial" w:hAnsi="Arial" w:cs="Arial"/>
          <w:sz w:val="24"/>
          <w:szCs w:val="24"/>
        </w:rPr>
      </w:pPr>
    </w:p>
    <w:p w14:paraId="090546A0" w14:textId="77777777" w:rsidR="00341F8F" w:rsidRPr="001E7C87" w:rsidRDefault="00341F8F" w:rsidP="009D5D83">
      <w:pPr>
        <w:ind w:firstLine="708"/>
        <w:jc w:val="both"/>
        <w:rPr>
          <w:rFonts w:ascii="Arial" w:hAnsi="Arial" w:cs="Arial"/>
          <w:sz w:val="24"/>
          <w:szCs w:val="24"/>
        </w:rPr>
      </w:pPr>
      <w:r>
        <w:rPr>
          <w:rFonts w:ascii="Arial" w:hAnsi="Arial"/>
          <w:sz w:val="24"/>
        </w:rPr>
        <w:t xml:space="preserve">Det bør desuden tilføjes, at der på europæisk plan er blevet fastsat nogle fælles handelsnormer for salg af visse produkter. Det gælder for eksempel Rådets forordning (EØF) nr. 1536/92 af 9. juni 1992 om fælles handelsnormer for tun- og bonitkonserves og Rådets forordning (EØF) nr. 2136/89 af 21. juni 1989 om fælles handelsnormer for sardinkonserves. </w:t>
      </w:r>
    </w:p>
    <w:p w14:paraId="2A732259" w14:textId="77777777" w:rsidR="00341F8F" w:rsidRPr="001E7C87" w:rsidRDefault="00341F8F" w:rsidP="00EC748B">
      <w:pPr>
        <w:jc w:val="both"/>
        <w:rPr>
          <w:rFonts w:ascii="Arial" w:hAnsi="Arial" w:cs="Arial"/>
          <w:sz w:val="24"/>
          <w:szCs w:val="24"/>
        </w:rPr>
      </w:pPr>
    </w:p>
    <w:p w14:paraId="1DF968FB" w14:textId="77777777" w:rsidR="00341F8F" w:rsidRPr="001E7C87" w:rsidRDefault="00341F8F" w:rsidP="009D5D83">
      <w:pPr>
        <w:ind w:firstLine="708"/>
        <w:jc w:val="both"/>
        <w:rPr>
          <w:rFonts w:ascii="Arial" w:hAnsi="Arial" w:cs="Arial"/>
          <w:sz w:val="24"/>
          <w:szCs w:val="24"/>
        </w:rPr>
      </w:pPr>
      <w:r>
        <w:rPr>
          <w:rFonts w:ascii="Arial" w:hAnsi="Arial"/>
          <w:sz w:val="24"/>
        </w:rPr>
        <w:t>Sameksistensen af flere forskellige lister</w:t>
      </w:r>
      <w:r>
        <w:t xml:space="preserve"> </w:t>
      </w:r>
      <w:r>
        <w:rPr>
          <w:rFonts w:ascii="Arial" w:hAnsi="Arial"/>
          <w:sz w:val="24"/>
        </w:rPr>
        <w:t>over betegnelser for de enkelte fiskevarer og akvakulturprodukter samt nogle fælles handelsnormer for bestemte produkter gør det hensigtsmæssigt at foretage en samlet gennemgang af disse og samle dem til én liste, således at der er en samlet liste, der hurtigt og fleksibelt kan ajourføres af generalsekretariatet for fiskeri, idet der tages højde for den videnskabelige og taksonomiske udvikling samt den kommercielle og teknologiske forandring, den spanske forarbejdningsindustri har gennemgået de sidste årtier med fremkomsten af nye produkter og nye forarbejdede produkter, og dette vil samtidig styrke aktørernes og forbrugernes retssikkerhed.</w:t>
      </w:r>
    </w:p>
    <w:p w14:paraId="043D24F4" w14:textId="77777777" w:rsidR="00341F8F" w:rsidRPr="001E7C87" w:rsidRDefault="00341F8F" w:rsidP="00EC748B">
      <w:pPr>
        <w:jc w:val="both"/>
        <w:rPr>
          <w:rFonts w:ascii="Arial" w:hAnsi="Arial" w:cs="Arial"/>
          <w:sz w:val="24"/>
          <w:szCs w:val="24"/>
        </w:rPr>
      </w:pPr>
    </w:p>
    <w:p w14:paraId="38BF47DC" w14:textId="77777777" w:rsidR="00341F8F" w:rsidRPr="001E7C87" w:rsidRDefault="00341F8F" w:rsidP="009D5D83">
      <w:pPr>
        <w:ind w:firstLine="708"/>
        <w:jc w:val="both"/>
        <w:rPr>
          <w:rFonts w:ascii="Arial" w:hAnsi="Arial" w:cs="Arial"/>
          <w:sz w:val="24"/>
          <w:szCs w:val="24"/>
        </w:rPr>
      </w:pPr>
      <w:r>
        <w:rPr>
          <w:rFonts w:ascii="Arial" w:hAnsi="Arial"/>
          <w:sz w:val="24"/>
        </w:rPr>
        <w:lastRenderedPageBreak/>
        <w:t xml:space="preserve">Desuden fastslår artikel 75 i lov 3/2001 af 26. marts 2001 om statens regulering af fiskeri de politiske instrumenter vedrørende salg og forarbejdning af fiskerivarer, og den fastslår muligheden for at anvende foranstaltninger til normalisering af produkterne langs hele afsætningskæden for derved at sikre gennemsigtighed på markedet og give mulighed for, at forbrugere får relevante oplysninger, navnlig hvad angår varernes art og oprindelse. </w:t>
      </w:r>
    </w:p>
    <w:p w14:paraId="1D3484A3" w14:textId="77777777" w:rsidR="00341F8F" w:rsidRPr="001E7C87" w:rsidRDefault="00341F8F" w:rsidP="00EC748B">
      <w:pPr>
        <w:jc w:val="both"/>
        <w:rPr>
          <w:rFonts w:ascii="Arial" w:hAnsi="Arial" w:cs="Arial"/>
          <w:sz w:val="24"/>
          <w:szCs w:val="24"/>
        </w:rPr>
      </w:pPr>
    </w:p>
    <w:p w14:paraId="02D12029" w14:textId="77777777" w:rsidR="00341F8F" w:rsidRPr="001E7C87" w:rsidRDefault="00341F8F" w:rsidP="009D5D83">
      <w:pPr>
        <w:ind w:firstLine="708"/>
        <w:jc w:val="both"/>
        <w:rPr>
          <w:rFonts w:ascii="Arial" w:hAnsi="Arial" w:cs="Arial"/>
          <w:sz w:val="24"/>
          <w:szCs w:val="24"/>
        </w:rPr>
      </w:pPr>
      <w:r>
        <w:rPr>
          <w:rFonts w:ascii="Arial" w:hAnsi="Arial"/>
          <w:sz w:val="24"/>
        </w:rPr>
        <w:t>Bestemmelserne i dette kongelige dekret finder anvendelse med forbehold af den generelle lovgivning om fødevarer, navnlig forordning (EU) nr. 1169/2011 af 25. oktober 2011 om fødevareinformation til forbrugerne, forordning (EU) nr. 1151/2012 af 21. november 2012 om kvalitetsordninger for landbrugsprodukter og fødevarer, Europa-Parlamentets og Rådets forordning (EU) 2018/848 af 30. maj 2018 om økologisk produktion og mærkning af økologiske produkter og om ophævelse af Rådets forordning (EF) nr. 834/2007, og specifikt af lovgivningen om fødevaresikkerhed, der vedrører ernærings- og sundhedsanprisninger, mærkning afledt af nye fødevarer, genetisk modificerede organismer, fødevarer bestemt til spædbørn og småbørn, fødevarer til særlige medicinske formål og kosterstatning til vægtkontrol. Den finder desuden anvendelse med forbehold af de eventuelle frivillige oplysninger, som hver aktør vælger at give inden for rammerne af Europa-Parlamentets og Rådets forordning (EU) nr. 1379/2013 af 11. december 2013 og Europa-Parlamentets og Rådets forordning (EU) nr. 1169/2011 af 25. oktober 2011.</w:t>
      </w:r>
    </w:p>
    <w:p w14:paraId="2BCB6830" w14:textId="77777777" w:rsidR="00341F8F" w:rsidRPr="001E7C87" w:rsidRDefault="00341F8F" w:rsidP="00EC748B">
      <w:pPr>
        <w:jc w:val="both"/>
        <w:rPr>
          <w:rFonts w:ascii="Arial" w:hAnsi="Arial" w:cs="Arial"/>
          <w:sz w:val="24"/>
          <w:szCs w:val="24"/>
        </w:rPr>
      </w:pPr>
    </w:p>
    <w:p w14:paraId="3568C21F" w14:textId="77777777" w:rsidR="00341F8F" w:rsidRPr="001E7C87" w:rsidRDefault="00341F8F" w:rsidP="009D5D83">
      <w:pPr>
        <w:ind w:firstLine="708"/>
        <w:jc w:val="both"/>
        <w:rPr>
          <w:rFonts w:ascii="Arial" w:hAnsi="Arial" w:cs="Arial"/>
          <w:sz w:val="24"/>
          <w:szCs w:val="24"/>
        </w:rPr>
      </w:pPr>
      <w:r>
        <w:rPr>
          <w:rFonts w:ascii="Arial" w:hAnsi="Arial"/>
          <w:sz w:val="24"/>
        </w:rPr>
        <w:t>Med henblik på at harmonisere den nødvendige fleksibilitet i godkendelsesprocesserne vedrørende anmodninger om tilpasning af listen til lovgivningshierarkiet, indføres med dekretet en mekanisme til efterfølgende ajourføringer, der offentliggøres og giver operatørerne retssikkerhed, og som årligt realiseres ved en bekendtgørelse med efterfølgende ajourføringer af det nuværende bilag for at sikre det korrekte kendskab, uden at noget af dette imidlertid berører forvaltningens mulighed for på eget initiativ at revidere listen, når det er relevant.</w:t>
      </w:r>
    </w:p>
    <w:p w14:paraId="0EEBF116" w14:textId="77777777" w:rsidR="00341F8F" w:rsidRPr="001E7C87" w:rsidRDefault="00341F8F" w:rsidP="00EC748B">
      <w:pPr>
        <w:jc w:val="both"/>
        <w:rPr>
          <w:rFonts w:ascii="Arial" w:hAnsi="Arial" w:cs="Arial"/>
          <w:sz w:val="24"/>
          <w:szCs w:val="24"/>
        </w:rPr>
      </w:pPr>
    </w:p>
    <w:p w14:paraId="0C8C99F5" w14:textId="77777777" w:rsidR="00341F8F" w:rsidRPr="001E7C87" w:rsidRDefault="00341F8F" w:rsidP="009D5D83">
      <w:pPr>
        <w:ind w:firstLine="708"/>
        <w:jc w:val="both"/>
        <w:rPr>
          <w:rFonts w:ascii="Arial" w:hAnsi="Arial" w:cs="Arial"/>
          <w:sz w:val="24"/>
          <w:szCs w:val="24"/>
        </w:rPr>
      </w:pPr>
      <w:r>
        <w:rPr>
          <w:rFonts w:ascii="Arial" w:hAnsi="Arial"/>
          <w:sz w:val="24"/>
        </w:rPr>
        <w:t xml:space="preserve">I overensstemmelse med bestemmelserne i Europa-Parlamentets og Rådets direktiv (EU) 2015/1535 af 9. september 2015 om en informationsprocedure med hensyn til tekniske forskrifter samt forskrifter for informationssamfundets tjenester og i kongeligt dekret 1337/1999 af 31. juli 1999 om et rapporteringssystem om tekniske forskrifter samt forskrifter for informationssamfundets tjenester er denne forskrift fremsendt til Europa-Kommissionen og til de resterende medlemsstater. </w:t>
      </w:r>
    </w:p>
    <w:p w14:paraId="08FB11FE" w14:textId="77777777" w:rsidR="00341F8F" w:rsidRPr="001E7C87" w:rsidRDefault="00341F8F" w:rsidP="00EC748B">
      <w:pPr>
        <w:jc w:val="both"/>
        <w:rPr>
          <w:rFonts w:ascii="Arial" w:hAnsi="Arial" w:cs="Arial"/>
          <w:sz w:val="24"/>
          <w:szCs w:val="24"/>
        </w:rPr>
      </w:pPr>
    </w:p>
    <w:p w14:paraId="22EDE36A" w14:textId="77777777" w:rsidR="00341F8F" w:rsidRPr="001E7C87" w:rsidRDefault="00341F8F" w:rsidP="009D5D83">
      <w:pPr>
        <w:ind w:firstLine="708"/>
        <w:jc w:val="both"/>
        <w:rPr>
          <w:rFonts w:ascii="Arial" w:hAnsi="Arial" w:cs="Arial"/>
          <w:sz w:val="24"/>
          <w:szCs w:val="24"/>
        </w:rPr>
      </w:pPr>
      <w:r>
        <w:rPr>
          <w:rFonts w:ascii="Arial" w:hAnsi="Arial"/>
          <w:sz w:val="24"/>
        </w:rPr>
        <w:t>Indholdet i dette kongelige dekret opfylder principperne for hensigtsmæssig lovgivning fastsat i artikel 129 i lov nr. 39/2015 af 1. oktober 2015 om fælles administrativ praksis i den offentlige forvaltning. I overensstemmelse med principperne om nødvendighed og effektivitet begrundes denne forskrift med behovet for at fastlægge en passende regulering af handelsbetegnelser for konserverede eller tilberedte fødevarer samt de handelsbetegnelser, som Spanien har godkendt for fiskevarer og akvakulturprodukter, i henhold til bestemmelserne i den europæiske lovgivning</w:t>
      </w:r>
      <w:r>
        <w:t xml:space="preserve"> </w:t>
      </w:r>
      <w:r>
        <w:rPr>
          <w:rFonts w:ascii="Arial" w:hAnsi="Arial"/>
          <w:sz w:val="24"/>
        </w:rPr>
        <w:t xml:space="preserve">samt kravet i artikel 37 i Europa-Parlamentets og Rådets forordning (EU) </w:t>
      </w:r>
      <w:r>
        <w:rPr>
          <w:rFonts w:ascii="Arial" w:hAnsi="Arial"/>
          <w:sz w:val="24"/>
        </w:rPr>
        <w:lastRenderedPageBreak/>
        <w:t>nr. 1379/2013 af 11. december 2013. Derudover er der taget højde for principperne om effektivitet og proportionalitet ved at indføre en nødvendig regulering med henblik på at opfylde de fastsatte mål. Ud over den offentlige høring er de selvstyrende regioner samt de enheder, der repræsenterer den berørte sektor, i overensstemmelse med princippet om åbenhed og gennemskuelighed blevet hørt i forbindelse med behandlingen af denne forskrift. Endelig opfylder det kongelige dekret princippet om retssikkerhed, idet der er kohærens med den øvrige lovgivning, der finder anvendelse, og idet aktørerne indrømmes de overgangsperioder, der er nødvendige for tilpasning til retsakten.</w:t>
      </w:r>
    </w:p>
    <w:p w14:paraId="1B3A1E72" w14:textId="77777777" w:rsidR="00341F8F" w:rsidRPr="0042391F" w:rsidRDefault="00341F8F" w:rsidP="00EC748B">
      <w:pPr>
        <w:jc w:val="both"/>
        <w:rPr>
          <w:rFonts w:ascii="Arial" w:hAnsi="Arial" w:cs="Arial"/>
          <w:sz w:val="24"/>
          <w:szCs w:val="24"/>
          <w:lang w:val="de-DE"/>
        </w:rPr>
      </w:pPr>
    </w:p>
    <w:p w14:paraId="1FAEB317" w14:textId="77777777" w:rsidR="00341F8F" w:rsidRPr="001E7C87" w:rsidRDefault="00341F8F" w:rsidP="009D5D83">
      <w:pPr>
        <w:ind w:firstLine="708"/>
        <w:jc w:val="both"/>
        <w:rPr>
          <w:rFonts w:ascii="Arial" w:hAnsi="Arial" w:cs="Arial"/>
          <w:sz w:val="24"/>
          <w:szCs w:val="24"/>
        </w:rPr>
      </w:pPr>
      <w:r>
        <w:rPr>
          <w:rFonts w:ascii="Arial" w:hAnsi="Arial"/>
          <w:sz w:val="24"/>
        </w:rPr>
        <w:t xml:space="preserve">Desuden indeholder denne forskrift en model for samarbejde mellem forvaltningerne, der overholder både statens og de selvstyrende regioners kompetenceområder, hvilket således sikrer en korrekt forbindelse mellem disse kompetenceområder. I overensstemmelse med den europæiske lovgivning på området er det således staten, der som overordnet organ har bemyndigelse til at offentliggøre en samlet liste for hele landet med handelsbetegnelser. På denne liste opføres på den ene side de handelsbetegnelser, der gælder for hele det nationale territorium, og som godkendes i medfør af dette kongelige dekret, og på den anden side de lister, som de kompetente organer i de selvstyrende regioner i givet fald godkender over de handelsbetegnelser, der er godkendt på deres respektive områder, og som supplerer de nationale betegnelser, men som aldrig erstatter dem. Disse lister skal ligeledes offentliggøres i deres respektive lovtidende, og de kompetente organer i de selvstyrende regioner underretter i januar hvert år generalsekretariatet for fiskeri om de beslutninger, hvorved disse supplerende lister godkendes, med henblik på at listerne samles og offentliggøres i den omtalte årlige bekendtgørelse, hvilket sikrer løbende ajourføring af disse betegnelser, retssikkerhed og beskyttelse af forbrugernes interesser. </w:t>
      </w:r>
    </w:p>
    <w:p w14:paraId="0C192B43" w14:textId="77777777" w:rsidR="00341F8F" w:rsidRPr="001E7C87" w:rsidRDefault="00341F8F" w:rsidP="00EC748B">
      <w:pPr>
        <w:jc w:val="both"/>
        <w:rPr>
          <w:rFonts w:ascii="Arial" w:hAnsi="Arial" w:cs="Arial"/>
          <w:sz w:val="24"/>
          <w:szCs w:val="24"/>
        </w:rPr>
      </w:pPr>
    </w:p>
    <w:p w14:paraId="3C9D5BC4" w14:textId="77777777" w:rsidR="00341F8F" w:rsidRPr="001E7C87" w:rsidRDefault="00341F8F" w:rsidP="009D5D83">
      <w:pPr>
        <w:ind w:firstLine="708"/>
        <w:jc w:val="both"/>
        <w:rPr>
          <w:rFonts w:ascii="Arial" w:hAnsi="Arial" w:cs="Arial"/>
          <w:sz w:val="24"/>
          <w:szCs w:val="24"/>
        </w:rPr>
      </w:pPr>
      <w:r>
        <w:rPr>
          <w:rFonts w:ascii="Arial" w:hAnsi="Arial"/>
          <w:sz w:val="24"/>
        </w:rPr>
        <w:t>Under udarbejdelsen af denne forskrift</w:t>
      </w:r>
      <w:r>
        <w:rPr>
          <w:sz w:val="24"/>
        </w:rPr>
        <w:t xml:space="preserve"> </w:t>
      </w:r>
      <w:r>
        <w:rPr>
          <w:rFonts w:ascii="Arial" w:hAnsi="Arial"/>
          <w:sz w:val="24"/>
        </w:rPr>
        <w:t>er de bindende procedurer for offentlig høring, revision og information til offentligheden blevet overholdt. Ligeledes er de selvstyrende regioner og de enheder, der repræsenterer de berørte sektorer, blevet hørt, og det tværministerielle udvalg for fødevareplanlægning (Comisión Interministerial para la Ordenación Alimentaria) har afgivet sin obligatoriske rapport.</w:t>
      </w:r>
    </w:p>
    <w:p w14:paraId="7BD65168" w14:textId="77777777" w:rsidR="00341F8F" w:rsidRPr="001E7C87" w:rsidRDefault="00341F8F" w:rsidP="00EC748B">
      <w:pPr>
        <w:jc w:val="both"/>
        <w:rPr>
          <w:rFonts w:ascii="Arial" w:hAnsi="Arial" w:cs="Arial"/>
          <w:sz w:val="24"/>
          <w:szCs w:val="24"/>
        </w:rPr>
      </w:pPr>
    </w:p>
    <w:p w14:paraId="67FDEF80" w14:textId="77777777" w:rsidR="00341F8F" w:rsidRPr="001E7C87" w:rsidRDefault="00341F8F" w:rsidP="009D5D83">
      <w:pPr>
        <w:ind w:firstLine="708"/>
        <w:jc w:val="both"/>
        <w:rPr>
          <w:rFonts w:ascii="Arial" w:hAnsi="Arial" w:cs="Arial"/>
          <w:sz w:val="24"/>
          <w:szCs w:val="24"/>
        </w:rPr>
      </w:pPr>
      <w:r>
        <w:rPr>
          <w:rFonts w:ascii="Arial" w:hAnsi="Arial"/>
          <w:sz w:val="24"/>
        </w:rPr>
        <w:t>Vedtagelsen ved kongeligt dekret af nærværende forskrift som grundlæggende lovgivning er baseret på bemyndigelsen i artikel 149, stk. 1, nr. 13, i den spanske forfatning. I overensstemmelse med forfatningsdomstolens retspraksis tages der udgangspunkt i forskriftens klare tekniske formål og i nødvendigheden af at fastlægge en samlet lovgivningsmæssig ramme, som skal finde anvendelse på nationalt plan og sikre, at alle producenter fungerer under samme vilkår. Den vedtages ligeledes i overensstemmelse med statens enekompetence, hvad angår udenrigshandel i forbindelse med de i artikel 149, stk. 1, nr. 10, omtalte relationer.</w:t>
      </w:r>
    </w:p>
    <w:p w14:paraId="13D9F0EC" w14:textId="77777777" w:rsidR="00341F8F" w:rsidRPr="0042391F" w:rsidRDefault="00341F8F" w:rsidP="00EC748B">
      <w:pPr>
        <w:jc w:val="both"/>
        <w:rPr>
          <w:rFonts w:ascii="Arial" w:hAnsi="Arial" w:cs="Arial"/>
          <w:sz w:val="24"/>
          <w:szCs w:val="24"/>
        </w:rPr>
      </w:pPr>
    </w:p>
    <w:p w14:paraId="2AFC4508" w14:textId="66216D7B" w:rsidR="00341F8F" w:rsidRPr="001E7C87" w:rsidRDefault="00341F8F" w:rsidP="009D5D83">
      <w:pPr>
        <w:ind w:firstLine="708"/>
        <w:jc w:val="both"/>
        <w:rPr>
          <w:rFonts w:ascii="Arial" w:hAnsi="Arial" w:cs="Arial"/>
          <w:sz w:val="24"/>
          <w:szCs w:val="24"/>
        </w:rPr>
      </w:pPr>
      <w:r>
        <w:rPr>
          <w:rFonts w:ascii="Arial" w:hAnsi="Arial"/>
          <w:sz w:val="24"/>
        </w:rPr>
        <w:t xml:space="preserve">I medfør heraf, på forslag af ministeren for landbrug, fiskeri og fødevarer samt ministeren for forbrug, efter forudgående godkendelse fra ministeren for finanser og </w:t>
      </w:r>
      <w:r>
        <w:rPr>
          <w:rFonts w:ascii="Arial" w:hAnsi="Arial"/>
          <w:sz w:val="24"/>
        </w:rPr>
        <w:lastRenderedPageBreak/>
        <w:t>offentlig forvaltning, ……………….. nationalrådet samt efter drøftelse på regeringsrådets møde den xx xxxx 2019</w:t>
      </w:r>
    </w:p>
    <w:p w14:paraId="2AF11FB2" w14:textId="77777777" w:rsidR="00341F8F" w:rsidRPr="001E7C87" w:rsidRDefault="00341F8F" w:rsidP="00EC748B">
      <w:pPr>
        <w:jc w:val="both"/>
        <w:rPr>
          <w:rFonts w:ascii="Arial" w:hAnsi="Arial" w:cs="Arial"/>
          <w:sz w:val="24"/>
          <w:szCs w:val="24"/>
        </w:rPr>
      </w:pPr>
    </w:p>
    <w:p w14:paraId="7F59B6B1" w14:textId="77777777" w:rsidR="00341F8F" w:rsidRPr="001E7C87" w:rsidRDefault="00341F8F" w:rsidP="00EC748B">
      <w:pPr>
        <w:jc w:val="both"/>
        <w:rPr>
          <w:rFonts w:ascii="Arial" w:hAnsi="Arial" w:cs="Arial"/>
          <w:sz w:val="24"/>
          <w:szCs w:val="24"/>
        </w:rPr>
      </w:pPr>
    </w:p>
    <w:p w14:paraId="2FC2ABFF" w14:textId="77777777" w:rsidR="00341F8F" w:rsidRPr="001E7C87" w:rsidRDefault="00341F8F" w:rsidP="00EC748B">
      <w:pPr>
        <w:jc w:val="both"/>
        <w:rPr>
          <w:rFonts w:ascii="Arial" w:hAnsi="Arial" w:cs="Arial"/>
          <w:b/>
          <w:sz w:val="24"/>
          <w:szCs w:val="24"/>
        </w:rPr>
      </w:pPr>
      <w:r>
        <w:rPr>
          <w:rFonts w:ascii="Arial" w:hAnsi="Arial"/>
          <w:b/>
          <w:sz w:val="24"/>
        </w:rPr>
        <w:t>BESTEMMES FØLGENDE:</w:t>
      </w:r>
    </w:p>
    <w:p w14:paraId="5A4D2DAD" w14:textId="77777777" w:rsidR="00341F8F" w:rsidRPr="001E7C87" w:rsidRDefault="00341F8F" w:rsidP="00EC748B">
      <w:pPr>
        <w:jc w:val="both"/>
        <w:rPr>
          <w:rFonts w:ascii="Arial" w:hAnsi="Arial" w:cs="Arial"/>
          <w:b/>
          <w:sz w:val="24"/>
          <w:szCs w:val="24"/>
        </w:rPr>
      </w:pPr>
    </w:p>
    <w:p w14:paraId="5DDE3018" w14:textId="77777777" w:rsidR="00341F8F" w:rsidRPr="009D5D83" w:rsidRDefault="00341F8F" w:rsidP="00EC748B">
      <w:pPr>
        <w:jc w:val="both"/>
        <w:rPr>
          <w:rFonts w:ascii="Arial" w:hAnsi="Arial" w:cs="Arial"/>
          <w:b/>
          <w:sz w:val="24"/>
          <w:szCs w:val="24"/>
        </w:rPr>
      </w:pPr>
      <w:r>
        <w:rPr>
          <w:rFonts w:ascii="Arial" w:hAnsi="Arial"/>
          <w:b/>
          <w:sz w:val="24"/>
        </w:rPr>
        <w:t xml:space="preserve">Artikel 1. </w:t>
      </w:r>
      <w:r>
        <w:rPr>
          <w:rFonts w:ascii="Arial" w:hAnsi="Arial"/>
          <w:b/>
          <w:i/>
          <w:sz w:val="24"/>
        </w:rPr>
        <w:t>Formål</w:t>
      </w:r>
      <w:r>
        <w:rPr>
          <w:rFonts w:ascii="Arial" w:hAnsi="Arial"/>
          <w:b/>
          <w:sz w:val="24"/>
        </w:rPr>
        <w:t xml:space="preserve"> </w:t>
      </w:r>
    </w:p>
    <w:p w14:paraId="2FE7F84A" w14:textId="77777777" w:rsidR="00341F8F" w:rsidRPr="001E7C87" w:rsidRDefault="00341F8F" w:rsidP="00EC748B">
      <w:pPr>
        <w:jc w:val="both"/>
        <w:rPr>
          <w:rFonts w:ascii="Arial" w:hAnsi="Arial" w:cs="Arial"/>
          <w:sz w:val="24"/>
          <w:szCs w:val="24"/>
        </w:rPr>
      </w:pPr>
    </w:p>
    <w:p w14:paraId="712CF41D" w14:textId="20D920A9" w:rsidR="00341F8F" w:rsidRPr="009D5D83" w:rsidRDefault="009D5D83" w:rsidP="009D5D83">
      <w:pPr>
        <w:jc w:val="both"/>
        <w:rPr>
          <w:rFonts w:ascii="Arial" w:hAnsi="Arial" w:cs="Arial"/>
          <w:sz w:val="24"/>
          <w:szCs w:val="24"/>
        </w:rPr>
      </w:pPr>
      <w:r>
        <w:rPr>
          <w:rFonts w:ascii="Arial" w:hAnsi="Arial"/>
          <w:sz w:val="24"/>
        </w:rPr>
        <w:t>1. Nærværende kongelige dekret har følgende formål:</w:t>
      </w:r>
    </w:p>
    <w:p w14:paraId="649DF671" w14:textId="77777777" w:rsidR="00341F8F" w:rsidRPr="001E7C87" w:rsidRDefault="00341F8F" w:rsidP="00EC748B">
      <w:pPr>
        <w:pStyle w:val="ListParagraph"/>
        <w:ind w:left="360"/>
        <w:jc w:val="both"/>
        <w:rPr>
          <w:rFonts w:ascii="Arial" w:hAnsi="Arial" w:cs="Arial"/>
          <w:sz w:val="24"/>
          <w:szCs w:val="24"/>
        </w:rPr>
      </w:pPr>
    </w:p>
    <w:p w14:paraId="0C62A754" w14:textId="45A0921E" w:rsidR="00341F8F" w:rsidRPr="00E6403A" w:rsidRDefault="00341F8F" w:rsidP="009D5D83">
      <w:pPr>
        <w:pStyle w:val="ListParagraph"/>
        <w:numPr>
          <w:ilvl w:val="0"/>
          <w:numId w:val="3"/>
        </w:numPr>
        <w:jc w:val="both"/>
        <w:rPr>
          <w:rFonts w:ascii="Arial" w:hAnsi="Arial" w:cs="Arial"/>
          <w:sz w:val="24"/>
          <w:szCs w:val="24"/>
        </w:rPr>
      </w:pPr>
      <w:r>
        <w:rPr>
          <w:rFonts w:ascii="Arial" w:hAnsi="Arial"/>
          <w:sz w:val="24"/>
        </w:rPr>
        <w:t>at fastlægge de nationale handelsbetegnelser, der er godkendt af Spanien, for fiskevarer og akvakulturprodukter omfattet af litra a), b), c) og e) i bilag I til Europa-Parlamentets og Rådets forordning (EU) nr. 1379/2013 af 11. december 2013 om den fælles markedsordning for fiskevarer og akvakulturprodukter, med henblik på at give de i artikel 35 i nævnte forordning fastsatte obligatoriske oplysninger og samle de handelsbetegnelser, som de enkelte selvstyrende regioner har godkendt for deres respektive områder, og som supplerer de handelsbetegnelser, der er fastlagt på nationalt plan</w:t>
      </w:r>
    </w:p>
    <w:p w14:paraId="5AA55534" w14:textId="437C7FFE" w:rsidR="00472084" w:rsidRPr="009D5D83" w:rsidRDefault="00341F8F" w:rsidP="009D5D83">
      <w:pPr>
        <w:pStyle w:val="ListParagraph"/>
        <w:numPr>
          <w:ilvl w:val="0"/>
          <w:numId w:val="3"/>
        </w:numPr>
        <w:jc w:val="both"/>
        <w:rPr>
          <w:rFonts w:ascii="Arial" w:hAnsi="Arial" w:cs="Arial"/>
          <w:sz w:val="24"/>
          <w:szCs w:val="24"/>
        </w:rPr>
      </w:pPr>
      <w:r>
        <w:rPr>
          <w:rFonts w:ascii="Arial" w:hAnsi="Arial"/>
          <w:sz w:val="24"/>
        </w:rPr>
        <w:t>at fastlægge de betegnelser for konserverede eller tilberedte fødevarer, der er godkendt af Spanien, for fiskevarer og akvakulturprodukter omfattet af litra h) og i) i bilag I til Europa-Parlamentets og Rådets forordning (EU) nr. 1379/2013 af 11. december 2013 for at give de obligatoriske oplysninger om varebetegnelser for fødevarer, der er fastsat i artikel 17 i Europa-Parlamentets og Rådets forordning (EU) nr. 1169/2011 af 25. oktober 2011 om fødevareinformation til forbrugerne.</w:t>
      </w:r>
    </w:p>
    <w:p w14:paraId="13C29F35" w14:textId="77777777" w:rsidR="00472084" w:rsidRPr="001E7C87" w:rsidRDefault="00472084" w:rsidP="00472084">
      <w:pPr>
        <w:pStyle w:val="ListParagraph"/>
        <w:jc w:val="both"/>
        <w:rPr>
          <w:rFonts w:ascii="Arial" w:hAnsi="Arial" w:cs="Arial"/>
          <w:sz w:val="24"/>
          <w:szCs w:val="24"/>
        </w:rPr>
      </w:pPr>
    </w:p>
    <w:p w14:paraId="2C627CA3" w14:textId="5694CFDA" w:rsidR="00341F8F" w:rsidRPr="009D5D83" w:rsidRDefault="009D5D83" w:rsidP="009D5D83">
      <w:pPr>
        <w:jc w:val="both"/>
        <w:rPr>
          <w:rFonts w:ascii="Arial" w:hAnsi="Arial" w:cs="Arial"/>
          <w:sz w:val="24"/>
          <w:szCs w:val="24"/>
        </w:rPr>
      </w:pPr>
      <w:r>
        <w:rPr>
          <w:rFonts w:ascii="Arial" w:hAnsi="Arial"/>
          <w:sz w:val="24"/>
        </w:rPr>
        <w:t>2. De nationale handelsbetegnelser og varebetegnelser for konserverede og tilberedte fødevarer, der er opført på listen, betragtes som officielle betegnelser på hele det nationale territorium. Handelsbetegnelserne i de enkelte selvstyrende regioner, der fremgår af listen, er supplerende betegnelser på de respektive områder, uden at disse dog erstatter de nationale betegnelser.</w:t>
      </w:r>
    </w:p>
    <w:p w14:paraId="0FEF7532" w14:textId="77777777" w:rsidR="00341F8F" w:rsidRPr="009D5D83" w:rsidRDefault="00341F8F" w:rsidP="009D5D83">
      <w:pPr>
        <w:jc w:val="both"/>
        <w:rPr>
          <w:rFonts w:ascii="Arial" w:hAnsi="Arial" w:cs="Arial"/>
          <w:sz w:val="24"/>
          <w:szCs w:val="24"/>
        </w:rPr>
      </w:pPr>
    </w:p>
    <w:p w14:paraId="706FC2D2" w14:textId="77777777" w:rsidR="00341F8F" w:rsidRPr="009D5D83" w:rsidRDefault="00341F8F" w:rsidP="00EC748B">
      <w:pPr>
        <w:jc w:val="both"/>
        <w:rPr>
          <w:rFonts w:ascii="Arial" w:hAnsi="Arial" w:cs="Arial"/>
          <w:b/>
          <w:sz w:val="24"/>
          <w:szCs w:val="24"/>
        </w:rPr>
      </w:pPr>
      <w:r>
        <w:rPr>
          <w:rFonts w:ascii="Arial" w:hAnsi="Arial"/>
          <w:b/>
          <w:sz w:val="24"/>
        </w:rPr>
        <w:t xml:space="preserve">Artikel 2. </w:t>
      </w:r>
      <w:r>
        <w:rPr>
          <w:rFonts w:ascii="Arial" w:hAnsi="Arial"/>
          <w:b/>
          <w:i/>
          <w:sz w:val="24"/>
        </w:rPr>
        <w:t>Begreber og definitioner</w:t>
      </w:r>
      <w:r>
        <w:rPr>
          <w:rFonts w:ascii="Arial" w:hAnsi="Arial"/>
          <w:b/>
          <w:sz w:val="24"/>
        </w:rPr>
        <w:t xml:space="preserve"> </w:t>
      </w:r>
    </w:p>
    <w:p w14:paraId="0A91F352" w14:textId="77777777" w:rsidR="00341F8F" w:rsidRPr="001E7C87" w:rsidRDefault="00341F8F" w:rsidP="00EC748B">
      <w:pPr>
        <w:jc w:val="both"/>
        <w:rPr>
          <w:rFonts w:ascii="Arial" w:hAnsi="Arial" w:cs="Arial"/>
          <w:sz w:val="24"/>
          <w:szCs w:val="24"/>
        </w:rPr>
      </w:pPr>
    </w:p>
    <w:p w14:paraId="1C303C2D" w14:textId="34F52F97" w:rsidR="00341F8F" w:rsidRPr="009D5D83" w:rsidRDefault="009D5D83" w:rsidP="009D5D83">
      <w:pPr>
        <w:jc w:val="both"/>
        <w:rPr>
          <w:rFonts w:ascii="Arial" w:hAnsi="Arial" w:cs="Arial"/>
          <w:sz w:val="24"/>
          <w:szCs w:val="24"/>
        </w:rPr>
      </w:pPr>
      <w:r>
        <w:rPr>
          <w:rFonts w:ascii="Arial" w:hAnsi="Arial"/>
          <w:sz w:val="24"/>
        </w:rPr>
        <w:t>1. I dette kongelige dekret finder definitionerne i den europæiske og nationale lovgivning på fiskeriområdet, fødevareinformation og -sikkerhed anvendelse.</w:t>
      </w:r>
    </w:p>
    <w:p w14:paraId="01814459" w14:textId="77777777" w:rsidR="00341F8F" w:rsidRPr="001E7C87" w:rsidRDefault="00341F8F" w:rsidP="00EC748B">
      <w:pPr>
        <w:jc w:val="both"/>
        <w:rPr>
          <w:rFonts w:ascii="Arial" w:hAnsi="Arial" w:cs="Arial"/>
          <w:sz w:val="24"/>
          <w:szCs w:val="24"/>
        </w:rPr>
      </w:pPr>
    </w:p>
    <w:p w14:paraId="5727AE12" w14:textId="4607695C" w:rsidR="00341F8F" w:rsidRPr="009D5D83" w:rsidRDefault="009D5D83" w:rsidP="009D5D83">
      <w:pPr>
        <w:jc w:val="both"/>
        <w:rPr>
          <w:rFonts w:ascii="Arial" w:hAnsi="Arial" w:cs="Arial"/>
          <w:sz w:val="24"/>
          <w:szCs w:val="24"/>
        </w:rPr>
      </w:pPr>
      <w:r>
        <w:rPr>
          <w:rFonts w:ascii="Arial" w:hAnsi="Arial"/>
          <w:sz w:val="24"/>
        </w:rPr>
        <w:t xml:space="preserve">2. Desuden finder definitionerne i artikel 3 og 4 i kongeligt dekret 1521/1984 af 1. august 1984 om godkendelse af sundhedstekniske forskrifter for anlæg og produkter fra fiskeri og akvakultur med henblik på konsum, anvendelse i dette kongelige dekret. </w:t>
      </w:r>
    </w:p>
    <w:p w14:paraId="4DD895D3" w14:textId="77777777" w:rsidR="00341F8F" w:rsidRPr="001E7C87" w:rsidRDefault="00341F8F" w:rsidP="00500755">
      <w:pPr>
        <w:jc w:val="both"/>
        <w:rPr>
          <w:rFonts w:ascii="Arial" w:hAnsi="Arial" w:cs="Arial"/>
          <w:sz w:val="24"/>
          <w:szCs w:val="24"/>
        </w:rPr>
      </w:pPr>
    </w:p>
    <w:p w14:paraId="08F8AA47" w14:textId="77777777" w:rsidR="00341F8F" w:rsidRPr="009D5D83" w:rsidRDefault="00341F8F" w:rsidP="0042391F">
      <w:pPr>
        <w:keepNext/>
        <w:jc w:val="both"/>
        <w:rPr>
          <w:rFonts w:ascii="Arial" w:hAnsi="Arial" w:cs="Arial"/>
          <w:b/>
          <w:i/>
          <w:sz w:val="24"/>
          <w:szCs w:val="24"/>
        </w:rPr>
      </w:pPr>
      <w:r>
        <w:rPr>
          <w:rFonts w:ascii="Arial" w:hAnsi="Arial"/>
          <w:b/>
          <w:sz w:val="24"/>
        </w:rPr>
        <w:lastRenderedPageBreak/>
        <w:t xml:space="preserve">Artikel 3. </w:t>
      </w:r>
      <w:r>
        <w:rPr>
          <w:rFonts w:ascii="Arial" w:hAnsi="Arial"/>
          <w:b/>
          <w:i/>
          <w:sz w:val="24"/>
        </w:rPr>
        <w:t>Forudsætning for salg af fiskevarer og akvakulturprodukter til den endelige forbruger eller til storkøkkener</w:t>
      </w:r>
    </w:p>
    <w:p w14:paraId="46A92B7A" w14:textId="77777777" w:rsidR="00E130BB" w:rsidRDefault="00E130BB" w:rsidP="0042391F">
      <w:pPr>
        <w:keepNext/>
        <w:jc w:val="both"/>
        <w:rPr>
          <w:rFonts w:ascii="Arial" w:hAnsi="Arial" w:cs="Arial"/>
          <w:b/>
          <w:sz w:val="24"/>
          <w:szCs w:val="24"/>
        </w:rPr>
      </w:pPr>
    </w:p>
    <w:p w14:paraId="62F5BE4F" w14:textId="2A98E504" w:rsidR="00341F8F" w:rsidRPr="00E6403A" w:rsidRDefault="006F1DD6" w:rsidP="00E130BB">
      <w:pPr>
        <w:jc w:val="both"/>
        <w:rPr>
          <w:rFonts w:ascii="Arial" w:hAnsi="Arial" w:cs="Arial"/>
          <w:sz w:val="24"/>
          <w:szCs w:val="24"/>
        </w:rPr>
      </w:pPr>
      <w:r>
        <w:rPr>
          <w:rFonts w:ascii="Arial" w:hAnsi="Arial"/>
          <w:sz w:val="24"/>
        </w:rPr>
        <w:t>1. De i artikel 1, stk. 1, omtalte fiskevarer og akvakulturprodukter må kun udbydes til salg til den endelige forbruger eller storkøkkener, hvis de er behørigt mærket med den nationale handelsbetegnelse eller varebetegnelse, der er godkendt i Spanien, for konserverede eller tilberedte fødevarer for de fiskevarer og akvakulturprodukter, der er opført i bilaget. De betegnelser, der er godkendt af selvstyrende regioner på deres respektive områder, kan i givet fald tilføjes som supplement til de nationale betegnelser. Det videnskabelige navn, der er anført på nævnte liste, skal til enhver tid være det navn, der er registreret i Levnedsmiddel- og Landbrugsorganisationens (FAO's) ASFIS-database.</w:t>
      </w:r>
    </w:p>
    <w:p w14:paraId="0892D87C" w14:textId="77777777" w:rsidR="004F5D4B" w:rsidRPr="00E6403A" w:rsidRDefault="004F5D4B" w:rsidP="00EC748B">
      <w:pPr>
        <w:jc w:val="both"/>
        <w:rPr>
          <w:rFonts w:ascii="Arial" w:hAnsi="Arial" w:cs="Arial"/>
          <w:sz w:val="24"/>
          <w:szCs w:val="24"/>
        </w:rPr>
      </w:pPr>
    </w:p>
    <w:p w14:paraId="675921B2" w14:textId="63CEFB38" w:rsidR="00341F8F" w:rsidRDefault="00A977D2" w:rsidP="00EC748B">
      <w:pPr>
        <w:jc w:val="both"/>
        <w:rPr>
          <w:rFonts w:ascii="Arial" w:hAnsi="Arial"/>
          <w:sz w:val="24"/>
        </w:rPr>
      </w:pPr>
      <w:r>
        <w:rPr>
          <w:rFonts w:ascii="Arial" w:hAnsi="Arial"/>
          <w:sz w:val="24"/>
        </w:rPr>
        <w:t>2. Hvis der i bilaget ikke er anført en varebetegnelse, der er godkendt i Spanien for et videnskabeligt navn, for en konserveret eller tilberedt fødevare, og en sådan fødevare ønskes bragt i omsætning på det nationale område, skal der anmodes om optagelse af fødevaren på listen i bilaget, før fødevaren bringes i omsætning, jf. artikel 5.</w:t>
      </w:r>
    </w:p>
    <w:p w14:paraId="16887BB9" w14:textId="77777777" w:rsidR="00DE1B43" w:rsidRPr="001E7C87" w:rsidRDefault="00DE1B43" w:rsidP="00EC748B">
      <w:pPr>
        <w:jc w:val="both"/>
        <w:rPr>
          <w:rFonts w:ascii="Arial" w:hAnsi="Arial" w:cs="Arial"/>
          <w:sz w:val="24"/>
          <w:szCs w:val="24"/>
        </w:rPr>
      </w:pPr>
    </w:p>
    <w:p w14:paraId="616E8826" w14:textId="77777777" w:rsidR="00341F8F" w:rsidRPr="009D5D83" w:rsidRDefault="00341F8F" w:rsidP="00EC748B">
      <w:pPr>
        <w:jc w:val="both"/>
        <w:rPr>
          <w:rFonts w:ascii="Arial" w:hAnsi="Arial" w:cs="Arial"/>
          <w:b/>
          <w:i/>
          <w:sz w:val="24"/>
          <w:szCs w:val="24"/>
        </w:rPr>
      </w:pPr>
      <w:r>
        <w:rPr>
          <w:rFonts w:ascii="Arial" w:hAnsi="Arial"/>
          <w:b/>
          <w:sz w:val="24"/>
        </w:rPr>
        <w:t xml:space="preserve">Artikel 4. </w:t>
      </w:r>
      <w:r>
        <w:rPr>
          <w:rFonts w:ascii="Arial" w:hAnsi="Arial"/>
          <w:b/>
          <w:i/>
          <w:sz w:val="24"/>
        </w:rPr>
        <w:t>Årlig gennemgang af listen over nationale handelsbetegnelser samt varebetegnelser for konserverede og tilberedte fødevarer, der finder anvendelse på fiskevarer og akvakulturprodukter, og som er godkendt i Spanien</w:t>
      </w:r>
    </w:p>
    <w:p w14:paraId="6869F584" w14:textId="77777777" w:rsidR="00341F8F" w:rsidRPr="001E7C87" w:rsidRDefault="00341F8F" w:rsidP="00EC748B">
      <w:pPr>
        <w:jc w:val="both"/>
        <w:rPr>
          <w:rFonts w:ascii="Arial" w:hAnsi="Arial" w:cs="Arial"/>
          <w:sz w:val="24"/>
          <w:szCs w:val="24"/>
        </w:rPr>
      </w:pPr>
    </w:p>
    <w:p w14:paraId="43FCAF61" w14:textId="15E97D69" w:rsidR="00341F8F" w:rsidRPr="001E7C87" w:rsidRDefault="00895DB5" w:rsidP="00EC748B">
      <w:pPr>
        <w:jc w:val="both"/>
        <w:rPr>
          <w:rFonts w:ascii="Arial" w:hAnsi="Arial" w:cs="Arial"/>
          <w:sz w:val="24"/>
          <w:szCs w:val="24"/>
        </w:rPr>
      </w:pPr>
      <w:r>
        <w:rPr>
          <w:rFonts w:ascii="Arial" w:hAnsi="Arial"/>
          <w:sz w:val="24"/>
        </w:rPr>
        <w:t>1. Ministeren for landbrug, fiskeri og fødevarer godkender hvert år en bekendtgørelse, der offentliggøres i Spaniens lovtidende ("Boletín Oficial del Estado") i løbet af første kvartal hvert år, og som indeholder den seneste ajourføring af listen over betegnelser.</w:t>
      </w:r>
    </w:p>
    <w:p w14:paraId="4FE101B1" w14:textId="77777777" w:rsidR="00341F8F" w:rsidRPr="001E7C87" w:rsidRDefault="00341F8F" w:rsidP="00EC748B">
      <w:pPr>
        <w:jc w:val="both"/>
        <w:rPr>
          <w:rFonts w:ascii="Arial" w:hAnsi="Arial" w:cs="Arial"/>
          <w:sz w:val="24"/>
          <w:szCs w:val="24"/>
        </w:rPr>
      </w:pPr>
    </w:p>
    <w:p w14:paraId="060ABAE5" w14:textId="3235B08F" w:rsidR="00341F8F" w:rsidRPr="001E7C87" w:rsidRDefault="00895DB5" w:rsidP="00EC748B">
      <w:pPr>
        <w:jc w:val="both"/>
        <w:rPr>
          <w:rFonts w:ascii="Arial" w:hAnsi="Arial" w:cs="Arial"/>
          <w:sz w:val="24"/>
          <w:szCs w:val="24"/>
        </w:rPr>
      </w:pPr>
      <w:r>
        <w:rPr>
          <w:rFonts w:ascii="Arial" w:hAnsi="Arial"/>
          <w:sz w:val="24"/>
        </w:rPr>
        <w:t>2. Denne bekendtgørelse skal indeholde den ajourførte liste over nationale handelsbetegnelser og varebetegnelser for konserverede eller tilberedte fødevarer, der er godkendt i Spanien, for fiskevarer og akvakulturprodukter, under hensyntagen til beslutninger om enkeltvise ansøgninger om optagelse, ændring eller sletning, der er godkendt i løbet af det foregående år, og som er omtalt i næste artikel, samt ansøgninger, som direktoratet har foretaget på eget initiativ.</w:t>
      </w:r>
    </w:p>
    <w:p w14:paraId="64B0A3A1" w14:textId="77777777" w:rsidR="00341F8F" w:rsidRPr="001E7C87" w:rsidRDefault="00341F8F" w:rsidP="00EC748B">
      <w:pPr>
        <w:jc w:val="both"/>
        <w:rPr>
          <w:rFonts w:ascii="Arial" w:hAnsi="Arial" w:cs="Arial"/>
          <w:sz w:val="24"/>
          <w:szCs w:val="24"/>
        </w:rPr>
      </w:pPr>
    </w:p>
    <w:p w14:paraId="6782396B" w14:textId="5D2905A2" w:rsidR="00341F8F" w:rsidRPr="001E7C87" w:rsidRDefault="00895DB5" w:rsidP="00EC748B">
      <w:pPr>
        <w:jc w:val="both"/>
        <w:rPr>
          <w:rFonts w:ascii="Arial" w:hAnsi="Arial" w:cs="Arial"/>
          <w:sz w:val="24"/>
          <w:szCs w:val="24"/>
        </w:rPr>
      </w:pPr>
      <w:r>
        <w:rPr>
          <w:rFonts w:ascii="Arial" w:hAnsi="Arial"/>
          <w:sz w:val="24"/>
        </w:rPr>
        <w:t>3. Bekendtgørelsen omfatter desuden en samlet liste over de handelsbetegnelser fra de selvstyrende regioner, som de har godkendt i løbet af det foregående år. Denne liste er til orientering for de øvrige aktører og opfylder Kongeriget Spaniens forpligtelser over for Den Europæiske Union i henhold til artikel 37, stk. 3, i Europa-Parlamentets og Rådets forordning (EU) nr. 1379/2013 af 11. december 2013.</w:t>
      </w:r>
    </w:p>
    <w:p w14:paraId="09E1A739" w14:textId="77777777" w:rsidR="00341F8F" w:rsidRPr="001E7C87" w:rsidRDefault="00341F8F" w:rsidP="00EC748B">
      <w:pPr>
        <w:jc w:val="both"/>
        <w:rPr>
          <w:rFonts w:ascii="Arial" w:hAnsi="Arial" w:cs="Arial"/>
          <w:b/>
          <w:sz w:val="24"/>
          <w:szCs w:val="24"/>
        </w:rPr>
      </w:pPr>
    </w:p>
    <w:p w14:paraId="30D8F805" w14:textId="77777777" w:rsidR="00341F8F" w:rsidRPr="00895DB5" w:rsidRDefault="00341F8F" w:rsidP="0042391F">
      <w:pPr>
        <w:keepNext/>
        <w:keepLines/>
        <w:jc w:val="both"/>
        <w:rPr>
          <w:rFonts w:ascii="Arial" w:hAnsi="Arial" w:cs="Arial"/>
          <w:b/>
          <w:i/>
          <w:sz w:val="24"/>
          <w:szCs w:val="24"/>
        </w:rPr>
      </w:pPr>
      <w:r>
        <w:rPr>
          <w:rFonts w:ascii="Arial" w:hAnsi="Arial"/>
          <w:b/>
          <w:sz w:val="24"/>
        </w:rPr>
        <w:lastRenderedPageBreak/>
        <w:t xml:space="preserve">Artikel 5. </w:t>
      </w:r>
      <w:r>
        <w:rPr>
          <w:rFonts w:ascii="Arial" w:hAnsi="Arial"/>
          <w:b/>
          <w:i/>
          <w:sz w:val="24"/>
        </w:rPr>
        <w:t>Procedure for gennemgang og ajourføring af listen over nationale handelsbetegnelser samt varebetegnelser for konserverede og tilberedte fødevarer, der finder anvendelse på fiskevarer og akvakulturprodukter, og som er godkendt af Spanien, efter anmodning fra aktørerne</w:t>
      </w:r>
    </w:p>
    <w:p w14:paraId="0EAFA825" w14:textId="77777777" w:rsidR="00341F8F" w:rsidRPr="001E7C87" w:rsidRDefault="00341F8F" w:rsidP="00EC748B">
      <w:pPr>
        <w:jc w:val="both"/>
        <w:rPr>
          <w:rFonts w:ascii="Arial" w:hAnsi="Arial" w:cs="Arial"/>
          <w:sz w:val="24"/>
          <w:szCs w:val="24"/>
        </w:rPr>
      </w:pPr>
    </w:p>
    <w:p w14:paraId="03D23C22" w14:textId="0C65CEA8" w:rsidR="00341F8F" w:rsidRPr="00E6403A" w:rsidRDefault="00341F8F" w:rsidP="00EC748B">
      <w:pPr>
        <w:jc w:val="both"/>
        <w:rPr>
          <w:rFonts w:ascii="Arial" w:hAnsi="Arial" w:cs="Arial"/>
          <w:sz w:val="24"/>
          <w:szCs w:val="24"/>
        </w:rPr>
      </w:pPr>
      <w:r>
        <w:rPr>
          <w:rFonts w:ascii="Arial" w:hAnsi="Arial"/>
          <w:sz w:val="24"/>
        </w:rPr>
        <w:t>1. Generalsekretariatet for fiskeri har kompetence til at træffe afgørelse om ansøgninger om optagelse, ændring eller sletning af nationale handelsbetegnelser eller varebetegnelser for konserverede eller tilberedte fødevarer, der er godkendt i Spanien, for de i artikel 1, stk. 1, omtalte produkter, der produceres i løbet af året, uden at det berører den årlige ajourføring af bilaget ved bekendtgørelse i overensstemmelse med artikel 4.</w:t>
      </w:r>
    </w:p>
    <w:p w14:paraId="335989AB" w14:textId="77777777" w:rsidR="00341F8F" w:rsidRPr="00E6403A" w:rsidRDefault="00341F8F" w:rsidP="00EC748B">
      <w:pPr>
        <w:tabs>
          <w:tab w:val="left" w:pos="7880"/>
        </w:tabs>
        <w:jc w:val="both"/>
        <w:rPr>
          <w:rFonts w:ascii="Arial" w:hAnsi="Arial" w:cs="Arial"/>
          <w:sz w:val="24"/>
          <w:szCs w:val="24"/>
        </w:rPr>
      </w:pPr>
    </w:p>
    <w:p w14:paraId="0D032A22" w14:textId="36D97A74" w:rsidR="00341F8F" w:rsidRPr="001E7C87" w:rsidRDefault="00341F8F" w:rsidP="00EC748B">
      <w:pPr>
        <w:jc w:val="both"/>
        <w:rPr>
          <w:rFonts w:ascii="Arial" w:hAnsi="Arial" w:cs="Arial"/>
          <w:sz w:val="24"/>
          <w:szCs w:val="24"/>
        </w:rPr>
      </w:pPr>
      <w:r>
        <w:rPr>
          <w:rFonts w:ascii="Arial" w:hAnsi="Arial"/>
          <w:sz w:val="24"/>
        </w:rPr>
        <w:t xml:space="preserve">2. De interesserede parter kan til enhver tid selv eller via de sammenslutninger, de er medlem af, indgive de relevante ansøgninger om optagelse, ændring eller sletning af nationale handelsbetegnelser eller varebetegnelser for konserverede eller tilberedte fødevarer, der er godkendt i Spanien, for de i artikel 1, stk. 1, omtalte produkter til generalsekretariatet for fiskeri. </w:t>
      </w:r>
    </w:p>
    <w:p w14:paraId="4D7418FE" w14:textId="77777777" w:rsidR="00341F8F" w:rsidRPr="001E7C87" w:rsidRDefault="00341F8F" w:rsidP="00EC748B">
      <w:pPr>
        <w:jc w:val="both"/>
        <w:rPr>
          <w:rFonts w:ascii="Arial" w:hAnsi="Arial" w:cs="Arial"/>
          <w:sz w:val="24"/>
          <w:szCs w:val="24"/>
        </w:rPr>
      </w:pPr>
    </w:p>
    <w:p w14:paraId="79EF9C6A" w14:textId="17190F7D" w:rsidR="00762A65" w:rsidRPr="001E7C87" w:rsidRDefault="00895DB5" w:rsidP="00762A65">
      <w:pPr>
        <w:jc w:val="both"/>
        <w:rPr>
          <w:rFonts w:ascii="Arial" w:hAnsi="Arial" w:cs="Arial"/>
          <w:sz w:val="24"/>
          <w:szCs w:val="24"/>
          <w:u w:val="single"/>
        </w:rPr>
      </w:pPr>
      <w:r>
        <w:rPr>
          <w:rFonts w:ascii="Arial" w:hAnsi="Arial"/>
          <w:sz w:val="24"/>
        </w:rPr>
        <w:t xml:space="preserve">3. I overensstemmelse med artikel 14, stk. 2, i lov 39/2015 af 1. oktober 2015 indgiver de juridiske personer disse ansøgninger via ministeriet for landbrug, fiskeri og fødevarers elektroniske register på dette ministeriums websted (https://www.mapa.gob.es) ved hjælp af den standardiserede ansøgningsmodel, der kan hentes på ministeriets websted </w:t>
      </w:r>
      <w:hyperlink r:id="rId8" w:history="1">
        <w:r>
          <w:rPr>
            <w:rFonts w:ascii="Arial" w:hAnsi="Arial"/>
            <w:sz w:val="24"/>
            <w:u w:val="single"/>
          </w:rPr>
          <w:t>https://sede.mapa.gob.es/portal/site/seMAPA/ficha-procedimiento?procedure_suborg_responsable=27&amp;procedure_id=675&amp;by=theme</w:t>
        </w:r>
      </w:hyperlink>
      <w:r>
        <w:t>.</w:t>
      </w:r>
    </w:p>
    <w:p w14:paraId="78508E08" w14:textId="77777777" w:rsidR="00341F8F" w:rsidRPr="0042391F" w:rsidRDefault="00341F8F" w:rsidP="00FA57BF">
      <w:pPr>
        <w:jc w:val="both"/>
        <w:rPr>
          <w:rFonts w:ascii="Arial" w:hAnsi="Arial" w:cs="Arial"/>
          <w:i/>
          <w:iCs/>
          <w:sz w:val="24"/>
          <w:szCs w:val="24"/>
        </w:rPr>
      </w:pPr>
    </w:p>
    <w:p w14:paraId="4565CF1A" w14:textId="77777777" w:rsidR="00341F8F" w:rsidRPr="001E7C87" w:rsidRDefault="00341F8F" w:rsidP="00EC748B">
      <w:pPr>
        <w:jc w:val="both"/>
        <w:rPr>
          <w:rFonts w:ascii="Arial" w:hAnsi="Arial" w:cs="Arial"/>
          <w:sz w:val="24"/>
          <w:szCs w:val="24"/>
        </w:rPr>
      </w:pPr>
      <w:r>
        <w:rPr>
          <w:rFonts w:ascii="Arial" w:hAnsi="Arial"/>
          <w:sz w:val="24"/>
        </w:rPr>
        <w:t xml:space="preserve">For så vidt angår fysiske personer kan ansøgningen indgives ved hjælp af de metoder, der fremgår af artikel 16, stk. 4, i lov 39/2015 af 1. oktober 2015 på den formular, der er tilgængelig på departementets hjemmeside. </w:t>
      </w:r>
    </w:p>
    <w:p w14:paraId="6DC6FE92" w14:textId="77777777" w:rsidR="00341F8F" w:rsidRPr="001E7C87" w:rsidRDefault="00341F8F" w:rsidP="00EC748B">
      <w:pPr>
        <w:jc w:val="both"/>
        <w:rPr>
          <w:rFonts w:ascii="Arial" w:hAnsi="Arial" w:cs="Arial"/>
          <w:sz w:val="24"/>
          <w:szCs w:val="24"/>
        </w:rPr>
      </w:pPr>
    </w:p>
    <w:p w14:paraId="062116FC" w14:textId="77777777" w:rsidR="00341F8F" w:rsidRPr="001E7C87" w:rsidRDefault="00341F8F" w:rsidP="00EC748B">
      <w:pPr>
        <w:jc w:val="both"/>
        <w:rPr>
          <w:rFonts w:ascii="Arial" w:hAnsi="Arial" w:cs="Arial"/>
          <w:sz w:val="24"/>
          <w:szCs w:val="24"/>
        </w:rPr>
      </w:pPr>
      <w:r>
        <w:rPr>
          <w:rFonts w:ascii="Arial" w:hAnsi="Arial"/>
          <w:sz w:val="24"/>
        </w:rPr>
        <w:t>3. Den ansøgning, der indgives af de interesserede parter, omfatter som minimum følgende:</w:t>
      </w:r>
    </w:p>
    <w:p w14:paraId="3E7B8369" w14:textId="77777777" w:rsidR="00820618" w:rsidRPr="001E7C87" w:rsidRDefault="00820618" w:rsidP="00EC748B">
      <w:pPr>
        <w:jc w:val="both"/>
        <w:rPr>
          <w:rFonts w:ascii="Arial" w:hAnsi="Arial" w:cs="Arial"/>
          <w:sz w:val="24"/>
          <w:szCs w:val="24"/>
        </w:rPr>
      </w:pPr>
    </w:p>
    <w:p w14:paraId="236D2006" w14:textId="6BA69247" w:rsidR="00341F8F" w:rsidRPr="00E6403A" w:rsidRDefault="00341F8F" w:rsidP="00253F7B">
      <w:pPr>
        <w:pStyle w:val="ListParagraph"/>
        <w:numPr>
          <w:ilvl w:val="0"/>
          <w:numId w:val="4"/>
        </w:numPr>
        <w:jc w:val="both"/>
        <w:rPr>
          <w:rFonts w:ascii="Arial" w:hAnsi="Arial" w:cs="Arial"/>
          <w:sz w:val="24"/>
          <w:szCs w:val="24"/>
        </w:rPr>
      </w:pPr>
      <w:r>
        <w:rPr>
          <w:rFonts w:ascii="Arial" w:hAnsi="Arial"/>
          <w:sz w:val="24"/>
        </w:rPr>
        <w:t>ansøgers fulde navn, virksomhedsnavn eller navn på den repræsentative sammenslutning, som har indgivet ansøgningen</w:t>
      </w:r>
    </w:p>
    <w:p w14:paraId="2C724798" w14:textId="79C77DFD" w:rsidR="00341F8F" w:rsidRPr="00E6403A" w:rsidRDefault="00341F8F" w:rsidP="00253F7B">
      <w:pPr>
        <w:pStyle w:val="ListParagraph"/>
        <w:numPr>
          <w:ilvl w:val="0"/>
          <w:numId w:val="4"/>
        </w:numPr>
        <w:jc w:val="both"/>
        <w:rPr>
          <w:rFonts w:ascii="Arial" w:hAnsi="Arial" w:cs="Arial"/>
          <w:sz w:val="24"/>
          <w:szCs w:val="24"/>
        </w:rPr>
      </w:pPr>
      <w:r>
        <w:rPr>
          <w:rFonts w:ascii="Arial" w:hAnsi="Arial"/>
          <w:sz w:val="24"/>
        </w:rPr>
        <w:t>videnskabeligt navn på den art, der ønskes optaget eller slettet samt den nationale handelsbetegnelse eller varebetegnelse for en konserveret eller tilberedt fødevare, der er godkendt i Spanien, samt den pågældende alfa 3-kode i FAO</w:t>
      </w:r>
    </w:p>
    <w:p w14:paraId="37315BA6" w14:textId="2D0EEC7F" w:rsidR="00341F8F" w:rsidRPr="0055122D" w:rsidRDefault="00341F8F" w:rsidP="00253F7B">
      <w:pPr>
        <w:pStyle w:val="ListParagraph"/>
        <w:numPr>
          <w:ilvl w:val="0"/>
          <w:numId w:val="4"/>
        </w:numPr>
        <w:jc w:val="both"/>
        <w:rPr>
          <w:rFonts w:ascii="Arial" w:hAnsi="Arial" w:cs="Arial"/>
          <w:sz w:val="24"/>
          <w:szCs w:val="24"/>
        </w:rPr>
      </w:pPr>
      <w:r>
        <w:rPr>
          <w:rFonts w:ascii="Arial" w:hAnsi="Arial"/>
          <w:sz w:val="24"/>
        </w:rPr>
        <w:t xml:space="preserve">hvis en national handelsbetegnelse eller varebetegnelse for en konserveret eller tilberedt fødevare, der er godkendt i Spanien, ønskes ændret, anføres artens videnskabelige navn, den nationale handelsbetegnelse eller varebetegnelse for en konserveret eller tilberedt fødevare, der er godkendt i Spanien, og alfa 3-koden i FAO for den art, der ønskes ændret, samt den nye </w:t>
      </w:r>
      <w:r>
        <w:rPr>
          <w:rFonts w:ascii="Arial" w:hAnsi="Arial"/>
          <w:sz w:val="24"/>
        </w:rPr>
        <w:lastRenderedPageBreak/>
        <w:t>nationale handelsbetegnelse eller varebetegnelse for en konserveret eller tilberedt fødevare, der er godkendt i Spanien</w:t>
      </w:r>
    </w:p>
    <w:p w14:paraId="7B95C971" w14:textId="77777777" w:rsidR="00341F8F" w:rsidRPr="001E7C87" w:rsidRDefault="00341F8F" w:rsidP="00253F7B">
      <w:pPr>
        <w:pStyle w:val="ListParagraph"/>
        <w:numPr>
          <w:ilvl w:val="0"/>
          <w:numId w:val="4"/>
        </w:numPr>
        <w:jc w:val="both"/>
        <w:rPr>
          <w:rFonts w:ascii="Arial" w:hAnsi="Arial" w:cs="Arial"/>
          <w:sz w:val="24"/>
          <w:szCs w:val="24"/>
        </w:rPr>
      </w:pPr>
      <w:r>
        <w:rPr>
          <w:rFonts w:ascii="Arial" w:hAnsi="Arial"/>
          <w:sz w:val="24"/>
        </w:rPr>
        <w:t>begrundelse for optagelsen, sletningen eller ændringen.</w:t>
      </w:r>
    </w:p>
    <w:p w14:paraId="3C5DE199" w14:textId="77777777" w:rsidR="00341F8F" w:rsidRPr="001E7C87" w:rsidRDefault="00341F8F" w:rsidP="00EC748B">
      <w:pPr>
        <w:pStyle w:val="ListParagraph"/>
        <w:jc w:val="both"/>
        <w:rPr>
          <w:rFonts w:ascii="Arial" w:hAnsi="Arial" w:cs="Arial"/>
          <w:sz w:val="24"/>
          <w:szCs w:val="24"/>
        </w:rPr>
      </w:pPr>
    </w:p>
    <w:p w14:paraId="78A473A2" w14:textId="77777777" w:rsidR="00341F8F" w:rsidRPr="001E7C87" w:rsidRDefault="00341F8F" w:rsidP="00EC748B">
      <w:pPr>
        <w:jc w:val="both"/>
        <w:rPr>
          <w:rFonts w:ascii="Arial" w:hAnsi="Arial" w:cs="Arial"/>
          <w:strike/>
          <w:sz w:val="24"/>
          <w:szCs w:val="24"/>
        </w:rPr>
      </w:pPr>
      <w:r>
        <w:rPr>
          <w:rFonts w:ascii="Arial" w:hAnsi="Arial"/>
          <w:sz w:val="24"/>
        </w:rPr>
        <w:t xml:space="preserve">4. Hvis ansøgningen ikke opfylder kravene i de foregående stykker, eller hvis det er nødvendigt at tilføje en præcisering eller supplerende dokumentation, får den interesserede i medfør af artikel 68 i lov 39/2015 af 1. oktober 2015 besked om inden for en frist på 10 hverdage at udbedre eller fyldestgøre manglen eller indsende de påkrævede obligatoriske dokumenter, og den interesserede bliver informeret om, at vedkommendes anmodning i modsat fald vil blive annulleret efter forudgående afgørelse, der træffes i medfør af betingelserne i artikel 21 sammenholdt med artikel 68 i lov 39/2015 af 1. oktober 2015. </w:t>
      </w:r>
    </w:p>
    <w:p w14:paraId="57F511E0" w14:textId="77777777" w:rsidR="00341F8F" w:rsidRPr="001E7C87" w:rsidRDefault="00341F8F" w:rsidP="00EC748B">
      <w:pPr>
        <w:jc w:val="both"/>
        <w:rPr>
          <w:rFonts w:ascii="Arial" w:hAnsi="Arial" w:cs="Arial"/>
          <w:sz w:val="24"/>
          <w:szCs w:val="24"/>
        </w:rPr>
      </w:pPr>
    </w:p>
    <w:p w14:paraId="0B1BC409" w14:textId="54E192D8" w:rsidR="00341F8F" w:rsidRPr="00076972" w:rsidRDefault="00341F8F" w:rsidP="00EC748B">
      <w:pPr>
        <w:jc w:val="both"/>
        <w:rPr>
          <w:rFonts w:ascii="Arial" w:hAnsi="Arial" w:cs="Arial"/>
          <w:sz w:val="24"/>
          <w:szCs w:val="24"/>
        </w:rPr>
      </w:pPr>
      <w:r>
        <w:rPr>
          <w:rFonts w:ascii="Arial" w:hAnsi="Arial"/>
          <w:sz w:val="24"/>
        </w:rPr>
        <w:t>5. Generalsekretariatet for fiskeri kan med henblik på afslutning af proceduren anmode om den bistand, der anses for nødvendig, fra relevante videnskabelige organer, fra instanser, der repræsenterer fiskeri- og akvakultursektoren, samt fra enhver anden enhed, der anses for relevant, og som i denne henseende inden for en frist på maksimalt 10 dage udarbejder en rapport ved hjælp af elektroniske midler og i overensstemmelse med de krav</w:t>
      </w:r>
      <w:r>
        <w:rPr>
          <w:rFonts w:ascii="Arial Unicode MS"/>
          <w:sz w:val="24"/>
        </w:rPr>
        <w:t xml:space="preserve"> </w:t>
      </w:r>
      <w:r>
        <w:rPr>
          <w:rFonts w:ascii="Arial" w:hAnsi="Arial"/>
          <w:sz w:val="24"/>
        </w:rPr>
        <w:t>samt til de formål,</w:t>
      </w:r>
      <w:r>
        <w:rPr>
          <w:rFonts w:ascii="Arial Unicode MS"/>
          <w:sz w:val="24"/>
        </w:rPr>
        <w:t xml:space="preserve"> </w:t>
      </w:r>
      <w:r>
        <w:rPr>
          <w:rFonts w:ascii="Arial" w:hAnsi="Arial"/>
          <w:sz w:val="24"/>
        </w:rPr>
        <w:t>der fremgår af artikel 80 i lov 39/2015 af 1. oktober 2015. Hvis denne rapport ikke fremsendes inden for den angivne frist, kan generalsekretariatet for fiskeri gå videre med behandlingen samt de øvrige relevante foranstaltninger.</w:t>
      </w:r>
    </w:p>
    <w:p w14:paraId="433C4025" w14:textId="77777777" w:rsidR="00341F8F" w:rsidRPr="001E7C87" w:rsidRDefault="00341F8F" w:rsidP="00EC748B">
      <w:pPr>
        <w:jc w:val="both"/>
        <w:rPr>
          <w:rFonts w:ascii="Arial" w:hAnsi="Arial" w:cs="Arial"/>
          <w:sz w:val="24"/>
          <w:szCs w:val="24"/>
        </w:rPr>
      </w:pPr>
      <w:r>
        <w:rPr>
          <w:rFonts w:ascii="Arial" w:hAnsi="Arial"/>
          <w:sz w:val="24"/>
        </w:rPr>
        <w:t xml:space="preserve">6. Generalsekretariatet for fiskeri træffer afgørelse og offentliggør den inden for en frist på maksimalt tre måneder, der regnes fra den dato, ansøgningen blev registreret i ministeriet for landbrug, fiskeri og fødevarer. </w:t>
      </w:r>
    </w:p>
    <w:p w14:paraId="7975B217" w14:textId="77777777" w:rsidR="00341F8F" w:rsidRPr="001E7C87" w:rsidRDefault="00341F8F" w:rsidP="00EC748B">
      <w:pPr>
        <w:jc w:val="both"/>
        <w:rPr>
          <w:rFonts w:ascii="Arial" w:hAnsi="Arial" w:cs="Arial"/>
          <w:sz w:val="24"/>
          <w:szCs w:val="24"/>
        </w:rPr>
      </w:pPr>
    </w:p>
    <w:p w14:paraId="333E16B7" w14:textId="77777777" w:rsidR="00341F8F" w:rsidRPr="001E7C87" w:rsidRDefault="00341F8F" w:rsidP="00EC748B">
      <w:pPr>
        <w:jc w:val="both"/>
        <w:rPr>
          <w:rFonts w:ascii="Arial" w:hAnsi="Arial" w:cs="Arial"/>
          <w:sz w:val="24"/>
          <w:szCs w:val="24"/>
        </w:rPr>
      </w:pPr>
      <w:r>
        <w:rPr>
          <w:rFonts w:ascii="Arial" w:hAnsi="Arial"/>
          <w:sz w:val="24"/>
        </w:rPr>
        <w:t xml:space="preserve">Hvis der inden for den nævnte frist og på den nævnte måde ikke er offentliggjort en afgørelse, kan de interesserede retmæssigt anse deres ansøgninger for afvist ved stiltiende afvisning i henhold til bestemmelserne i artikel 24, stk. 1, i lov 39/2015 af 1. oktober 2015 samt den sjette tillægsbestemmelse til lov 3/2001 af 26. marts 2001 om statens regulering af fiskeri.  </w:t>
      </w:r>
    </w:p>
    <w:p w14:paraId="6FFA35C8" w14:textId="77777777" w:rsidR="00341F8F" w:rsidRPr="001E7C87" w:rsidRDefault="00341F8F" w:rsidP="00EC748B">
      <w:pPr>
        <w:jc w:val="both"/>
        <w:rPr>
          <w:rFonts w:ascii="Arial" w:hAnsi="Arial" w:cs="Arial"/>
          <w:sz w:val="24"/>
          <w:szCs w:val="24"/>
        </w:rPr>
      </w:pPr>
    </w:p>
    <w:p w14:paraId="6CEE288C" w14:textId="77777777" w:rsidR="00341F8F" w:rsidRPr="001E7C87" w:rsidRDefault="00341F8F" w:rsidP="00EC748B">
      <w:pPr>
        <w:jc w:val="both"/>
        <w:rPr>
          <w:rFonts w:ascii="Arial" w:hAnsi="Arial" w:cs="Arial"/>
          <w:sz w:val="24"/>
          <w:szCs w:val="24"/>
        </w:rPr>
      </w:pPr>
      <w:r>
        <w:rPr>
          <w:rFonts w:ascii="Arial" w:hAnsi="Arial"/>
          <w:sz w:val="24"/>
        </w:rPr>
        <w:t>7. Offentliggørelsen af hver enkelt afgørelse på ministeriets hjemmeside er i overensstemmelse med bestemmelserne i artikel 45, stk. 1, i lov 39/2015 af 1. oktober 2015, og her er den tilgængelig både for de interesserede parter og for de kompetente myndigheder.</w:t>
      </w:r>
    </w:p>
    <w:p w14:paraId="07967C79" w14:textId="77777777" w:rsidR="00341F8F" w:rsidRPr="001E7C87" w:rsidRDefault="00341F8F" w:rsidP="00EC748B">
      <w:pPr>
        <w:jc w:val="both"/>
        <w:rPr>
          <w:rFonts w:ascii="Arial" w:hAnsi="Arial" w:cs="Arial"/>
          <w:sz w:val="24"/>
          <w:szCs w:val="24"/>
        </w:rPr>
      </w:pPr>
    </w:p>
    <w:p w14:paraId="3331D9F1" w14:textId="0FD6C610" w:rsidR="00341F8F" w:rsidRPr="001E7C87" w:rsidRDefault="00341F8F" w:rsidP="00EC748B">
      <w:pPr>
        <w:jc w:val="both"/>
        <w:rPr>
          <w:rFonts w:ascii="Arial" w:hAnsi="Arial" w:cs="Arial"/>
          <w:sz w:val="24"/>
          <w:szCs w:val="24"/>
        </w:rPr>
      </w:pPr>
      <w:r>
        <w:rPr>
          <w:rFonts w:ascii="Arial" w:hAnsi="Arial"/>
          <w:sz w:val="24"/>
        </w:rPr>
        <w:t xml:space="preserve">De ændringer, der indføres ved de relevante afgørelser, skal forstås som henvisninger til den i foregående artikel nævnte bekendtgørelse, som indeholder den endelige liste med efterfølgende enkeltvise årlige godkendelser. </w:t>
      </w:r>
    </w:p>
    <w:p w14:paraId="1A82BDEE" w14:textId="77777777" w:rsidR="00341F8F" w:rsidRPr="001E7C87" w:rsidRDefault="00341F8F" w:rsidP="00EC748B">
      <w:pPr>
        <w:jc w:val="both"/>
        <w:rPr>
          <w:rFonts w:ascii="Arial" w:hAnsi="Arial" w:cs="Arial"/>
          <w:sz w:val="24"/>
          <w:szCs w:val="24"/>
        </w:rPr>
      </w:pPr>
    </w:p>
    <w:p w14:paraId="24BD22F6" w14:textId="66070F6E" w:rsidR="00341F8F" w:rsidRPr="001E7C87" w:rsidRDefault="00341F8F" w:rsidP="00EC748B">
      <w:pPr>
        <w:jc w:val="both"/>
        <w:rPr>
          <w:rFonts w:ascii="Arial" w:hAnsi="Arial" w:cs="Arial"/>
          <w:sz w:val="24"/>
          <w:szCs w:val="24"/>
        </w:rPr>
      </w:pPr>
      <w:r>
        <w:rPr>
          <w:rFonts w:ascii="Arial" w:hAnsi="Arial"/>
          <w:sz w:val="24"/>
        </w:rPr>
        <w:t xml:space="preserve">8. I forbindelse med en ansøgning om optagelse, ændring eller sletning af en national handelsbetegnelse eller varebetegnelse for konserveret eller tilberedt fødevare godkendt i Spanien, der afvises efter afslutning af den beskrevne procedure, skal den </w:t>
      </w:r>
      <w:r>
        <w:rPr>
          <w:rFonts w:ascii="Arial" w:hAnsi="Arial"/>
          <w:sz w:val="24"/>
        </w:rPr>
        <w:lastRenderedPageBreak/>
        <w:t xml:space="preserve">afgørelse, der offentliggøres på ministeriet for landbrug, fiskeri og fødevares hjemmeside, være behørigt begrundet, og begrundelsen for afvisningen skal fremgå. </w:t>
      </w:r>
    </w:p>
    <w:p w14:paraId="06F3067F" w14:textId="77777777" w:rsidR="00341F8F" w:rsidRPr="001E7C87" w:rsidRDefault="00341F8F" w:rsidP="00EC748B">
      <w:pPr>
        <w:jc w:val="both"/>
        <w:rPr>
          <w:rFonts w:ascii="Arial" w:hAnsi="Arial" w:cs="Arial"/>
          <w:sz w:val="24"/>
          <w:szCs w:val="24"/>
        </w:rPr>
      </w:pPr>
    </w:p>
    <w:p w14:paraId="344CE26C" w14:textId="77777777" w:rsidR="00341F8F" w:rsidRPr="001E7C87" w:rsidRDefault="00341F8F" w:rsidP="00EC748B">
      <w:pPr>
        <w:jc w:val="both"/>
        <w:rPr>
          <w:rFonts w:ascii="Arial" w:hAnsi="Arial" w:cs="Arial"/>
          <w:sz w:val="24"/>
          <w:szCs w:val="24"/>
        </w:rPr>
      </w:pPr>
      <w:r>
        <w:rPr>
          <w:rFonts w:ascii="Arial" w:hAnsi="Arial"/>
          <w:sz w:val="24"/>
        </w:rPr>
        <w:t>9. Den afgørelse, der afslutter behandlingen af en individuel ansøgning, og som ikke udtømmer de administrative klagemuligheder, kan påklages til ministeriet for landbrug, fiskeri og fødevarer på de vilkår og inden for den frist, der er fastsat i artikel 121 og 122 sammenholdt med artikel 112, stk. 1, i lov 39/2015 af 1. oktober 2015 om fælles administrativ praksis i den offentlige forvaltning.</w:t>
      </w:r>
    </w:p>
    <w:p w14:paraId="316C2CA4" w14:textId="77777777" w:rsidR="00341F8F" w:rsidRPr="001E7C87" w:rsidRDefault="00341F8F" w:rsidP="00EC748B">
      <w:pPr>
        <w:jc w:val="both"/>
        <w:rPr>
          <w:rFonts w:ascii="Arial" w:hAnsi="Arial" w:cs="Arial"/>
          <w:sz w:val="24"/>
          <w:szCs w:val="24"/>
        </w:rPr>
      </w:pPr>
    </w:p>
    <w:p w14:paraId="1DF96034" w14:textId="77777777" w:rsidR="00341F8F" w:rsidRPr="00076972" w:rsidRDefault="00341F8F" w:rsidP="00EC748B">
      <w:pPr>
        <w:jc w:val="both"/>
        <w:rPr>
          <w:rFonts w:ascii="Arial" w:hAnsi="Arial" w:cs="Arial"/>
          <w:b/>
          <w:i/>
          <w:sz w:val="24"/>
          <w:szCs w:val="24"/>
        </w:rPr>
      </w:pPr>
      <w:r>
        <w:rPr>
          <w:rFonts w:ascii="Arial" w:hAnsi="Arial"/>
          <w:b/>
          <w:sz w:val="24"/>
        </w:rPr>
        <w:t xml:space="preserve">Artikel 6. </w:t>
      </w:r>
      <w:r>
        <w:rPr>
          <w:rFonts w:ascii="Arial" w:hAnsi="Arial"/>
          <w:b/>
          <w:i/>
          <w:sz w:val="24"/>
        </w:rPr>
        <w:t>Administrativt samarbejde</w:t>
      </w:r>
    </w:p>
    <w:p w14:paraId="02EC6F74" w14:textId="77777777" w:rsidR="00341F8F" w:rsidRPr="001E7C87" w:rsidRDefault="00341F8F" w:rsidP="00EC748B">
      <w:pPr>
        <w:jc w:val="both"/>
        <w:rPr>
          <w:rFonts w:ascii="Arial" w:hAnsi="Arial" w:cs="Arial"/>
          <w:sz w:val="24"/>
          <w:szCs w:val="24"/>
        </w:rPr>
      </w:pPr>
    </w:p>
    <w:p w14:paraId="437C7056" w14:textId="77777777" w:rsidR="00341F8F" w:rsidRPr="00E6403A" w:rsidRDefault="00341F8F" w:rsidP="00EC748B">
      <w:pPr>
        <w:jc w:val="both"/>
        <w:rPr>
          <w:rFonts w:ascii="Arial" w:hAnsi="Arial" w:cs="Arial"/>
          <w:sz w:val="24"/>
          <w:szCs w:val="24"/>
        </w:rPr>
      </w:pPr>
      <w:r>
        <w:rPr>
          <w:rFonts w:ascii="Arial" w:hAnsi="Arial"/>
          <w:sz w:val="24"/>
        </w:rPr>
        <w:t>1. De kompetente organer i de selvstyrende regioner kan godkende handelsbetegnelser, der er godkendt for deres respektive områder som supplement til de nationale betegnelser, idet de mindst én gang om året i deres lovtidende offentliggør de ajourførte lister over disse betegnelser.</w:t>
      </w:r>
    </w:p>
    <w:p w14:paraId="17EE59C1" w14:textId="77777777" w:rsidR="00341F8F" w:rsidRPr="00E6403A" w:rsidRDefault="00341F8F" w:rsidP="00EC748B">
      <w:pPr>
        <w:jc w:val="both"/>
        <w:rPr>
          <w:rFonts w:ascii="Arial" w:hAnsi="Arial" w:cs="Arial"/>
          <w:sz w:val="24"/>
          <w:szCs w:val="24"/>
        </w:rPr>
      </w:pPr>
    </w:p>
    <w:p w14:paraId="52B773DE" w14:textId="6CCB4EE5" w:rsidR="00DA28D7" w:rsidRPr="001E7C87" w:rsidRDefault="00341F8F" w:rsidP="00EC748B">
      <w:pPr>
        <w:jc w:val="both"/>
        <w:rPr>
          <w:rFonts w:ascii="Arial" w:hAnsi="Arial" w:cs="Arial"/>
          <w:sz w:val="24"/>
          <w:szCs w:val="24"/>
        </w:rPr>
      </w:pPr>
      <w:r>
        <w:rPr>
          <w:rFonts w:ascii="Arial" w:hAnsi="Arial"/>
          <w:sz w:val="24"/>
        </w:rPr>
        <w:t>2. De handelsbetegnelser, der er anerkendt på regionalt plan, supplerer, men kan ikke erstatte, de betegnelser, der er fastsat på nationalt plan, og det garanteres, at oplysningerne til forbrugeren altid afspejler de betegnelser, der er godkendt på nationalt plan.</w:t>
      </w:r>
    </w:p>
    <w:p w14:paraId="62E4ED21" w14:textId="223809E0" w:rsidR="00DA28D7" w:rsidRPr="002E5171" w:rsidRDefault="00DA28D7" w:rsidP="00DA28D7">
      <w:pPr>
        <w:jc w:val="both"/>
        <w:rPr>
          <w:rFonts w:ascii="Arial" w:hAnsi="Arial" w:cs="Arial"/>
          <w:sz w:val="24"/>
          <w:szCs w:val="24"/>
        </w:rPr>
      </w:pPr>
      <w:r>
        <w:rPr>
          <w:rFonts w:ascii="Arial" w:hAnsi="Arial"/>
          <w:sz w:val="24"/>
        </w:rPr>
        <w:t>3. Med henblik på at undgå vildledning af forbrugeren skal de selvstyrende regioner desuden garantere, at de handelsbetegnelser, der er anerkendt på regionalt plan for en bestemt art, ikke er de samme som de handelsbetegnelser, der eventuelt er fastsat på nationalt plan for en anden art.</w:t>
      </w:r>
    </w:p>
    <w:p w14:paraId="0369F0E5" w14:textId="77777777" w:rsidR="00341F8F" w:rsidRPr="002E5171" w:rsidRDefault="00341F8F" w:rsidP="00EC748B">
      <w:pPr>
        <w:jc w:val="both"/>
        <w:rPr>
          <w:rFonts w:ascii="Arial" w:hAnsi="Arial" w:cs="Arial"/>
          <w:sz w:val="24"/>
          <w:szCs w:val="24"/>
        </w:rPr>
      </w:pPr>
    </w:p>
    <w:p w14:paraId="124B35DE" w14:textId="0BA91497" w:rsidR="00341F8F" w:rsidRPr="002E5171" w:rsidRDefault="00DA28D7" w:rsidP="00EC748B">
      <w:pPr>
        <w:jc w:val="both"/>
        <w:rPr>
          <w:rFonts w:ascii="Arial" w:hAnsi="Arial" w:cs="Arial"/>
          <w:sz w:val="24"/>
          <w:szCs w:val="24"/>
        </w:rPr>
      </w:pPr>
      <w:r>
        <w:rPr>
          <w:rFonts w:ascii="Arial" w:hAnsi="Arial"/>
          <w:sz w:val="24"/>
        </w:rPr>
        <w:t>4. De selvstyrende regioner informerer inden for en frist på ti dage efter den officielle anerkendelse generalsekretariatet for fiskeri under ministeriet for landbrug, fiskeri og fødevarer om de enkelte afgørelser, der er truffet om anvendelse af handelsbetegnelser, der er godkendt på deres respektive områder, som supplement til nationale betegnelser.</w:t>
      </w:r>
    </w:p>
    <w:p w14:paraId="6A5E53B9" w14:textId="77777777" w:rsidR="00341F8F" w:rsidRPr="002E5171" w:rsidRDefault="00341F8F" w:rsidP="00EC748B">
      <w:pPr>
        <w:jc w:val="both"/>
        <w:rPr>
          <w:rFonts w:ascii="Arial" w:hAnsi="Arial" w:cs="Arial"/>
          <w:sz w:val="24"/>
          <w:szCs w:val="24"/>
        </w:rPr>
      </w:pPr>
    </w:p>
    <w:p w14:paraId="3FBEC463" w14:textId="77777777" w:rsidR="00341F8F" w:rsidRPr="002E5171" w:rsidRDefault="00DA28D7" w:rsidP="00EC748B">
      <w:pPr>
        <w:jc w:val="both"/>
        <w:rPr>
          <w:rFonts w:ascii="Arial" w:hAnsi="Arial" w:cs="Arial"/>
          <w:sz w:val="24"/>
          <w:szCs w:val="24"/>
        </w:rPr>
      </w:pPr>
      <w:r>
        <w:rPr>
          <w:rFonts w:ascii="Arial" w:hAnsi="Arial"/>
          <w:sz w:val="24"/>
        </w:rPr>
        <w:t>5. De kompetente organer i de selvstyrende regioner informerer i løbet af januar hvert år generalsekretariatet for fiskeri om afgørelser vedrørende godkendelse af lister over betegnelser, der er godkendt for deres respektive områder, og som supplerer de nationale betegnelser, med henblik på at de medtages i og offentliggøres i den i artikel 4 omtalte årlige bekendtgørelse.</w:t>
      </w:r>
    </w:p>
    <w:p w14:paraId="1480DE30" w14:textId="77777777" w:rsidR="00341F8F" w:rsidRPr="002E5171" w:rsidRDefault="00341F8F" w:rsidP="00EC748B">
      <w:pPr>
        <w:jc w:val="both"/>
        <w:rPr>
          <w:rFonts w:ascii="Arial" w:hAnsi="Arial" w:cs="Arial"/>
          <w:sz w:val="24"/>
          <w:szCs w:val="24"/>
        </w:rPr>
      </w:pPr>
    </w:p>
    <w:p w14:paraId="454779D1" w14:textId="2BC5E72F" w:rsidR="00341F8F" w:rsidRPr="001E7C87" w:rsidRDefault="00DA28D7" w:rsidP="00D70B79">
      <w:pPr>
        <w:jc w:val="both"/>
        <w:rPr>
          <w:rFonts w:ascii="Arial" w:hAnsi="Arial" w:cs="Arial"/>
          <w:sz w:val="24"/>
          <w:szCs w:val="24"/>
        </w:rPr>
      </w:pPr>
      <w:r>
        <w:rPr>
          <w:rFonts w:ascii="Arial" w:hAnsi="Arial"/>
          <w:sz w:val="24"/>
        </w:rPr>
        <w:t>6.</w:t>
      </w:r>
      <w:r>
        <w:rPr>
          <w:rFonts w:ascii="Arial" w:hAnsi="Arial"/>
          <w:b/>
          <w:sz w:val="24"/>
        </w:rPr>
        <w:t xml:space="preserve"> </w:t>
      </w:r>
      <w:r>
        <w:rPr>
          <w:rFonts w:ascii="Arial" w:hAnsi="Arial"/>
          <w:sz w:val="24"/>
        </w:rPr>
        <w:t>De selvstyrende regioner må, jf. artikel 1, stk. 2, ikke i deres lister over supplerende betegnelser anvende en national betegnelse for andre arter end dem, der er udpeget på nationalt plan.</w:t>
      </w:r>
    </w:p>
    <w:p w14:paraId="62191F6A" w14:textId="77777777" w:rsidR="00341F8F" w:rsidRPr="001E7C87" w:rsidRDefault="00341F8F" w:rsidP="00EC748B">
      <w:pPr>
        <w:jc w:val="both"/>
        <w:rPr>
          <w:rFonts w:ascii="Arial" w:hAnsi="Arial" w:cs="Arial"/>
          <w:b/>
          <w:sz w:val="24"/>
          <w:szCs w:val="24"/>
        </w:rPr>
      </w:pPr>
    </w:p>
    <w:p w14:paraId="78D71333" w14:textId="77777777" w:rsidR="00341F8F" w:rsidRPr="00076972" w:rsidRDefault="00341F8F" w:rsidP="00EC748B">
      <w:pPr>
        <w:jc w:val="both"/>
        <w:rPr>
          <w:rFonts w:ascii="Arial" w:hAnsi="Arial" w:cs="Arial"/>
          <w:b/>
          <w:sz w:val="24"/>
          <w:szCs w:val="24"/>
        </w:rPr>
      </w:pPr>
      <w:r>
        <w:rPr>
          <w:rFonts w:ascii="Arial" w:hAnsi="Arial"/>
          <w:b/>
          <w:sz w:val="24"/>
        </w:rPr>
        <w:t xml:space="preserve">Artikel 7. </w:t>
      </w:r>
      <w:r>
        <w:rPr>
          <w:rFonts w:ascii="Arial" w:hAnsi="Arial"/>
          <w:b/>
          <w:i/>
          <w:sz w:val="24"/>
        </w:rPr>
        <w:t>Sanktioner</w:t>
      </w:r>
    </w:p>
    <w:p w14:paraId="6E0888BB" w14:textId="77777777" w:rsidR="00341F8F" w:rsidRPr="001E7C87" w:rsidRDefault="00341F8F" w:rsidP="00EC748B">
      <w:pPr>
        <w:jc w:val="both"/>
        <w:rPr>
          <w:rFonts w:ascii="Arial" w:hAnsi="Arial" w:cs="Arial"/>
          <w:sz w:val="24"/>
          <w:szCs w:val="24"/>
        </w:rPr>
      </w:pPr>
    </w:p>
    <w:p w14:paraId="58725BDA" w14:textId="77777777" w:rsidR="00341F8F" w:rsidRPr="001E7C87" w:rsidRDefault="00341F8F" w:rsidP="00EC748B">
      <w:pPr>
        <w:jc w:val="both"/>
        <w:rPr>
          <w:rFonts w:ascii="Arial" w:hAnsi="Arial" w:cs="Arial"/>
          <w:sz w:val="24"/>
          <w:szCs w:val="24"/>
        </w:rPr>
      </w:pPr>
      <w:r>
        <w:rPr>
          <w:rFonts w:ascii="Arial" w:hAnsi="Arial"/>
          <w:sz w:val="24"/>
        </w:rPr>
        <w:t xml:space="preserve">Manglende opfyldelse af bestemmelserne i dette kongelige dekret sanktioneres i henhold til bestemmelserne i afsnit V i lov 3/2001 af 26. marts 2011, i afsnit IV i </w:t>
      </w:r>
      <w:r>
        <w:rPr>
          <w:rFonts w:ascii="Arial" w:hAnsi="Arial"/>
          <w:sz w:val="24"/>
        </w:rPr>
        <w:lastRenderedPageBreak/>
        <w:t>omarbejdningen af den generelle lov om beskyttelse af forbrugere og brugere (General para la Defensa de los Consumidores y Usuarios) samt andre supplerende love godkendt ved kongeligt lovdekret 1/2007 af 16. november 2007, i lov 12/2013 af 2. august 2013 om foranstaltninger til forbedring af fødevarekædens funktion, samt andre supplerende love, uden at dette begrænser udøvelsen af de kompetencer, der tilkommer de selvstyrende regioner.</w:t>
      </w:r>
    </w:p>
    <w:p w14:paraId="363AA605" w14:textId="77777777" w:rsidR="00341F8F" w:rsidRPr="0042391F" w:rsidRDefault="00341F8F" w:rsidP="00EC748B">
      <w:pPr>
        <w:jc w:val="both"/>
        <w:rPr>
          <w:rFonts w:ascii="Arial" w:hAnsi="Arial" w:cs="Arial"/>
          <w:sz w:val="24"/>
          <w:szCs w:val="24"/>
        </w:rPr>
      </w:pPr>
    </w:p>
    <w:p w14:paraId="02FFCFE8" w14:textId="77777777" w:rsidR="00341F8F" w:rsidRPr="00076972" w:rsidRDefault="00341F8F" w:rsidP="00EC748B">
      <w:pPr>
        <w:jc w:val="both"/>
        <w:rPr>
          <w:rFonts w:ascii="Arial" w:hAnsi="Arial" w:cs="Arial"/>
          <w:b/>
          <w:i/>
          <w:sz w:val="24"/>
          <w:szCs w:val="24"/>
        </w:rPr>
      </w:pPr>
      <w:r>
        <w:rPr>
          <w:rFonts w:ascii="Arial" w:hAnsi="Arial"/>
          <w:b/>
          <w:sz w:val="24"/>
        </w:rPr>
        <w:t xml:space="preserve">Første tillægsbestemmelse. </w:t>
      </w:r>
      <w:r>
        <w:rPr>
          <w:rFonts w:ascii="Arial" w:hAnsi="Arial"/>
          <w:b/>
          <w:i/>
          <w:sz w:val="24"/>
        </w:rPr>
        <w:t>Indremarkedsklausul</w:t>
      </w:r>
    </w:p>
    <w:p w14:paraId="2AD7B2B3" w14:textId="77777777" w:rsidR="00341F8F" w:rsidRPr="0042391F" w:rsidRDefault="00341F8F" w:rsidP="00EC748B">
      <w:pPr>
        <w:jc w:val="both"/>
        <w:rPr>
          <w:rFonts w:ascii="Arial" w:hAnsi="Arial" w:cs="Arial"/>
          <w:b/>
          <w:sz w:val="24"/>
          <w:szCs w:val="24"/>
        </w:rPr>
      </w:pPr>
    </w:p>
    <w:p w14:paraId="2FEF5872" w14:textId="6C222740" w:rsidR="00341F8F" w:rsidRPr="001E7C87" w:rsidRDefault="00341F8F" w:rsidP="00EC748B">
      <w:pPr>
        <w:jc w:val="both"/>
        <w:rPr>
          <w:rFonts w:ascii="Arial" w:hAnsi="Arial" w:cs="Arial"/>
          <w:sz w:val="24"/>
          <w:szCs w:val="24"/>
        </w:rPr>
      </w:pPr>
      <w:r>
        <w:rPr>
          <w:rFonts w:ascii="Arial" w:hAnsi="Arial"/>
          <w:sz w:val="24"/>
        </w:rPr>
        <w:t>Konserverede eller tilberedte fødevarer af fiskevarer og akvakulturprodukter i litra h) og i) i bilag I til Europa-Parlamentets og Rådets forordning (EU) nr. 1379/2013 af 11. december 2013, der sælges lovligt i en anden af Den Europæiske Unions medlemsstater eller i Tyrkiet, eller som stammer fra og lovligt sælges i et land i Den Europæiske Frihandelssammenslutning, som er part i aftalen om Det Europæiske Økonomiske Samarbejdsområde, anses for at være i overensstemmelse med nærværende forskrifter. Anvendelsen af nærværende forordninger er reguleret ved Europa-Parlamentets og Rådets forordning (EF) nr. 764/2008 af 9. juli 2008 om procedurer for anvendelsen af visse nationale tekniske forskrifter på produkter, der markedsføres lovligt i en anden medlemsstat, og om ophævelse af beslutning nr. 3052/95/EF indtil den 18. april 2020 og er fra den 19. april 2020 reguleret ved forordning (EU) 2019/515 af 19. marts 2019 om gensidig anerkendelse af varer, der lovligt markedsføres i en anden medlemsstat.</w:t>
      </w:r>
    </w:p>
    <w:p w14:paraId="0C20C89C" w14:textId="77777777" w:rsidR="00341F8F" w:rsidRPr="001E7C87" w:rsidRDefault="00341F8F" w:rsidP="00EC748B">
      <w:pPr>
        <w:jc w:val="both"/>
        <w:rPr>
          <w:rFonts w:ascii="Arial" w:hAnsi="Arial" w:cs="Arial"/>
          <w:sz w:val="24"/>
          <w:szCs w:val="24"/>
        </w:rPr>
      </w:pPr>
    </w:p>
    <w:p w14:paraId="60BCCF2D" w14:textId="77777777" w:rsidR="00341F8F" w:rsidRPr="00C25511" w:rsidRDefault="00341F8F" w:rsidP="00EC748B">
      <w:pPr>
        <w:jc w:val="both"/>
        <w:rPr>
          <w:rFonts w:ascii="Arial" w:hAnsi="Arial" w:cs="Arial"/>
          <w:b/>
          <w:i/>
          <w:sz w:val="24"/>
          <w:szCs w:val="24"/>
        </w:rPr>
      </w:pPr>
      <w:r>
        <w:rPr>
          <w:rFonts w:ascii="Arial" w:hAnsi="Arial"/>
          <w:b/>
          <w:sz w:val="24"/>
        </w:rPr>
        <w:t xml:space="preserve">Anden tillægsbestemmelse. </w:t>
      </w:r>
      <w:r>
        <w:rPr>
          <w:rFonts w:ascii="Arial" w:hAnsi="Arial"/>
          <w:b/>
          <w:i/>
          <w:sz w:val="24"/>
        </w:rPr>
        <w:t>Brug af alternative betegnelser for Sardina pilchardus, Trachurus spp., Auxis rochei, Auxis thazard, Merluccius spp. og Macruronus spp.</w:t>
      </w:r>
    </w:p>
    <w:p w14:paraId="4664EEA1" w14:textId="77777777" w:rsidR="00341F8F" w:rsidRPr="001E7C87" w:rsidRDefault="00341F8F" w:rsidP="00EC748B">
      <w:pPr>
        <w:jc w:val="both"/>
        <w:rPr>
          <w:rFonts w:ascii="Arial" w:hAnsi="Arial" w:cs="Arial"/>
          <w:b/>
          <w:sz w:val="24"/>
          <w:szCs w:val="24"/>
        </w:rPr>
      </w:pPr>
    </w:p>
    <w:p w14:paraId="292364F1" w14:textId="5EB5750F" w:rsidR="00341F8F" w:rsidRPr="001E7C87" w:rsidRDefault="00341F8F" w:rsidP="0002569E">
      <w:pPr>
        <w:autoSpaceDE w:val="0"/>
        <w:autoSpaceDN w:val="0"/>
        <w:jc w:val="both"/>
        <w:rPr>
          <w:rFonts w:ascii="Arial" w:hAnsi="Arial" w:cs="Arial"/>
          <w:sz w:val="24"/>
          <w:szCs w:val="24"/>
          <w:shd w:val="clear" w:color="auto" w:fill="FFFFFF"/>
        </w:rPr>
      </w:pPr>
      <w:r>
        <w:rPr>
          <w:rFonts w:ascii="Arial" w:hAnsi="Arial"/>
          <w:sz w:val="24"/>
          <w:shd w:val="clear" w:color="auto" w:fill="FFFFFF"/>
        </w:rPr>
        <w:t xml:space="preserve">Konserverede eller tilberedte fødevarer fremstillet af </w:t>
      </w:r>
      <w:r>
        <w:rPr>
          <w:rFonts w:ascii="Arial" w:hAnsi="Arial"/>
          <w:i/>
          <w:sz w:val="24"/>
          <w:shd w:val="clear" w:color="auto" w:fill="FFFFFF"/>
        </w:rPr>
        <w:t>Sardina pilchardus</w:t>
      </w:r>
      <w:r>
        <w:rPr>
          <w:rFonts w:ascii="Arial" w:hAnsi="Arial"/>
          <w:sz w:val="24"/>
          <w:shd w:val="clear" w:color="auto" w:fill="FFFFFF"/>
        </w:rPr>
        <w:t xml:space="preserve"> og </w:t>
      </w:r>
      <w:r>
        <w:rPr>
          <w:rFonts w:ascii="Arial" w:hAnsi="Arial"/>
          <w:i/>
          <w:sz w:val="24"/>
          <w:shd w:val="clear" w:color="auto" w:fill="FFFFFF"/>
        </w:rPr>
        <w:t>Trachurus spp.</w:t>
      </w:r>
      <w:r>
        <w:rPr>
          <w:rFonts w:ascii="Arial" w:hAnsi="Arial"/>
          <w:sz w:val="24"/>
          <w:shd w:val="clear" w:color="auto" w:fill="FFFFFF"/>
        </w:rPr>
        <w:t xml:space="preserve"> må tilføjes henholdsvis den alternative varebetegnelse for konserverede fødevarer "</w:t>
      </w:r>
      <w:r>
        <w:rPr>
          <w:rFonts w:ascii="Arial" w:hAnsi="Arial"/>
          <w:i/>
          <w:sz w:val="24"/>
          <w:shd w:val="clear" w:color="auto" w:fill="FFFFFF"/>
        </w:rPr>
        <w:t>sardinilla</w:t>
      </w:r>
      <w:r>
        <w:rPr>
          <w:rFonts w:ascii="Arial" w:hAnsi="Arial"/>
          <w:sz w:val="24"/>
          <w:shd w:val="clear" w:color="auto" w:fill="FFFFFF"/>
        </w:rPr>
        <w:t>" (europæisk sardin) og "</w:t>
      </w:r>
      <w:r>
        <w:rPr>
          <w:rFonts w:ascii="Arial" w:hAnsi="Arial"/>
          <w:i/>
          <w:sz w:val="24"/>
          <w:shd w:val="clear" w:color="auto" w:fill="FFFFFF"/>
        </w:rPr>
        <w:t>chicharrillo</w:t>
      </w:r>
      <w:r>
        <w:rPr>
          <w:rFonts w:ascii="Arial" w:hAnsi="Arial"/>
          <w:sz w:val="24"/>
          <w:shd w:val="clear" w:color="auto" w:fill="FFFFFF"/>
        </w:rPr>
        <w:t>" (hestemakrel) i henhold til bilaget til nærværende kongelige dekret, forudsat at Den Europæiske Unions lovgivning samt den nationale lovgivning om tekniske foranstaltninger overholdes, specifikt følgende grænser for størrelse og vægt:</w:t>
      </w:r>
    </w:p>
    <w:p w14:paraId="4DE42BD8" w14:textId="77777777" w:rsidR="00341F8F" w:rsidRPr="001E7C87" w:rsidRDefault="00341F8F" w:rsidP="0002569E">
      <w:pPr>
        <w:autoSpaceDE w:val="0"/>
        <w:autoSpaceDN w:val="0"/>
        <w:jc w:val="both"/>
        <w:rPr>
          <w:rFonts w:ascii="Arial" w:hAnsi="Arial" w:cs="Arial"/>
          <w:sz w:val="24"/>
          <w:szCs w:val="24"/>
          <w:shd w:val="clear" w:color="auto" w:fill="FFFFFF"/>
        </w:rPr>
      </w:pPr>
    </w:p>
    <w:p w14:paraId="4572E372" w14:textId="77777777" w:rsidR="00341F8F" w:rsidRPr="001E7C87" w:rsidRDefault="00341F8F" w:rsidP="00253F7B">
      <w:pPr>
        <w:pStyle w:val="ListParagraph"/>
        <w:numPr>
          <w:ilvl w:val="0"/>
          <w:numId w:val="6"/>
        </w:numPr>
        <w:autoSpaceDE w:val="0"/>
        <w:autoSpaceDN w:val="0"/>
        <w:jc w:val="both"/>
        <w:rPr>
          <w:rFonts w:ascii="Arial" w:hAnsi="Arial" w:cs="Arial"/>
          <w:sz w:val="24"/>
          <w:szCs w:val="24"/>
        </w:rPr>
      </w:pPr>
      <w:r>
        <w:rPr>
          <w:rFonts w:ascii="Arial" w:hAnsi="Arial"/>
          <w:sz w:val="24"/>
          <w:shd w:val="clear" w:color="auto" w:fill="FFFFFF"/>
        </w:rPr>
        <w:t xml:space="preserve">for </w:t>
      </w:r>
      <w:r>
        <w:rPr>
          <w:rFonts w:ascii="Arial" w:hAnsi="Arial"/>
          <w:i/>
          <w:sz w:val="24"/>
          <w:shd w:val="clear" w:color="auto" w:fill="FFFFFF"/>
        </w:rPr>
        <w:t>Sardina pilchardus</w:t>
      </w:r>
      <w:r>
        <w:rPr>
          <w:rFonts w:ascii="Arial" w:hAnsi="Arial"/>
          <w:sz w:val="24"/>
          <w:shd w:val="clear" w:color="auto" w:fill="FFFFFF"/>
        </w:rPr>
        <w:t>, de eksemplarer, der anvendes som råvarer i industrien:</w:t>
      </w:r>
    </w:p>
    <w:p w14:paraId="638C6E6B" w14:textId="77777777" w:rsidR="00341F8F" w:rsidRPr="001E7C87" w:rsidRDefault="00341F8F" w:rsidP="00255A67">
      <w:pPr>
        <w:pStyle w:val="ListParagraph"/>
        <w:autoSpaceDE w:val="0"/>
        <w:autoSpaceDN w:val="0"/>
        <w:jc w:val="both"/>
        <w:rPr>
          <w:rFonts w:ascii="Arial" w:hAnsi="Arial" w:cs="Arial"/>
          <w:sz w:val="24"/>
          <w:szCs w:val="24"/>
          <w:shd w:val="clear" w:color="auto" w:fill="FFFFFF"/>
        </w:rPr>
      </w:pPr>
    </w:p>
    <w:p w14:paraId="1D74EF31" w14:textId="77777777" w:rsidR="00341F8F" w:rsidRPr="001E7C87" w:rsidRDefault="00341F8F" w:rsidP="00253F7B">
      <w:pPr>
        <w:pStyle w:val="ListParagraph"/>
        <w:numPr>
          <w:ilvl w:val="0"/>
          <w:numId w:val="7"/>
        </w:numPr>
        <w:autoSpaceDE w:val="0"/>
        <w:autoSpaceDN w:val="0"/>
        <w:jc w:val="both"/>
        <w:rPr>
          <w:rFonts w:ascii="Arial" w:hAnsi="Arial" w:cs="Arial"/>
          <w:sz w:val="24"/>
          <w:szCs w:val="24"/>
        </w:rPr>
      </w:pPr>
      <w:r>
        <w:rPr>
          <w:rFonts w:ascii="Arial" w:hAnsi="Arial"/>
          <w:sz w:val="24"/>
          <w:shd w:val="clear" w:color="auto" w:fill="FFFFFF"/>
        </w:rPr>
        <w:t>Hvis de stammer fra Middelhavet, skal de mindst måle 11 cm, have en gennemsnitsvægt på 10,7 g og må maksimalt måle 15 cm med en gennemsnitlig vægt på 25 g.</w:t>
      </w:r>
    </w:p>
    <w:p w14:paraId="2A08E8FE" w14:textId="77777777" w:rsidR="00341F8F" w:rsidRPr="001E7C87" w:rsidRDefault="00341F8F" w:rsidP="00255A67">
      <w:pPr>
        <w:pStyle w:val="ListParagraph"/>
        <w:autoSpaceDE w:val="0"/>
        <w:autoSpaceDN w:val="0"/>
        <w:ind w:left="1080"/>
        <w:jc w:val="both"/>
        <w:rPr>
          <w:rFonts w:ascii="Arial" w:hAnsi="Arial" w:cs="Arial"/>
          <w:sz w:val="24"/>
          <w:szCs w:val="24"/>
        </w:rPr>
      </w:pPr>
    </w:p>
    <w:p w14:paraId="32DF28F9" w14:textId="77777777" w:rsidR="00341F8F" w:rsidRPr="001E7C87" w:rsidRDefault="00341F8F" w:rsidP="00253F7B">
      <w:pPr>
        <w:pStyle w:val="ListParagraph"/>
        <w:numPr>
          <w:ilvl w:val="0"/>
          <w:numId w:val="7"/>
        </w:numPr>
        <w:autoSpaceDE w:val="0"/>
        <w:autoSpaceDN w:val="0"/>
        <w:jc w:val="both"/>
        <w:rPr>
          <w:rFonts w:ascii="Arial" w:hAnsi="Arial" w:cs="Arial"/>
          <w:sz w:val="24"/>
          <w:szCs w:val="24"/>
        </w:rPr>
      </w:pPr>
      <w:r>
        <w:rPr>
          <w:rFonts w:ascii="Arial" w:hAnsi="Arial"/>
          <w:sz w:val="24"/>
          <w:shd w:val="clear" w:color="auto" w:fill="FFFFFF"/>
        </w:rPr>
        <w:t>Hvis de stammer fra andre fiskeområder, skal de mindst måle 11 cm, have en gennemsnitsvægt på 12,5 g og må maksimalt måle 13,7 cm med en gennemsnitlig vægt på 25 g.</w:t>
      </w:r>
    </w:p>
    <w:p w14:paraId="3633A3FC" w14:textId="77777777" w:rsidR="00341F8F" w:rsidRPr="001E7C87" w:rsidRDefault="00341F8F" w:rsidP="00255A67">
      <w:pPr>
        <w:autoSpaceDE w:val="0"/>
        <w:autoSpaceDN w:val="0"/>
        <w:jc w:val="both"/>
        <w:rPr>
          <w:rFonts w:ascii="Arial" w:hAnsi="Arial" w:cs="Arial"/>
          <w:sz w:val="24"/>
          <w:szCs w:val="24"/>
        </w:rPr>
      </w:pPr>
    </w:p>
    <w:p w14:paraId="7626D7FB" w14:textId="77777777" w:rsidR="00341F8F" w:rsidRPr="001E7C87" w:rsidRDefault="00341F8F" w:rsidP="00253F7B">
      <w:pPr>
        <w:pStyle w:val="ListParagraph"/>
        <w:numPr>
          <w:ilvl w:val="0"/>
          <w:numId w:val="6"/>
        </w:numPr>
        <w:autoSpaceDE w:val="0"/>
        <w:autoSpaceDN w:val="0"/>
        <w:jc w:val="both"/>
        <w:rPr>
          <w:rFonts w:ascii="Arial" w:hAnsi="Arial" w:cs="Arial"/>
          <w:sz w:val="24"/>
          <w:szCs w:val="24"/>
        </w:rPr>
      </w:pPr>
      <w:r>
        <w:rPr>
          <w:rFonts w:ascii="Arial" w:hAnsi="Arial"/>
          <w:sz w:val="24"/>
        </w:rPr>
        <w:t xml:space="preserve">for </w:t>
      </w:r>
      <w:r>
        <w:rPr>
          <w:rFonts w:ascii="Arial" w:hAnsi="Arial"/>
          <w:i/>
          <w:sz w:val="24"/>
        </w:rPr>
        <w:t>Trachurus spp</w:t>
      </w:r>
      <w:r>
        <w:rPr>
          <w:rFonts w:ascii="Arial" w:hAnsi="Arial"/>
          <w:sz w:val="24"/>
        </w:rPr>
        <w:t>, de eksemplarer, der anvendes som råvarer i industrien:</w:t>
      </w:r>
    </w:p>
    <w:p w14:paraId="4B38A56E" w14:textId="77777777" w:rsidR="00341F8F" w:rsidRPr="001E7C87" w:rsidRDefault="00341F8F" w:rsidP="00255A67">
      <w:pPr>
        <w:pStyle w:val="ListParagraph"/>
        <w:autoSpaceDE w:val="0"/>
        <w:autoSpaceDN w:val="0"/>
        <w:jc w:val="both"/>
        <w:rPr>
          <w:rFonts w:ascii="Arial" w:hAnsi="Arial" w:cs="Arial"/>
          <w:sz w:val="24"/>
          <w:szCs w:val="24"/>
        </w:rPr>
      </w:pPr>
    </w:p>
    <w:p w14:paraId="572F4081" w14:textId="00700A87" w:rsidR="00341F8F" w:rsidRPr="00644631" w:rsidRDefault="00341F8F" w:rsidP="00644631">
      <w:pPr>
        <w:pStyle w:val="ListParagraph"/>
        <w:numPr>
          <w:ilvl w:val="0"/>
          <w:numId w:val="10"/>
        </w:numPr>
        <w:autoSpaceDE w:val="0"/>
        <w:autoSpaceDN w:val="0"/>
        <w:jc w:val="both"/>
        <w:rPr>
          <w:rFonts w:ascii="Arial" w:hAnsi="Arial" w:cs="Arial"/>
          <w:sz w:val="24"/>
          <w:szCs w:val="24"/>
        </w:rPr>
      </w:pPr>
      <w:r>
        <w:rPr>
          <w:rFonts w:ascii="Arial" w:hAnsi="Arial"/>
          <w:sz w:val="24"/>
          <w:shd w:val="clear" w:color="auto" w:fill="FFFFFF"/>
        </w:rPr>
        <w:t>Hvis de stammer fra Middelhavet, skal de mindst måle 15 cm, have en gennemsnitsvægt på 29 g og må maksimalt måle 20,2 cm med en gennemsnitlig vægt på 67 g.</w:t>
      </w:r>
    </w:p>
    <w:p w14:paraId="4ACA8302" w14:textId="77777777" w:rsidR="00341F8F" w:rsidRPr="001E7C87" w:rsidRDefault="00341F8F" w:rsidP="00255A67">
      <w:pPr>
        <w:pStyle w:val="ListParagraph"/>
        <w:autoSpaceDE w:val="0"/>
        <w:autoSpaceDN w:val="0"/>
        <w:ind w:left="1080"/>
        <w:jc w:val="both"/>
        <w:rPr>
          <w:rFonts w:ascii="Arial" w:hAnsi="Arial" w:cs="Arial"/>
          <w:sz w:val="24"/>
          <w:szCs w:val="24"/>
        </w:rPr>
      </w:pPr>
    </w:p>
    <w:p w14:paraId="5610BE04" w14:textId="77777777" w:rsidR="00341F8F" w:rsidRPr="001E7C87" w:rsidRDefault="00341F8F" w:rsidP="00644631">
      <w:pPr>
        <w:pStyle w:val="ListParagraph"/>
        <w:numPr>
          <w:ilvl w:val="0"/>
          <w:numId w:val="10"/>
        </w:numPr>
        <w:autoSpaceDE w:val="0"/>
        <w:autoSpaceDN w:val="0"/>
        <w:jc w:val="both"/>
        <w:rPr>
          <w:rFonts w:ascii="Arial" w:hAnsi="Arial" w:cs="Arial"/>
          <w:sz w:val="24"/>
          <w:szCs w:val="24"/>
        </w:rPr>
      </w:pPr>
      <w:r>
        <w:rPr>
          <w:rFonts w:ascii="Arial" w:hAnsi="Arial"/>
          <w:sz w:val="24"/>
          <w:shd w:val="clear" w:color="auto" w:fill="FFFFFF"/>
        </w:rPr>
        <w:t>Hvis de stammer fra andre fiskeområder, skal de mindst måle 15 cm, have en gennemsnitsvægt på 34,1 g og må maksimalt måle 18,82 cm med en gennemsnitlig vægt på 67 g.</w:t>
      </w:r>
      <w:r>
        <w:rPr>
          <w:rFonts w:ascii="Arial" w:hAnsi="Arial"/>
          <w:sz w:val="24"/>
        </w:rPr>
        <w:t xml:space="preserve"> </w:t>
      </w:r>
    </w:p>
    <w:p w14:paraId="5B567492" w14:textId="77777777" w:rsidR="00341F8F" w:rsidRPr="001E7C87" w:rsidRDefault="00341F8F" w:rsidP="0002569E">
      <w:pPr>
        <w:pStyle w:val="ListParagraph"/>
        <w:rPr>
          <w:rFonts w:ascii="Arial" w:hAnsi="Arial" w:cs="Arial"/>
          <w:sz w:val="24"/>
          <w:szCs w:val="24"/>
        </w:rPr>
      </w:pPr>
    </w:p>
    <w:p w14:paraId="1EC2EC11" w14:textId="77777777" w:rsidR="00341F8F" w:rsidRPr="001E7C87" w:rsidRDefault="00341F8F" w:rsidP="0002569E">
      <w:pPr>
        <w:autoSpaceDE w:val="0"/>
        <w:autoSpaceDN w:val="0"/>
        <w:jc w:val="both"/>
        <w:rPr>
          <w:rFonts w:ascii="Arial" w:hAnsi="Arial" w:cs="Arial"/>
          <w:sz w:val="24"/>
          <w:szCs w:val="24"/>
          <w:shd w:val="clear" w:color="auto" w:fill="FFFFFF"/>
        </w:rPr>
      </w:pPr>
      <w:r>
        <w:rPr>
          <w:rFonts w:ascii="Arial" w:hAnsi="Arial"/>
          <w:sz w:val="24"/>
          <w:shd w:val="clear" w:color="auto" w:fill="FFFFFF"/>
        </w:rPr>
        <w:t xml:space="preserve">Konserverede eller tilberedte fødevarer af </w:t>
      </w:r>
      <w:r>
        <w:rPr>
          <w:rFonts w:ascii="Arial" w:hAnsi="Arial"/>
          <w:i/>
          <w:sz w:val="24"/>
          <w:shd w:val="clear" w:color="auto" w:fill="FFFFFF"/>
        </w:rPr>
        <w:t>Auxis rochei</w:t>
      </w:r>
      <w:r>
        <w:rPr>
          <w:rFonts w:ascii="Arial" w:hAnsi="Arial"/>
          <w:sz w:val="24"/>
          <w:shd w:val="clear" w:color="auto" w:fill="FFFFFF"/>
        </w:rPr>
        <w:t xml:space="preserve"> og </w:t>
      </w:r>
      <w:r>
        <w:rPr>
          <w:rFonts w:ascii="Arial" w:hAnsi="Arial"/>
          <w:i/>
          <w:sz w:val="24"/>
          <w:shd w:val="clear" w:color="auto" w:fill="FFFFFF"/>
        </w:rPr>
        <w:t>Auxis thazard</w:t>
      </w:r>
      <w:r>
        <w:rPr>
          <w:rFonts w:ascii="Arial" w:hAnsi="Arial"/>
          <w:sz w:val="24"/>
          <w:shd w:val="clear" w:color="auto" w:fill="FFFFFF"/>
        </w:rPr>
        <w:t xml:space="preserve"> må tilføjes den alternative varebetegnelse for konserverede fødevarer "</w:t>
      </w:r>
      <w:r>
        <w:rPr>
          <w:rFonts w:ascii="Arial" w:hAnsi="Arial"/>
          <w:i/>
          <w:sz w:val="24"/>
          <w:shd w:val="clear" w:color="auto" w:fill="FFFFFF"/>
        </w:rPr>
        <w:t>melva canutera</w:t>
      </w:r>
      <w:r>
        <w:rPr>
          <w:rFonts w:ascii="Arial" w:hAnsi="Arial"/>
          <w:sz w:val="24"/>
          <w:shd w:val="clear" w:color="auto" w:fill="FFFFFF"/>
        </w:rPr>
        <w:t>" (fregatmakrel) i henhold til bilaget til nærværende kongelige dekret, forudsat at Den Europæiske Unions lovgivning samt den nationale lovgivning om tekniske foranstaltninger overholdes, og forudsat at eksemplarerne vejer under 600 g.</w:t>
      </w:r>
    </w:p>
    <w:p w14:paraId="36E718A6" w14:textId="77777777" w:rsidR="00341F8F" w:rsidRPr="001E7C87" w:rsidRDefault="00341F8F" w:rsidP="0002569E">
      <w:pPr>
        <w:autoSpaceDE w:val="0"/>
        <w:autoSpaceDN w:val="0"/>
        <w:jc w:val="both"/>
        <w:rPr>
          <w:rFonts w:ascii="Arial" w:hAnsi="Arial" w:cs="Arial"/>
          <w:sz w:val="24"/>
          <w:szCs w:val="24"/>
          <w:shd w:val="clear" w:color="auto" w:fill="FFFFFF"/>
        </w:rPr>
      </w:pPr>
    </w:p>
    <w:p w14:paraId="5AA9754A" w14:textId="77777777" w:rsidR="00341F8F" w:rsidRPr="001E7C87" w:rsidRDefault="00341F8F" w:rsidP="0002569E">
      <w:pPr>
        <w:autoSpaceDE w:val="0"/>
        <w:autoSpaceDN w:val="0"/>
        <w:jc w:val="both"/>
        <w:rPr>
          <w:rFonts w:ascii="Arial" w:hAnsi="Arial" w:cs="Arial"/>
          <w:sz w:val="24"/>
          <w:szCs w:val="24"/>
        </w:rPr>
      </w:pPr>
      <w:r>
        <w:rPr>
          <w:rFonts w:ascii="Arial" w:hAnsi="Arial"/>
          <w:sz w:val="24"/>
          <w:shd w:val="clear" w:color="auto" w:fill="FFFFFF"/>
        </w:rPr>
        <w:t xml:space="preserve">For </w:t>
      </w:r>
      <w:r>
        <w:rPr>
          <w:rFonts w:ascii="Arial" w:hAnsi="Arial"/>
          <w:i/>
          <w:sz w:val="24"/>
          <w:shd w:val="clear" w:color="auto" w:fill="FFFFFF"/>
        </w:rPr>
        <w:t>Merluccius spp.</w:t>
      </w:r>
      <w:r>
        <w:rPr>
          <w:rFonts w:ascii="Arial" w:hAnsi="Arial"/>
          <w:sz w:val="24"/>
          <w:shd w:val="clear" w:color="auto" w:fill="FFFFFF"/>
        </w:rPr>
        <w:t xml:space="preserve"> og </w:t>
      </w:r>
      <w:r>
        <w:rPr>
          <w:rFonts w:ascii="Arial" w:hAnsi="Arial"/>
          <w:i/>
          <w:sz w:val="24"/>
          <w:shd w:val="clear" w:color="auto" w:fill="FFFFFF"/>
        </w:rPr>
        <w:t>Macruronus spp</w:t>
      </w:r>
      <w:r>
        <w:rPr>
          <w:rFonts w:ascii="Arial" w:hAnsi="Arial"/>
          <w:sz w:val="24"/>
          <w:shd w:val="clear" w:color="auto" w:fill="FFFFFF"/>
        </w:rPr>
        <w:t xml:space="preserve"> er det muligt at anvende den alternative handelsbetegnelse eller varebetegnelse for konserveret eller tilberedt fødevare "</w:t>
      </w:r>
      <w:r>
        <w:rPr>
          <w:rFonts w:ascii="Arial" w:hAnsi="Arial"/>
          <w:i/>
          <w:sz w:val="24"/>
          <w:shd w:val="clear" w:color="auto" w:fill="FFFFFF"/>
        </w:rPr>
        <w:t>pescadilla</w:t>
      </w:r>
      <w:r>
        <w:rPr>
          <w:rFonts w:ascii="Arial" w:hAnsi="Arial"/>
          <w:sz w:val="24"/>
          <w:shd w:val="clear" w:color="auto" w:fill="FFFFFF"/>
        </w:rPr>
        <w:t>" (hvilling) sammen med den specifikke betegnelse i henhold til bilaget til nærværende kongelige dekret, forudsat at det drejer sig om eksemplarer på maksimalt 1,5 kg.</w:t>
      </w:r>
    </w:p>
    <w:p w14:paraId="320581AF" w14:textId="77777777" w:rsidR="00341F8F" w:rsidRPr="001E7C87" w:rsidRDefault="00341F8F" w:rsidP="00EC748B">
      <w:pPr>
        <w:jc w:val="both"/>
        <w:rPr>
          <w:rFonts w:ascii="Arial" w:hAnsi="Arial" w:cs="Arial"/>
          <w:b/>
          <w:sz w:val="24"/>
          <w:szCs w:val="24"/>
        </w:rPr>
      </w:pPr>
    </w:p>
    <w:p w14:paraId="184CDC56" w14:textId="77777777" w:rsidR="00341F8F" w:rsidRPr="009D5D83" w:rsidRDefault="00341F8F" w:rsidP="00EC748B">
      <w:pPr>
        <w:jc w:val="both"/>
        <w:rPr>
          <w:rFonts w:ascii="Arial" w:hAnsi="Arial" w:cs="Arial"/>
          <w:b/>
          <w:sz w:val="24"/>
          <w:szCs w:val="24"/>
        </w:rPr>
      </w:pPr>
      <w:r>
        <w:rPr>
          <w:rFonts w:ascii="Arial" w:hAnsi="Arial"/>
          <w:b/>
          <w:sz w:val="24"/>
        </w:rPr>
        <w:t>Eneste overgangsbestemmelse.</w:t>
      </w:r>
      <w:r>
        <w:rPr>
          <w:rFonts w:ascii="Arial" w:hAnsi="Arial"/>
          <w:i/>
        </w:rPr>
        <w:t xml:space="preserve"> </w:t>
      </w:r>
      <w:r>
        <w:rPr>
          <w:rFonts w:ascii="Arial" w:hAnsi="Arial"/>
          <w:b/>
          <w:i/>
          <w:sz w:val="24"/>
        </w:rPr>
        <w:t>Markedsføring af lagre af konserverede eller tilberedte varer</w:t>
      </w:r>
      <w:r>
        <w:rPr>
          <w:rFonts w:ascii="Arial" w:hAnsi="Arial"/>
          <w:b/>
          <w:sz w:val="24"/>
        </w:rPr>
        <w:t xml:space="preserve"> </w:t>
      </w:r>
      <w:r>
        <w:rPr>
          <w:rFonts w:ascii="Arial" w:hAnsi="Arial"/>
          <w:b/>
          <w:i/>
          <w:sz w:val="24"/>
        </w:rPr>
        <w:t>samt mærket emballage</w:t>
      </w:r>
    </w:p>
    <w:p w14:paraId="57AD86D6" w14:textId="77777777" w:rsidR="00341F8F" w:rsidRPr="001E7C87" w:rsidRDefault="00341F8F" w:rsidP="00EC748B">
      <w:pPr>
        <w:jc w:val="both"/>
        <w:rPr>
          <w:rFonts w:ascii="Arial" w:hAnsi="Arial" w:cs="Arial"/>
          <w:sz w:val="24"/>
          <w:szCs w:val="24"/>
        </w:rPr>
      </w:pPr>
    </w:p>
    <w:p w14:paraId="371AB767" w14:textId="77777777" w:rsidR="00341F8F" w:rsidRPr="001E7C87" w:rsidRDefault="00341F8F" w:rsidP="00EC748B">
      <w:pPr>
        <w:jc w:val="both"/>
        <w:rPr>
          <w:rFonts w:ascii="Arial" w:hAnsi="Arial" w:cs="Arial"/>
          <w:sz w:val="24"/>
          <w:szCs w:val="24"/>
        </w:rPr>
      </w:pPr>
      <w:r>
        <w:rPr>
          <w:rFonts w:ascii="Arial" w:hAnsi="Arial"/>
          <w:sz w:val="24"/>
        </w:rPr>
        <w:t xml:space="preserve">Mærket emballage, der er indkøbt, og konserverede eller tilberedte varer, der er produceret inden dette kongelige dekrets ikrafttræden, og som opfylder de på det pågældende tidspunkt gældende betingelser, kan markedsføres, så længe lager haves. </w:t>
      </w:r>
    </w:p>
    <w:p w14:paraId="16FAC755" w14:textId="77777777" w:rsidR="008F6EEE" w:rsidRPr="001E7C87" w:rsidRDefault="008F6EEE" w:rsidP="00EC748B">
      <w:pPr>
        <w:jc w:val="both"/>
        <w:rPr>
          <w:rFonts w:ascii="Arial" w:hAnsi="Arial" w:cs="Arial"/>
          <w:sz w:val="24"/>
          <w:szCs w:val="24"/>
        </w:rPr>
      </w:pPr>
    </w:p>
    <w:p w14:paraId="2DBDC459" w14:textId="77777777" w:rsidR="00B12306" w:rsidRPr="002E5171" w:rsidRDefault="00B12306" w:rsidP="00EC748B">
      <w:pPr>
        <w:jc w:val="both"/>
        <w:rPr>
          <w:rFonts w:ascii="Arial" w:hAnsi="Arial" w:cs="Arial"/>
          <w:sz w:val="24"/>
          <w:szCs w:val="24"/>
        </w:rPr>
      </w:pPr>
      <w:r>
        <w:rPr>
          <w:rFonts w:ascii="Arial" w:hAnsi="Arial"/>
          <w:sz w:val="24"/>
        </w:rPr>
        <w:t xml:space="preserve">Aktører har en frist på et år fra dette kongelige dekrets ikrafttræden til at tilpasse sig bestemmelserne heri. </w:t>
      </w:r>
    </w:p>
    <w:p w14:paraId="64225436" w14:textId="77777777" w:rsidR="00B12306" w:rsidRPr="002E5171" w:rsidRDefault="00B12306" w:rsidP="00EC748B">
      <w:pPr>
        <w:jc w:val="both"/>
        <w:rPr>
          <w:rFonts w:ascii="Arial" w:hAnsi="Arial" w:cs="Arial"/>
          <w:sz w:val="24"/>
          <w:szCs w:val="24"/>
        </w:rPr>
      </w:pPr>
    </w:p>
    <w:p w14:paraId="14057935" w14:textId="77777777" w:rsidR="00341F8F" w:rsidRPr="00B26495" w:rsidRDefault="00B12306" w:rsidP="00EC748B">
      <w:pPr>
        <w:jc w:val="both"/>
        <w:rPr>
          <w:rFonts w:ascii="Arial" w:hAnsi="Arial" w:cs="Arial"/>
          <w:strike/>
          <w:sz w:val="24"/>
          <w:szCs w:val="24"/>
        </w:rPr>
      </w:pPr>
      <w:r>
        <w:rPr>
          <w:rFonts w:ascii="Arial" w:hAnsi="Arial"/>
          <w:sz w:val="24"/>
        </w:rPr>
        <w:t>Ved offentliggørelsen af en afgørelse, der vedrører en varebetegnelse for konserverede eller tilberedte fødevarer, der er anført i bilaget til nærværende kongelige dekret, har aktørerne ligeledes en frist på seks måneder til at tilpasse sig denne ændring.</w:t>
      </w:r>
    </w:p>
    <w:p w14:paraId="310794B6" w14:textId="77777777" w:rsidR="00341F8F" w:rsidRPr="001E7C87" w:rsidRDefault="00341F8F" w:rsidP="00EC748B">
      <w:pPr>
        <w:jc w:val="both"/>
        <w:rPr>
          <w:rFonts w:ascii="Arial" w:hAnsi="Arial" w:cs="Arial"/>
          <w:sz w:val="24"/>
          <w:szCs w:val="24"/>
        </w:rPr>
      </w:pPr>
    </w:p>
    <w:p w14:paraId="0AE0D546" w14:textId="77777777" w:rsidR="00341F8F" w:rsidRPr="009D5D83" w:rsidRDefault="00341F8F" w:rsidP="00EC748B">
      <w:pPr>
        <w:jc w:val="both"/>
        <w:rPr>
          <w:rFonts w:ascii="Arial" w:hAnsi="Arial" w:cs="Arial"/>
          <w:b/>
          <w:sz w:val="24"/>
          <w:szCs w:val="24"/>
        </w:rPr>
      </w:pPr>
      <w:r>
        <w:rPr>
          <w:rFonts w:ascii="Arial" w:hAnsi="Arial"/>
          <w:b/>
          <w:sz w:val="24"/>
        </w:rPr>
        <w:t>Eneste ophævende bestemmelse</w:t>
      </w:r>
      <w:r>
        <w:rPr>
          <w:rFonts w:ascii="Arial" w:hAnsi="Arial"/>
          <w:i/>
          <w:sz w:val="24"/>
        </w:rPr>
        <w:t xml:space="preserve">. </w:t>
      </w:r>
      <w:r>
        <w:rPr>
          <w:rFonts w:ascii="Arial" w:hAnsi="Arial"/>
          <w:b/>
          <w:i/>
          <w:sz w:val="24"/>
        </w:rPr>
        <w:t>Ophævelse af forskrifter</w:t>
      </w:r>
      <w:r>
        <w:rPr>
          <w:rFonts w:ascii="Arial" w:hAnsi="Arial"/>
          <w:b/>
          <w:sz w:val="24"/>
        </w:rPr>
        <w:t xml:space="preserve"> </w:t>
      </w:r>
    </w:p>
    <w:p w14:paraId="6E629905" w14:textId="77777777" w:rsidR="00341F8F" w:rsidRPr="001E7C87" w:rsidRDefault="00341F8F" w:rsidP="00EC748B">
      <w:pPr>
        <w:jc w:val="both"/>
        <w:rPr>
          <w:rFonts w:ascii="Arial" w:hAnsi="Arial" w:cs="Arial"/>
          <w:sz w:val="24"/>
          <w:szCs w:val="24"/>
        </w:rPr>
      </w:pPr>
    </w:p>
    <w:p w14:paraId="579556AB" w14:textId="77777777" w:rsidR="00341F8F" w:rsidRPr="001E7C87" w:rsidRDefault="00341F8F" w:rsidP="00EC748B">
      <w:pPr>
        <w:jc w:val="both"/>
        <w:rPr>
          <w:rFonts w:ascii="Arial" w:hAnsi="Arial" w:cs="Arial"/>
          <w:sz w:val="24"/>
          <w:szCs w:val="24"/>
        </w:rPr>
      </w:pPr>
      <w:r>
        <w:rPr>
          <w:rFonts w:ascii="Arial" w:hAnsi="Arial"/>
          <w:sz w:val="24"/>
        </w:rPr>
        <w:t xml:space="preserve">1. Bilag IV til kongeligt dekret 1521/1984 af 1. august 1984 om godkendelse af sundhedstekniske forskrifter for anlæg og produkter fra fiskeri og akvakultur med henblik på konsum, ophæves. </w:t>
      </w:r>
    </w:p>
    <w:p w14:paraId="172AAFB9" w14:textId="77777777" w:rsidR="00341F8F" w:rsidRPr="001E7C87" w:rsidRDefault="00341F8F" w:rsidP="00EC748B">
      <w:pPr>
        <w:pStyle w:val="ListParagraph"/>
        <w:jc w:val="both"/>
        <w:rPr>
          <w:rFonts w:ascii="Arial" w:hAnsi="Arial" w:cs="Arial"/>
          <w:sz w:val="24"/>
          <w:szCs w:val="24"/>
        </w:rPr>
      </w:pPr>
    </w:p>
    <w:p w14:paraId="5BA3F843" w14:textId="77777777" w:rsidR="00341F8F" w:rsidRPr="001E7C87" w:rsidRDefault="00341F8F" w:rsidP="00EC748B">
      <w:pPr>
        <w:jc w:val="both"/>
        <w:rPr>
          <w:rFonts w:ascii="Arial" w:hAnsi="Arial" w:cs="Arial"/>
          <w:sz w:val="24"/>
          <w:szCs w:val="24"/>
        </w:rPr>
      </w:pPr>
      <w:r>
        <w:rPr>
          <w:rFonts w:ascii="Arial" w:hAnsi="Arial"/>
          <w:sz w:val="24"/>
        </w:rPr>
        <w:t>2. Artikel 2 i bekendtgørelse af 15. oktober 1985 om godkendelse af kvalitetsstandard for konserverede muslinger, tæppemuslinger og hjertemuslinger ophæves.</w:t>
      </w:r>
    </w:p>
    <w:p w14:paraId="3C781B0D" w14:textId="77777777" w:rsidR="00341F8F" w:rsidRPr="001E7C87" w:rsidRDefault="00341F8F" w:rsidP="00EC748B">
      <w:pPr>
        <w:jc w:val="both"/>
        <w:rPr>
          <w:rFonts w:ascii="Arial" w:hAnsi="Arial" w:cs="Arial"/>
          <w:sz w:val="24"/>
          <w:szCs w:val="24"/>
        </w:rPr>
      </w:pPr>
    </w:p>
    <w:p w14:paraId="66B28D19" w14:textId="77777777" w:rsidR="00341F8F" w:rsidRPr="001E7C87" w:rsidRDefault="00341F8F" w:rsidP="00EC748B">
      <w:pPr>
        <w:jc w:val="both"/>
        <w:rPr>
          <w:rFonts w:ascii="Arial" w:hAnsi="Arial" w:cs="Arial"/>
          <w:sz w:val="24"/>
          <w:szCs w:val="24"/>
        </w:rPr>
      </w:pPr>
      <w:r>
        <w:rPr>
          <w:rFonts w:ascii="Arial" w:hAnsi="Arial"/>
          <w:sz w:val="24"/>
        </w:rPr>
        <w:t>3. Artikel 2 i bekendtgørelse af 15. oktober 1985 om godkendelse af kvalitetsstandard for kogte og frosne muslinger ophæves.</w:t>
      </w:r>
    </w:p>
    <w:p w14:paraId="6ADBEDF1" w14:textId="77777777" w:rsidR="00341F8F" w:rsidRPr="001E7C87" w:rsidRDefault="00341F8F" w:rsidP="00EC748B">
      <w:pPr>
        <w:jc w:val="both"/>
        <w:rPr>
          <w:rFonts w:ascii="Arial" w:hAnsi="Arial" w:cs="Arial"/>
          <w:sz w:val="24"/>
          <w:szCs w:val="24"/>
        </w:rPr>
      </w:pPr>
    </w:p>
    <w:p w14:paraId="12442C0B" w14:textId="77777777" w:rsidR="00341F8F" w:rsidRPr="001E7C87" w:rsidRDefault="00341F8F" w:rsidP="00EC748B">
      <w:pPr>
        <w:jc w:val="both"/>
        <w:rPr>
          <w:rFonts w:ascii="Arial" w:hAnsi="Arial" w:cs="Arial"/>
          <w:sz w:val="24"/>
          <w:szCs w:val="24"/>
        </w:rPr>
      </w:pPr>
      <w:r>
        <w:rPr>
          <w:rFonts w:ascii="Arial" w:hAnsi="Arial"/>
          <w:sz w:val="24"/>
        </w:rPr>
        <w:t>4. Afgørelse af 24. maj 2019 fra generalsekretariatet for fiskeri om offentliggørelse af listen med handelsbetegnelser over fiske- og akvakulturarter, der er godkendt i Spanien, ophæves.</w:t>
      </w:r>
    </w:p>
    <w:p w14:paraId="50EF5A56" w14:textId="77777777" w:rsidR="00C25511" w:rsidRDefault="00C25511" w:rsidP="00542746">
      <w:pPr>
        <w:jc w:val="both"/>
        <w:rPr>
          <w:rFonts w:ascii="Arial" w:hAnsi="Arial" w:cs="Arial"/>
          <w:b/>
          <w:sz w:val="24"/>
          <w:szCs w:val="24"/>
        </w:rPr>
      </w:pPr>
    </w:p>
    <w:p w14:paraId="09696A97" w14:textId="77777777" w:rsidR="00C25511" w:rsidRDefault="00C25511" w:rsidP="00542746">
      <w:pPr>
        <w:jc w:val="both"/>
        <w:rPr>
          <w:rFonts w:ascii="Arial" w:hAnsi="Arial" w:cs="Arial"/>
          <w:b/>
          <w:sz w:val="24"/>
          <w:szCs w:val="24"/>
        </w:rPr>
      </w:pPr>
    </w:p>
    <w:p w14:paraId="0F79E10C" w14:textId="77777777" w:rsidR="00341F8F" w:rsidRPr="009D5D83" w:rsidRDefault="00341F8F" w:rsidP="00542746">
      <w:pPr>
        <w:jc w:val="both"/>
        <w:rPr>
          <w:rFonts w:ascii="Arial" w:hAnsi="Arial" w:cs="Arial"/>
          <w:b/>
          <w:i/>
          <w:sz w:val="24"/>
          <w:szCs w:val="24"/>
        </w:rPr>
      </w:pPr>
      <w:r>
        <w:rPr>
          <w:rFonts w:ascii="Arial" w:hAnsi="Arial"/>
          <w:b/>
          <w:sz w:val="24"/>
        </w:rPr>
        <w:t xml:space="preserve">Første afsluttende bestemmelse. </w:t>
      </w:r>
      <w:r>
        <w:rPr>
          <w:rFonts w:ascii="Arial" w:hAnsi="Arial"/>
          <w:b/>
          <w:i/>
          <w:sz w:val="24"/>
        </w:rPr>
        <w:t xml:space="preserve">Ændring af kongeligt dekret 1521/1984 af 1. august 1984 om godkendelse af sundhedstekniske forskrifter for anlæg og produkter fra fiskeri og akvakultur med henblik på konsum </w:t>
      </w:r>
    </w:p>
    <w:p w14:paraId="51BB4860" w14:textId="77777777" w:rsidR="00341F8F" w:rsidRPr="001E7C87" w:rsidRDefault="00341F8F" w:rsidP="00542746">
      <w:pPr>
        <w:autoSpaceDE w:val="0"/>
        <w:autoSpaceDN w:val="0"/>
        <w:adjustRightInd w:val="0"/>
        <w:rPr>
          <w:rFonts w:ascii="Arial" w:hAnsi="Arial" w:cs="Arial"/>
          <w:sz w:val="24"/>
          <w:szCs w:val="24"/>
          <w:lang w:eastAsia="es-ES_tradnl"/>
        </w:rPr>
      </w:pPr>
    </w:p>
    <w:p w14:paraId="18D45B80" w14:textId="77777777" w:rsidR="00341F8F" w:rsidRPr="001E7C87" w:rsidRDefault="00341F8F" w:rsidP="00542746">
      <w:pPr>
        <w:jc w:val="both"/>
        <w:rPr>
          <w:rFonts w:ascii="Arial" w:hAnsi="Arial" w:cs="Arial"/>
          <w:bCs/>
          <w:sz w:val="24"/>
          <w:szCs w:val="24"/>
        </w:rPr>
      </w:pPr>
      <w:r>
        <w:rPr>
          <w:rFonts w:ascii="Arial" w:hAnsi="Arial"/>
          <w:sz w:val="24"/>
        </w:rPr>
        <w:t>1. Artikel 3 får følgende ordlyd:</w:t>
      </w:r>
    </w:p>
    <w:p w14:paraId="25C70210" w14:textId="77777777" w:rsidR="00341F8F" w:rsidRPr="001E7C87" w:rsidRDefault="00341F8F" w:rsidP="00542746">
      <w:pPr>
        <w:jc w:val="both"/>
        <w:rPr>
          <w:rFonts w:ascii="Arial" w:hAnsi="Arial" w:cs="Arial"/>
          <w:bCs/>
          <w:sz w:val="24"/>
          <w:szCs w:val="24"/>
          <w:lang w:eastAsia="es-ES_tradnl"/>
        </w:rPr>
      </w:pPr>
    </w:p>
    <w:p w14:paraId="5EA6DB01" w14:textId="77777777" w:rsidR="00341F8F" w:rsidRPr="001E7C87" w:rsidRDefault="00341F8F" w:rsidP="00542746">
      <w:pPr>
        <w:jc w:val="both"/>
        <w:rPr>
          <w:rFonts w:ascii="Arial" w:hAnsi="Arial" w:cs="Arial"/>
          <w:b/>
          <w:sz w:val="24"/>
          <w:szCs w:val="24"/>
        </w:rPr>
      </w:pPr>
      <w:r>
        <w:rPr>
          <w:rFonts w:ascii="Arial" w:hAnsi="Arial"/>
          <w:sz w:val="24"/>
        </w:rPr>
        <w:t xml:space="preserve">"Artikel 3. </w:t>
      </w:r>
      <w:r>
        <w:rPr>
          <w:rFonts w:ascii="Arial" w:hAnsi="Arial"/>
          <w:i/>
          <w:sz w:val="24"/>
        </w:rPr>
        <w:t>Præsentations-, konserverings- og handelsformer for fiskerivarer og akvakulturprodukter</w:t>
      </w:r>
    </w:p>
    <w:p w14:paraId="422CA23C" w14:textId="77777777" w:rsidR="00341F8F" w:rsidRPr="001E7C87" w:rsidRDefault="00341F8F" w:rsidP="00EC748B">
      <w:pPr>
        <w:jc w:val="both"/>
        <w:rPr>
          <w:rFonts w:ascii="Arial" w:hAnsi="Arial" w:cs="Arial"/>
          <w:b/>
          <w:sz w:val="24"/>
          <w:szCs w:val="24"/>
        </w:rPr>
      </w:pPr>
    </w:p>
    <w:p w14:paraId="4558AEB7" w14:textId="77777777" w:rsidR="00341F8F" w:rsidRPr="001E7C87" w:rsidRDefault="00341F8F" w:rsidP="007571F0">
      <w:pPr>
        <w:pStyle w:val="ListParagraph"/>
        <w:ind w:left="0"/>
        <w:jc w:val="both"/>
        <w:rPr>
          <w:rFonts w:ascii="Arial" w:hAnsi="Arial" w:cs="Arial"/>
          <w:sz w:val="24"/>
          <w:szCs w:val="24"/>
        </w:rPr>
      </w:pPr>
      <w:r>
        <w:rPr>
          <w:rFonts w:ascii="Arial" w:hAnsi="Arial"/>
          <w:sz w:val="24"/>
        </w:rPr>
        <w:t>1. I de begreber, der er defineret herunder, og som vedrører egenskaber, præsentation, konservering og tilberedning af fiskevarer og akvakulturprodukter, kan den handelsbetegnelse eller varebetegnelse for konserverede eller tilberedte fødevarer i mærkningen i henhold til de europæiske og nationale bestemmelser om fiskeri, fødevareinformation og -sikkerhed, ledsages af:</w:t>
      </w:r>
    </w:p>
    <w:p w14:paraId="763370ED" w14:textId="77777777" w:rsidR="00341F8F" w:rsidRPr="001E7C87" w:rsidRDefault="00341F8F" w:rsidP="007571F0">
      <w:pPr>
        <w:pStyle w:val="ListParagraph"/>
        <w:ind w:left="0"/>
        <w:jc w:val="both"/>
        <w:rPr>
          <w:rFonts w:ascii="Arial" w:hAnsi="Arial" w:cs="Arial"/>
          <w:sz w:val="24"/>
          <w:szCs w:val="24"/>
        </w:rPr>
      </w:pPr>
    </w:p>
    <w:p w14:paraId="2E803B1F"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"hel": produkt, som sælges uden nogen form for tilberedning</w:t>
      </w:r>
    </w:p>
    <w:p w14:paraId="0868D408"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"renset": produkt, som sælges uden organer</w:t>
      </w:r>
    </w:p>
    <w:p w14:paraId="389ADA20"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"uden hoved": produkt, som sælges uden hoved</w:t>
      </w:r>
    </w:p>
    <w:p w14:paraId="27AEBF57"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"flået": produkt, som sælges uden skind</w:t>
      </w:r>
    </w:p>
    <w:p w14:paraId="75EF2B8B"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"ren": produkt, som sælges renset, uden hoved og vasket, med eller uden skind og ben</w:t>
      </w:r>
    </w:p>
    <w:p w14:paraId="73666383"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 xml:space="preserve"> "parteret": produkt, som sælges i stykker</w:t>
      </w:r>
    </w:p>
    <w:p w14:paraId="3A0487B6"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"skåret i småstykker": produkt, som sælges i småstykker</w:t>
      </w:r>
    </w:p>
    <w:p w14:paraId="5AD712FA"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"hakket": produkt fremstillet ved at finthakke fiskekødet, uden hverken skind eller ben og med bevaring af muskelvævets tekstur, eller de spiselige dele af bløddyr og krebsdyr</w:t>
      </w:r>
    </w:p>
    <w:p w14:paraId="07FFF410"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"stykker", "småstykker", "mundbidder", "strimler" eller tilsvarende begreber: stykker af forskellig størrelse af fiskekød, med eller uden skind eller ben og med bevaring af muskelvævets tekstur, eller de spiselige dele af bløddyr og krebsdyr</w:t>
      </w:r>
    </w:p>
    <w:p w14:paraId="0142CB3B" w14:textId="77777777" w:rsidR="00253F7B" w:rsidRPr="001E7C87" w:rsidRDefault="00253F7B" w:rsidP="00253F7B">
      <w:pPr>
        <w:pStyle w:val="ListParagraph"/>
        <w:numPr>
          <w:ilvl w:val="0"/>
          <w:numId w:val="5"/>
        </w:numPr>
        <w:jc w:val="both"/>
        <w:rPr>
          <w:rFonts w:ascii="Arial" w:hAnsi="Arial" w:cs="Arial"/>
          <w:sz w:val="24"/>
          <w:szCs w:val="24"/>
        </w:rPr>
      </w:pPr>
      <w:r>
        <w:rPr>
          <w:rFonts w:ascii="Arial" w:hAnsi="Arial"/>
          <w:sz w:val="24"/>
        </w:rPr>
        <w:t>"ringe" eller "kroner": karakteristiske cirkulære stykker, der fås ved udskæringer vinkelret på en blækspruttes længdeakse</w:t>
      </w:r>
    </w:p>
    <w:p w14:paraId="7A7B397F" w14:textId="77777777" w:rsidR="00253F7B" w:rsidRPr="001E7C87" w:rsidRDefault="00253F7B" w:rsidP="00253F7B">
      <w:pPr>
        <w:pStyle w:val="ListParagraph"/>
        <w:numPr>
          <w:ilvl w:val="0"/>
          <w:numId w:val="5"/>
        </w:numPr>
        <w:jc w:val="both"/>
        <w:rPr>
          <w:rFonts w:ascii="Arial" w:hAnsi="Arial" w:cs="Arial"/>
          <w:sz w:val="24"/>
          <w:szCs w:val="24"/>
        </w:rPr>
      </w:pPr>
      <w:r>
        <w:rPr>
          <w:rFonts w:ascii="Arial" w:hAnsi="Arial"/>
          <w:sz w:val="24"/>
        </w:rPr>
        <w:t xml:space="preserve"> "fileter": i forbindelse med fisk er det stykker af muskelmassen, der er udskåret parallelt med rygsøjlen, med eller uden skind og ben. For så vidt angår blæksprutter er det stykker af kroppen af variabel størrelse</w:t>
      </w:r>
    </w:p>
    <w:p w14:paraId="6459BDA3" w14:textId="77777777" w:rsidR="00253F7B" w:rsidRPr="001E7C87" w:rsidRDefault="00253F7B" w:rsidP="00253F7B">
      <w:pPr>
        <w:pStyle w:val="ListParagraph"/>
        <w:numPr>
          <w:ilvl w:val="0"/>
          <w:numId w:val="5"/>
        </w:numPr>
        <w:jc w:val="both"/>
        <w:rPr>
          <w:rFonts w:ascii="Arial" w:hAnsi="Arial" w:cs="Arial"/>
          <w:sz w:val="24"/>
          <w:szCs w:val="24"/>
        </w:rPr>
      </w:pPr>
      <w:r>
        <w:rPr>
          <w:rFonts w:ascii="Arial" w:hAnsi="Arial"/>
          <w:sz w:val="24"/>
        </w:rPr>
        <w:lastRenderedPageBreak/>
        <w:t>"skiver": i forbindelse med fisk er det stykker af forskellig tykkelse, der er skåret transversalt på kroppens længdeakse, og som generelt omfatter den tilsvarende del af rygsøjlen, med eller uden skind og ben. For så vidt angår blæksprutter er det stykker af forskellig tykkelse, der udskæres transversalt på lemmerne</w:t>
      </w:r>
    </w:p>
    <w:p w14:paraId="61CD0F5F" w14:textId="77777777" w:rsidR="00253F7B" w:rsidRPr="001E7C87" w:rsidRDefault="00253F7B" w:rsidP="00253F7B">
      <w:pPr>
        <w:pStyle w:val="ListParagraph"/>
        <w:numPr>
          <w:ilvl w:val="0"/>
          <w:numId w:val="5"/>
        </w:numPr>
        <w:jc w:val="both"/>
        <w:rPr>
          <w:rFonts w:ascii="Arial" w:hAnsi="Arial" w:cs="Arial"/>
          <w:sz w:val="24"/>
          <w:szCs w:val="24"/>
        </w:rPr>
      </w:pPr>
      <w:r>
        <w:rPr>
          <w:rFonts w:ascii="Arial" w:hAnsi="Arial"/>
          <w:sz w:val="24"/>
        </w:rPr>
        <w:t xml:space="preserve"> "medaljoner": stykker, der består af de spiselige dele af fiskevarer og akvakulturprodukter uden hverken sind eller ben, og som formes på en bestemt måde</w:t>
      </w:r>
    </w:p>
    <w:p w14:paraId="12D3A4B4" w14:textId="77777777" w:rsidR="00253F7B" w:rsidRPr="001E7C87" w:rsidRDefault="00253F7B" w:rsidP="00253F7B">
      <w:pPr>
        <w:pStyle w:val="ListParagraph"/>
        <w:numPr>
          <w:ilvl w:val="0"/>
          <w:numId w:val="5"/>
        </w:numPr>
        <w:jc w:val="both"/>
        <w:rPr>
          <w:rFonts w:ascii="Arial" w:hAnsi="Arial" w:cs="Arial"/>
          <w:sz w:val="24"/>
          <w:szCs w:val="24"/>
        </w:rPr>
      </w:pPr>
      <w:r>
        <w:rPr>
          <w:rFonts w:ascii="Arial" w:hAnsi="Arial"/>
          <w:sz w:val="24"/>
        </w:rPr>
        <w:t>"filethjerter": stykker, der fremstilles af fileter uden hverken skind eller ben, og som gives en bestemt form</w:t>
      </w:r>
    </w:p>
    <w:p w14:paraId="5C624429"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"småstykker": små partikler, der stammer fra de spiselige dele af fiskevarer og akvakulturprodukter, som ikke er puré, og som fremstilles under udskæringen og forarbejdningen af disse varer og produkter</w:t>
      </w:r>
    </w:p>
    <w:p w14:paraId="40DDD0A1"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"saltkonserveret": produkt, der har været saltet i en længere periode med almindeligt salt i fast form eller i en saltlage med et saltindhold på mellem 12 % og 18 %</w:t>
      </w:r>
    </w:p>
    <w:p w14:paraId="1899945F" w14:textId="77777777" w:rsidR="00FD1296" w:rsidRPr="001E7C87" w:rsidRDefault="00FD1296" w:rsidP="00253F7B">
      <w:pPr>
        <w:pStyle w:val="ListParagraph"/>
        <w:numPr>
          <w:ilvl w:val="0"/>
          <w:numId w:val="5"/>
        </w:numPr>
        <w:jc w:val="both"/>
        <w:rPr>
          <w:rFonts w:ascii="Arial" w:hAnsi="Arial" w:cs="Arial"/>
          <w:strike/>
          <w:sz w:val="24"/>
          <w:szCs w:val="24"/>
        </w:rPr>
      </w:pPr>
      <w:r>
        <w:rPr>
          <w:rFonts w:ascii="Arial" w:hAnsi="Arial"/>
          <w:sz w:val="24"/>
        </w:rPr>
        <w:t>"</w:t>
      </w:r>
      <w:r>
        <w:rPr>
          <w:rFonts w:ascii="Arial" w:hAnsi="Arial"/>
          <w:i/>
          <w:sz w:val="24"/>
        </w:rPr>
        <w:t>salpresado</w:t>
      </w:r>
      <w:r>
        <w:rPr>
          <w:rFonts w:ascii="Arial" w:hAnsi="Arial"/>
          <w:sz w:val="24"/>
        </w:rPr>
        <w:t>" eller "</w:t>
      </w:r>
      <w:r>
        <w:rPr>
          <w:rFonts w:ascii="Arial" w:hAnsi="Arial"/>
          <w:i/>
          <w:sz w:val="24"/>
        </w:rPr>
        <w:t>salpreso</w:t>
      </w:r>
      <w:r>
        <w:rPr>
          <w:rFonts w:ascii="Arial" w:hAnsi="Arial"/>
          <w:sz w:val="24"/>
        </w:rPr>
        <w:t>" (saltpresset): produkt, der har været saltet og presset</w:t>
      </w:r>
    </w:p>
    <w:p w14:paraId="56DDB8DB"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"saltet": produkt, der har været saltet, enten med salt i fast form eller i saltlage, eventuelt tilsat andre krydderier eller krydderurter</w:t>
      </w:r>
    </w:p>
    <w:p w14:paraId="13099A2E"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 xml:space="preserve">"tørsaltet": produkt, der har været saltet og tørret, indtil vandindholdet er på mindst 30 % og maksimalt 50 % </w:t>
      </w:r>
    </w:p>
    <w:p w14:paraId="726C8A69"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"afsaltet": produkt, der er fremstillet af et saltet produkt eller et produkt i en krydderblanding, hvor en del af saltindholdet er fjernet ved udvanding, og som skal opbevares på køl eller frost med henblik på efterfølgende konservering</w:t>
      </w:r>
    </w:p>
    <w:p w14:paraId="4906C4B9"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"let saltet": produkt fremstillet af et fersk eller frosset produkt, og som er tilsat saltlage, enten ved indsprøjtning eller ved nedsænkning, og som skal opbevares på køl eller frost med henblik på efterfølgende konservering</w:t>
      </w:r>
    </w:p>
    <w:p w14:paraId="0DB93F05" w14:textId="7EE0C595" w:rsidR="00682213" w:rsidRPr="002E5171" w:rsidRDefault="00FD1296" w:rsidP="002E5171">
      <w:pPr>
        <w:pStyle w:val="ListParagraph"/>
        <w:numPr>
          <w:ilvl w:val="0"/>
          <w:numId w:val="5"/>
        </w:numPr>
        <w:jc w:val="both"/>
        <w:rPr>
          <w:rFonts w:ascii="Arial" w:hAnsi="Arial" w:cs="Arial"/>
          <w:sz w:val="24"/>
          <w:szCs w:val="24"/>
        </w:rPr>
      </w:pPr>
      <w:r>
        <w:rPr>
          <w:rFonts w:ascii="Arial" w:hAnsi="Arial"/>
          <w:sz w:val="24"/>
        </w:rPr>
        <w:t>"saltlage": opløsning af spisesalt i drikkevand, eventuelt tilsat krydderier, krydderurter eller andre godkendte stoffer</w:t>
      </w:r>
    </w:p>
    <w:p w14:paraId="16B35FE3"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"tørret": produkt, der er tørret ved tør luft eller ved hjælp af en anden godkendt proces, indtil vandindholdet er på maksimalt 15 %</w:t>
      </w:r>
    </w:p>
    <w:p w14:paraId="7A723C5C"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 xml:space="preserve"> "dehydreret" eller "frysetørret": helt produkt eller en del af et produkt, hvor vandindholdet er reduceret til maksimalt 5 % ved hjælp af godkendte metoder, og som bør vakuumpakkes eller pakkes med ædelgas</w:t>
      </w:r>
    </w:p>
    <w:p w14:paraId="0B829EC5"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"røget": produkt, der er røget over træ eller ved andre godkendte processer</w:t>
      </w:r>
    </w:p>
    <w:p w14:paraId="2D119D18"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 xml:space="preserve"> "kogt": produkt, der har været dampet, kogt i vand eller gennemgået en anden godkendt varmebehandling</w:t>
      </w:r>
    </w:p>
    <w:p w14:paraId="17C47E08"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"kogt i egen saft": produkt, der er kogt i egen saft, der trænger ud under kogningen</w:t>
      </w:r>
    </w:p>
    <w:p w14:paraId="6823CA5A"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"kogt i saltlage": produkt kogt i vand tilsat salt og eventuelt godkendte tilsætningsstoffer</w:t>
      </w:r>
    </w:p>
    <w:p w14:paraId="4016C98B"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"rå": produkt, som sælges uden forarbejdning</w:t>
      </w:r>
    </w:p>
    <w:p w14:paraId="453EB416"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"nedkølet": produkt, der er nedkølet</w:t>
      </w:r>
    </w:p>
    <w:p w14:paraId="118F7AA0"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lastRenderedPageBreak/>
        <w:t>"køling": konserveringsproces med kulde, hvor fiskevarerne eller akvakulturprodukterne lagres og bevarer en temperatur tæt på frysepunktet</w:t>
      </w:r>
    </w:p>
    <w:p w14:paraId="485FFC4E"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"frosset": produkt, der er nedfrosset</w:t>
      </w:r>
    </w:p>
    <w:p w14:paraId="255F0E4F"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"nedfrysning": konserveringsproces med kulde, hvor fiskevarerne eller akvakulturprodukterne lagres og bevarer en temperatur på maksimalt -18º C i midten af produkterne</w:t>
      </w:r>
    </w:p>
    <w:p w14:paraId="4AB4BB99"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"dybfrosset": produkt, der dybfrosset eller været igennem hurtig nedfrysning</w:t>
      </w:r>
    </w:p>
    <w:p w14:paraId="128DC0B0"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"dybfrysning" eller "hurtig nedfrysning":</w:t>
      </w:r>
      <w:r>
        <w:t xml:space="preserve"> </w:t>
      </w:r>
      <w:r>
        <w:rPr>
          <w:rFonts w:ascii="Arial" w:hAnsi="Arial"/>
          <w:sz w:val="24"/>
        </w:rPr>
        <w:t>type af nedfrysning, der giver mulighed for hurtigt at passere området med maksimal krystallisering, hvilket sikrer at temperaturen i alle dele af produktet efter den termiske stabilisering bevares uden afbrydelser på højest -18º C, og at produktet sælges med angivelse af dette karakteristika</w:t>
      </w:r>
    </w:p>
    <w:p w14:paraId="6325ED30"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"optøet": produkt, der er optøet, og som sælges nedkølet</w:t>
      </w:r>
    </w:p>
    <w:p w14:paraId="41092EB1"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"pasteuriseret": produkt, der er blevet pasteuriseret</w:t>
      </w:r>
    </w:p>
    <w:p w14:paraId="1851177E"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"pasteurisering": proces, hvor de vegetative former af sygdomsfremkaldende mikroorganismer i fødevarer destrueres, og næsten hele den banale flora destrueres, idet fødevarerne behandles ved forskellige temperaturer, afhængigt af behandlingstiden, således at fødevarernes sammensætning ikke ændres væsentligt, og det sikres, at fødevarerne kan opbevares ved en passende temperatur i en periode på mindst 48 timer</w:t>
      </w:r>
    </w:p>
    <w:p w14:paraId="79FEF26B"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"steriliseret": produkt, der har gennemgået en steriliseringsproces</w:t>
      </w:r>
    </w:p>
    <w:p w14:paraId="44A6F52C"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"sterilisering": proces, hvor alle former for sygdomsfremkaldende og andre mikroorganismers liv i fødevarer destrueres ved passende temperaturer, der anvendes én gang eller af flere gange. Inden for fødevareindustrien anses den proces, hvor alle former for mikroorganismers liv, der under normale opbevaringsbetingelser kan forårsage forandringer i fødevarer, destrueres eller deaktiveres i en bestemt periode, også for sterilisering</w:t>
      </w:r>
    </w:p>
    <w:p w14:paraId="54186E07" w14:textId="77777777" w:rsidR="00FD1296" w:rsidRPr="00682213" w:rsidRDefault="00FD1296" w:rsidP="00253F7B">
      <w:pPr>
        <w:pStyle w:val="ListParagraph"/>
        <w:numPr>
          <w:ilvl w:val="0"/>
          <w:numId w:val="5"/>
        </w:numPr>
        <w:jc w:val="both"/>
        <w:rPr>
          <w:rFonts w:ascii="Arial" w:hAnsi="Arial" w:cs="Arial"/>
          <w:sz w:val="24"/>
          <w:szCs w:val="24"/>
        </w:rPr>
      </w:pPr>
      <w:r>
        <w:rPr>
          <w:rFonts w:ascii="Arial" w:hAnsi="Arial"/>
          <w:sz w:val="24"/>
        </w:rPr>
        <w:t>"halvkonserveret": produkt, som ikke er blevet behandlet i en sådan grad, at sterilisering er garanteret på salgstidspunktet, og som derfor kræver opbevaring på køl</w:t>
      </w:r>
    </w:p>
    <w:p w14:paraId="4841E29A" w14:textId="77777777" w:rsidR="00FD1296" w:rsidRPr="00682213" w:rsidRDefault="00FD1296" w:rsidP="00253F7B">
      <w:pPr>
        <w:pStyle w:val="ListParagraph"/>
        <w:numPr>
          <w:ilvl w:val="0"/>
          <w:numId w:val="5"/>
        </w:numPr>
        <w:jc w:val="both"/>
        <w:rPr>
          <w:rFonts w:ascii="Arial" w:hAnsi="Arial" w:cs="Arial"/>
          <w:sz w:val="24"/>
          <w:szCs w:val="24"/>
        </w:rPr>
      </w:pPr>
      <w:r>
        <w:rPr>
          <w:rFonts w:ascii="Arial" w:hAnsi="Arial"/>
          <w:sz w:val="24"/>
        </w:rPr>
        <w:t>"konserveret": produkt, der er varmebehandlet i en sådan grad, at sterilisering er garanteret i en længere periode uden behov for nedkøling</w:t>
      </w:r>
    </w:p>
    <w:p w14:paraId="229F028B" w14:textId="1F53EC63" w:rsidR="00FD1296" w:rsidRPr="00682213" w:rsidRDefault="00FD1296" w:rsidP="00253F7B">
      <w:pPr>
        <w:pStyle w:val="ListParagraph"/>
        <w:numPr>
          <w:ilvl w:val="0"/>
          <w:numId w:val="5"/>
        </w:numPr>
        <w:jc w:val="both"/>
        <w:rPr>
          <w:rFonts w:ascii="Arial" w:hAnsi="Arial" w:cs="Arial"/>
          <w:strike/>
          <w:color w:val="FF0000"/>
          <w:sz w:val="24"/>
          <w:szCs w:val="24"/>
        </w:rPr>
      </w:pPr>
      <w:r>
        <w:rPr>
          <w:rFonts w:ascii="Arial" w:hAnsi="Arial"/>
          <w:sz w:val="24"/>
        </w:rPr>
        <w:t>"i egen saft": produkt, hvor den væske, det ligger i, består af naturlig saft, der stammer fra kogning af produktet, samt vand og salt</w:t>
      </w:r>
    </w:p>
    <w:p w14:paraId="493144BE"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"i olivenolie": produkt, hvor den væske det ligger i, udelukkende er olivenolie, som ikke er blandet med andre former for olie</w:t>
      </w:r>
    </w:p>
    <w:p w14:paraId="02271A59"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"i vegetabilsk olie": produkt, hvor den væske det ligger i, er vegetabilsk olie til konsum</w:t>
      </w:r>
    </w:p>
    <w:p w14:paraId="312A7C55" w14:textId="76A5B016"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 xml:space="preserve">"marineret" eller "lagret" eller "krydret": produkt, der har været marineret i en blanding af krydderier, krydderurter, vineddike, oliven eller andre væske, ved at påføre blandingen udvendigt på produktet, eller nedsænke produktet i blandingen </w:t>
      </w:r>
    </w:p>
    <w:p w14:paraId="45F0A4F8"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"i lage": produkt, som er tilsat krydderier, krydderurter, vineddike, olie eller andre væsker, som er karakteristiske for den pågældende kulinariske opskrift, og som er blevet varmebehandlet</w:t>
      </w:r>
    </w:p>
    <w:p w14:paraId="3BF591A4"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lastRenderedPageBreak/>
        <w:t>"i tomatsauce", "i</w:t>
      </w:r>
      <w:r>
        <w:rPr>
          <w:rFonts w:ascii="Arial" w:hAnsi="Arial"/>
          <w:i/>
          <w:sz w:val="24"/>
        </w:rPr>
        <w:t xml:space="preserve"> salsa americana</w:t>
      </w:r>
      <w:r>
        <w:rPr>
          <w:rFonts w:ascii="Arial" w:hAnsi="Arial"/>
          <w:sz w:val="24"/>
        </w:rPr>
        <w:t>", "i stærkt krydret sauce", "i blæk" eller tilsvarende begreber: produkt, hvor den væske det ligger i, består af ingredienserne til den pågældende kulinariske opskrift</w:t>
      </w:r>
    </w:p>
    <w:p w14:paraId="120A8BB7" w14:textId="63A606E3" w:rsidR="00682213" w:rsidRPr="002E5171" w:rsidRDefault="00FD1296" w:rsidP="002E5171">
      <w:pPr>
        <w:pStyle w:val="ListParagraph"/>
        <w:numPr>
          <w:ilvl w:val="0"/>
          <w:numId w:val="5"/>
        </w:numPr>
        <w:jc w:val="both"/>
        <w:rPr>
          <w:rFonts w:ascii="Arial" w:hAnsi="Arial" w:cs="Arial"/>
          <w:sz w:val="24"/>
          <w:szCs w:val="24"/>
        </w:rPr>
      </w:pPr>
      <w:r>
        <w:rPr>
          <w:rFonts w:ascii="Arial" w:hAnsi="Arial"/>
          <w:sz w:val="24"/>
        </w:rPr>
        <w:t>"puré": produkt, som er blevet knust og homogeniseret med tilsætning af andre godkendte ingredienser og stoffer</w:t>
      </w:r>
    </w:p>
    <w:p w14:paraId="399E9A3D"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 xml:space="preserve"> "tilberedte fødevarer af fiskevarer og akvakulturprodukter": produkter, der er tilberedt af de spiselige dele af fiskevarer og akvakulturprodukter, med eller uden tilsætning af andre ingredienser, krydderier og godkendte tilsætningsstoffer, og som eventuelt efterfølgende er blevet forarbejdet. Der kan anvendes en beskrivende betegnelse til denne type produkter</w:t>
      </w:r>
    </w:p>
    <w:p w14:paraId="148FD6D4" w14:textId="77777777" w:rsidR="00FD1296" w:rsidRPr="001E7C87" w:rsidRDefault="00FA42F5" w:rsidP="00253F7B">
      <w:pPr>
        <w:pStyle w:val="ListParagraph"/>
        <w:numPr>
          <w:ilvl w:val="0"/>
          <w:numId w:val="5"/>
        </w:numPr>
        <w:jc w:val="both"/>
        <w:rPr>
          <w:rStyle w:val="Emphasis"/>
          <w:rFonts w:ascii="Arial" w:hAnsi="Arial" w:cs="Arial"/>
          <w:i w:val="0"/>
          <w:iCs w:val="0"/>
          <w:sz w:val="24"/>
          <w:szCs w:val="24"/>
        </w:rPr>
      </w:pPr>
      <w:r>
        <w:rPr>
          <w:rFonts w:ascii="Arial" w:hAnsi="Arial"/>
          <w:sz w:val="24"/>
        </w:rPr>
        <w:t xml:space="preserve"> "skiveskåret pålæg af fiskevarer og akvakulturprodukter": produkt, der er tilberedt af de spiselige dele af fiskevarer og akvakulturprodukter, uden hverken skind eller ben, med eller uden tilsætning af andre ingredienser, krydderier og godkendte tilsætningsstoffer, og som er stoppet i en naturlig eller kunstig tarm</w:t>
      </w:r>
      <w:r>
        <w:t xml:space="preserve">, </w:t>
      </w:r>
      <w:r>
        <w:rPr>
          <w:rFonts w:ascii="Arial" w:hAnsi="Arial"/>
          <w:sz w:val="24"/>
        </w:rPr>
        <w:t>og som eventuelt efterfølgende er blevet forarbejdet</w:t>
      </w:r>
    </w:p>
    <w:p w14:paraId="6D312D1F" w14:textId="77777777" w:rsidR="00FD1296" w:rsidRPr="001E7C87" w:rsidRDefault="00FD1296" w:rsidP="00253F7B">
      <w:pPr>
        <w:pStyle w:val="ListParagraph"/>
        <w:numPr>
          <w:ilvl w:val="0"/>
          <w:numId w:val="5"/>
        </w:numPr>
        <w:jc w:val="both"/>
        <w:rPr>
          <w:rFonts w:ascii="Arial" w:hAnsi="Arial" w:cs="Arial"/>
          <w:sz w:val="24"/>
          <w:szCs w:val="24"/>
        </w:rPr>
      </w:pPr>
      <w:r>
        <w:rPr>
          <w:rFonts w:ascii="Arial" w:hAnsi="Arial"/>
          <w:sz w:val="24"/>
        </w:rPr>
        <w:t>"paté, creme, skum og mousse": produkter, der er fremstillet af fiskevarer eller akvakulturprodukter, som er tilsat andre ingredienser, krydderier og godkendte tilsætningsstoffer, som er blevet hakket for at få en typisk konsistens, og som afhængigt af konsistensen, fastheden, benævnes paté, creme, skum eller mousse</w:t>
      </w:r>
    </w:p>
    <w:p w14:paraId="37223A2D" w14:textId="09DC4F12" w:rsidR="00C25511" w:rsidRPr="00A977D2" w:rsidRDefault="00FD1296" w:rsidP="00EC748B">
      <w:pPr>
        <w:pStyle w:val="ListParagraph"/>
        <w:numPr>
          <w:ilvl w:val="0"/>
          <w:numId w:val="5"/>
        </w:numPr>
        <w:jc w:val="both"/>
        <w:rPr>
          <w:rFonts w:ascii="Arial" w:hAnsi="Arial" w:cs="Arial"/>
          <w:sz w:val="24"/>
          <w:szCs w:val="24"/>
        </w:rPr>
      </w:pPr>
      <w:r>
        <w:rPr>
          <w:rFonts w:ascii="Arial" w:hAnsi="Arial"/>
          <w:sz w:val="24"/>
        </w:rPr>
        <w:t xml:space="preserve">"blok fremstillet af stykker af fiskevarer og akvakulturprodukter": produkt, der er fremstillet af fiskevarer og akvakulturprodukter, med eller uden skind, og som er presset, således at der ikke er hverken revner eller indvendige huller, overfladen er ensartet og glat, og kanterne er markerede. Hvad angår andelen af hakket kød af fiskevarer og akvakulturprodukter i blokken, skal den være mindst 10 %, med angivelse af procentdelen, og hvis procentdelen er over 90 %, skal produktet betegnes "blok fremstillet af hakkede stykker af fiskevarer og akvakulturprodukter". </w:t>
      </w:r>
    </w:p>
    <w:p w14:paraId="371EAB03" w14:textId="77777777" w:rsidR="00C25511" w:rsidRDefault="00C25511" w:rsidP="00EC748B">
      <w:pPr>
        <w:jc w:val="both"/>
        <w:rPr>
          <w:rFonts w:ascii="Arial" w:hAnsi="Arial" w:cs="Arial"/>
          <w:sz w:val="24"/>
          <w:szCs w:val="24"/>
        </w:rPr>
      </w:pPr>
    </w:p>
    <w:p w14:paraId="204F7297" w14:textId="77777777" w:rsidR="00341F8F" w:rsidRPr="001E7C87" w:rsidRDefault="00341F8F" w:rsidP="00EC748B">
      <w:pPr>
        <w:jc w:val="both"/>
        <w:rPr>
          <w:rFonts w:ascii="Arial" w:hAnsi="Arial" w:cs="Arial"/>
          <w:sz w:val="24"/>
          <w:szCs w:val="24"/>
        </w:rPr>
      </w:pPr>
      <w:r>
        <w:rPr>
          <w:rFonts w:ascii="Arial" w:hAnsi="Arial"/>
          <w:sz w:val="24"/>
        </w:rPr>
        <w:t>2. Artikel 4 affattes således:</w:t>
      </w:r>
    </w:p>
    <w:p w14:paraId="22EBBE55" w14:textId="77777777" w:rsidR="00341F8F" w:rsidRPr="001E7C87" w:rsidRDefault="00341F8F" w:rsidP="00EC748B">
      <w:pPr>
        <w:jc w:val="both"/>
        <w:rPr>
          <w:rFonts w:ascii="Arial" w:hAnsi="Arial" w:cs="Arial"/>
          <w:b/>
          <w:sz w:val="24"/>
          <w:szCs w:val="24"/>
        </w:rPr>
      </w:pPr>
    </w:p>
    <w:p w14:paraId="48F1948D" w14:textId="77777777" w:rsidR="00341F8F" w:rsidRPr="001E7C87" w:rsidRDefault="00341F8F" w:rsidP="007571F0">
      <w:pPr>
        <w:pStyle w:val="Default"/>
        <w:rPr>
          <w:rFonts w:ascii="Arial" w:hAnsi="Arial" w:cs="Arial"/>
          <w:color w:val="auto"/>
        </w:rPr>
      </w:pPr>
      <w:r>
        <w:rPr>
          <w:rFonts w:ascii="Arial" w:hAnsi="Arial"/>
          <w:color w:val="auto"/>
        </w:rPr>
        <w:t>"Artikel 4. Dele af fiskevarer</w:t>
      </w:r>
    </w:p>
    <w:p w14:paraId="76DCBE9C" w14:textId="77777777" w:rsidR="00341F8F" w:rsidRPr="001E7C87" w:rsidRDefault="00341F8F" w:rsidP="007571F0">
      <w:pPr>
        <w:pStyle w:val="Default"/>
        <w:rPr>
          <w:rFonts w:ascii="Arial" w:hAnsi="Arial" w:cs="Arial"/>
          <w:color w:val="auto"/>
          <w:lang w:eastAsia="es-ES_tradnl"/>
        </w:rPr>
      </w:pPr>
    </w:p>
    <w:p w14:paraId="0D895B44" w14:textId="77777777" w:rsidR="005916CF" w:rsidRPr="001E7C87" w:rsidRDefault="005916CF" w:rsidP="00253F7B">
      <w:pPr>
        <w:pStyle w:val="ListParagraph"/>
        <w:numPr>
          <w:ilvl w:val="0"/>
          <w:numId w:val="8"/>
        </w:numPr>
        <w:jc w:val="both"/>
        <w:rPr>
          <w:rFonts w:ascii="Arial" w:hAnsi="Arial" w:cs="Arial"/>
          <w:sz w:val="24"/>
          <w:szCs w:val="24"/>
        </w:rPr>
      </w:pPr>
      <w:r>
        <w:rPr>
          <w:rFonts w:ascii="Arial" w:hAnsi="Arial"/>
          <w:sz w:val="24"/>
        </w:rPr>
        <w:t>"Vinger" eller "finner": flade og kødfulde lemmer fra visse fisk og blæksprutter.</w:t>
      </w:r>
    </w:p>
    <w:p w14:paraId="697EE517" w14:textId="77777777" w:rsidR="005916CF" w:rsidRPr="001E7C87" w:rsidRDefault="005916CF" w:rsidP="00253F7B">
      <w:pPr>
        <w:pStyle w:val="ListParagraph"/>
        <w:numPr>
          <w:ilvl w:val="0"/>
          <w:numId w:val="8"/>
        </w:numPr>
        <w:jc w:val="both"/>
        <w:rPr>
          <w:rFonts w:ascii="Arial" w:hAnsi="Arial" w:cs="Arial"/>
          <w:sz w:val="24"/>
          <w:szCs w:val="24"/>
        </w:rPr>
      </w:pPr>
      <w:r>
        <w:rPr>
          <w:rFonts w:ascii="Arial" w:hAnsi="Arial"/>
          <w:sz w:val="24"/>
        </w:rPr>
        <w:t>"Munde" eller "ben": bevægelige ben, kløer eller sakse fra krebsdyr.</w:t>
      </w:r>
    </w:p>
    <w:p w14:paraId="442795B2" w14:textId="77777777" w:rsidR="005916CF" w:rsidRPr="001E7C87" w:rsidRDefault="005916CF" w:rsidP="00253F7B">
      <w:pPr>
        <w:pStyle w:val="ListParagraph"/>
        <w:numPr>
          <w:ilvl w:val="0"/>
          <w:numId w:val="8"/>
        </w:numPr>
        <w:jc w:val="both"/>
        <w:rPr>
          <w:rFonts w:ascii="Arial" w:hAnsi="Arial" w:cs="Arial"/>
          <w:sz w:val="24"/>
          <w:szCs w:val="24"/>
        </w:rPr>
      </w:pPr>
      <w:r>
        <w:rPr>
          <w:rFonts w:ascii="Arial" w:hAnsi="Arial"/>
          <w:sz w:val="24"/>
        </w:rPr>
        <w:t>"Arme" eller "tentakler": lemmer, der udgør blæksprutters nedre del.</w:t>
      </w:r>
    </w:p>
    <w:p w14:paraId="3DA6AE8C" w14:textId="77777777" w:rsidR="005916CF" w:rsidRPr="001E7C87" w:rsidRDefault="005916CF" w:rsidP="00253F7B">
      <w:pPr>
        <w:pStyle w:val="ListParagraph"/>
        <w:numPr>
          <w:ilvl w:val="0"/>
          <w:numId w:val="8"/>
        </w:numPr>
        <w:jc w:val="both"/>
        <w:rPr>
          <w:rFonts w:ascii="Arial" w:hAnsi="Arial" w:cs="Arial"/>
          <w:sz w:val="24"/>
          <w:szCs w:val="24"/>
        </w:rPr>
      </w:pPr>
      <w:r>
        <w:rPr>
          <w:rFonts w:ascii="Arial" w:hAnsi="Arial"/>
          <w:sz w:val="24"/>
        </w:rPr>
        <w:t>"Hoved": For så vidt angår fisk er det den forreste del af kroppen, der afskæres ved et transversalt snit af kroppen ved gællelågene. For så vidt angår blæksprutter er det den øverste del af kroppen, uden lemmerne. For så vidt angår krebsdyr er det den øverste del af kroppen, uden maven eller pleonen.</w:t>
      </w:r>
    </w:p>
    <w:p w14:paraId="3E830561" w14:textId="77777777" w:rsidR="005916CF" w:rsidRPr="001E7C87" w:rsidRDefault="005916CF" w:rsidP="00253F7B">
      <w:pPr>
        <w:pStyle w:val="ListParagraph"/>
        <w:numPr>
          <w:ilvl w:val="0"/>
          <w:numId w:val="8"/>
        </w:numPr>
        <w:jc w:val="both"/>
        <w:rPr>
          <w:rFonts w:ascii="Arial" w:hAnsi="Arial" w:cs="Arial"/>
          <w:sz w:val="24"/>
          <w:szCs w:val="24"/>
        </w:rPr>
      </w:pPr>
      <w:r>
        <w:rPr>
          <w:rFonts w:ascii="Arial" w:hAnsi="Arial"/>
          <w:sz w:val="24"/>
        </w:rPr>
        <w:t>"Kød": bløde spiselige dele af bløddyr og krebsdyr.</w:t>
      </w:r>
    </w:p>
    <w:p w14:paraId="43722FE2" w14:textId="77777777" w:rsidR="005916CF" w:rsidRPr="001E7C87" w:rsidRDefault="00253F7B" w:rsidP="00253F7B">
      <w:pPr>
        <w:pStyle w:val="ListParagraph"/>
        <w:numPr>
          <w:ilvl w:val="0"/>
          <w:numId w:val="8"/>
        </w:numPr>
        <w:jc w:val="both"/>
        <w:rPr>
          <w:rFonts w:ascii="Arial" w:hAnsi="Arial" w:cs="Arial"/>
          <w:sz w:val="24"/>
          <w:szCs w:val="24"/>
        </w:rPr>
      </w:pPr>
      <w:r>
        <w:rPr>
          <w:rFonts w:ascii="Arial" w:hAnsi="Arial"/>
          <w:sz w:val="24"/>
        </w:rPr>
        <w:t xml:space="preserve"> "Rogn": ovariemasse fra hunnerne hos fisk, dækket af cølom, med æggeleder og en del af livmoderen.</w:t>
      </w:r>
    </w:p>
    <w:p w14:paraId="0EA3BC2F" w14:textId="77777777" w:rsidR="005916CF" w:rsidRPr="001E7C87" w:rsidRDefault="005916CF" w:rsidP="00253F7B">
      <w:pPr>
        <w:pStyle w:val="ListParagraph"/>
        <w:numPr>
          <w:ilvl w:val="0"/>
          <w:numId w:val="8"/>
        </w:numPr>
        <w:jc w:val="both"/>
        <w:rPr>
          <w:rFonts w:ascii="Arial" w:hAnsi="Arial" w:cs="Arial"/>
          <w:sz w:val="24"/>
          <w:szCs w:val="24"/>
        </w:rPr>
      </w:pPr>
      <w:r>
        <w:rPr>
          <w:rFonts w:ascii="Arial" w:hAnsi="Arial"/>
          <w:sz w:val="24"/>
        </w:rPr>
        <w:t>"Æg": ubefrugtede æg fra hunnerne hos fisk og krebsdyr.</w:t>
      </w:r>
    </w:p>
    <w:p w14:paraId="3A770AB3" w14:textId="77777777" w:rsidR="005916CF" w:rsidRPr="001E7C87" w:rsidRDefault="005916CF" w:rsidP="00253F7B">
      <w:pPr>
        <w:pStyle w:val="ListParagraph"/>
        <w:numPr>
          <w:ilvl w:val="0"/>
          <w:numId w:val="8"/>
        </w:numPr>
        <w:jc w:val="both"/>
        <w:rPr>
          <w:rFonts w:ascii="Arial" w:hAnsi="Arial" w:cs="Arial"/>
          <w:sz w:val="24"/>
          <w:szCs w:val="24"/>
        </w:rPr>
      </w:pPr>
      <w:r>
        <w:rPr>
          <w:rFonts w:ascii="Arial" w:hAnsi="Arial"/>
          <w:sz w:val="24"/>
        </w:rPr>
        <w:t>"Kam": de tykke dele af rygmuskulaturen på fisk med eller uden skind og ben.</w:t>
      </w:r>
    </w:p>
    <w:p w14:paraId="03E254A4" w14:textId="77777777" w:rsidR="005916CF" w:rsidRPr="001E7C87" w:rsidRDefault="005916CF" w:rsidP="00253F7B">
      <w:pPr>
        <w:pStyle w:val="ListParagraph"/>
        <w:numPr>
          <w:ilvl w:val="0"/>
          <w:numId w:val="8"/>
        </w:numPr>
        <w:jc w:val="both"/>
        <w:rPr>
          <w:rFonts w:ascii="Arial" w:hAnsi="Arial" w:cs="Arial"/>
          <w:sz w:val="24"/>
          <w:szCs w:val="24"/>
        </w:rPr>
      </w:pPr>
      <w:r>
        <w:rPr>
          <w:rFonts w:ascii="Arial" w:hAnsi="Arial"/>
          <w:sz w:val="24"/>
        </w:rPr>
        <w:lastRenderedPageBreak/>
        <w:t>"Bug" eller "ventresca": del af muskelmassen, som afgrænser bughulen hos fisk, med eller uden skind og ben.</w:t>
      </w:r>
    </w:p>
    <w:p w14:paraId="1CD5C25D" w14:textId="77777777" w:rsidR="005916CF" w:rsidRPr="001E7C87" w:rsidRDefault="005916CF" w:rsidP="00253F7B">
      <w:pPr>
        <w:pStyle w:val="ListParagraph"/>
        <w:numPr>
          <w:ilvl w:val="0"/>
          <w:numId w:val="8"/>
        </w:numPr>
        <w:jc w:val="both"/>
        <w:rPr>
          <w:rFonts w:ascii="Arial" w:hAnsi="Arial" w:cs="Arial"/>
          <w:sz w:val="24"/>
          <w:szCs w:val="24"/>
        </w:rPr>
      </w:pPr>
      <w:r>
        <w:rPr>
          <w:rFonts w:ascii="Arial" w:hAnsi="Arial"/>
          <w:sz w:val="24"/>
        </w:rPr>
        <w:t>"Side" eller "krave": del af muskelmassen, som afgrænser bughulen hos fisk, og som præsenteres med den tilsvarende del af kammen, med eller uden skind og ben.</w:t>
      </w:r>
    </w:p>
    <w:p w14:paraId="4F8E38C2" w14:textId="77777777" w:rsidR="005916CF" w:rsidRPr="001E7C87" w:rsidRDefault="005916CF" w:rsidP="00253F7B">
      <w:pPr>
        <w:pStyle w:val="ListParagraph"/>
        <w:numPr>
          <w:ilvl w:val="0"/>
          <w:numId w:val="8"/>
        </w:numPr>
        <w:jc w:val="both"/>
        <w:rPr>
          <w:rFonts w:ascii="Arial" w:hAnsi="Arial" w:cs="Arial"/>
          <w:sz w:val="24"/>
          <w:szCs w:val="24"/>
        </w:rPr>
      </w:pPr>
      <w:r>
        <w:rPr>
          <w:rFonts w:ascii="Arial" w:hAnsi="Arial"/>
          <w:sz w:val="24"/>
        </w:rPr>
        <w:t xml:space="preserve"> "Midte": dele af den centrale muskelmasse, som er umiddelbart efter bughulen hos fisk, og som udskæres ved snit parallelt med rygsøjlen, med eller uden skind og ben.</w:t>
      </w:r>
    </w:p>
    <w:p w14:paraId="1E24558D" w14:textId="77777777" w:rsidR="005916CF" w:rsidRPr="001E7C87" w:rsidRDefault="005916CF" w:rsidP="00253F7B">
      <w:pPr>
        <w:pStyle w:val="ListParagraph"/>
        <w:numPr>
          <w:ilvl w:val="0"/>
          <w:numId w:val="8"/>
        </w:numPr>
        <w:jc w:val="both"/>
        <w:rPr>
          <w:rFonts w:ascii="Arial" w:hAnsi="Arial" w:cs="Arial"/>
          <w:sz w:val="24"/>
          <w:szCs w:val="24"/>
        </w:rPr>
      </w:pPr>
      <w:r>
        <w:rPr>
          <w:rFonts w:ascii="Arial" w:hAnsi="Arial"/>
          <w:sz w:val="24"/>
        </w:rPr>
        <w:t>"Haler": hos fisk er det den nedre del af kroppen umiddelbart efter bughulen, der udskæres med et snit transversalt på kroppens længdeakse, og som generelt omfatter den tilsvarende del af rygsøjlen, med eller uden skind og ben. For så vidt angår krebsdyr er det den nederste del af kroppen, som svarer til bugen eller pleopoderne, flået eller ikke flået.</w:t>
      </w:r>
    </w:p>
    <w:p w14:paraId="72F2CB5A" w14:textId="77777777" w:rsidR="005916CF" w:rsidRPr="001E7C87" w:rsidRDefault="00253F7B" w:rsidP="00253F7B">
      <w:pPr>
        <w:pStyle w:val="ListParagraph"/>
        <w:numPr>
          <w:ilvl w:val="0"/>
          <w:numId w:val="8"/>
        </w:numPr>
        <w:jc w:val="both"/>
        <w:rPr>
          <w:rFonts w:ascii="Arial" w:hAnsi="Arial" w:cs="Arial"/>
          <w:sz w:val="24"/>
          <w:szCs w:val="24"/>
        </w:rPr>
      </w:pPr>
      <w:r>
        <w:rPr>
          <w:rFonts w:ascii="Arial" w:hAnsi="Arial"/>
          <w:sz w:val="24"/>
        </w:rPr>
        <w:t xml:space="preserve"> "Kæben": dele af muskelmassen, som befinder sig mellem de to sideknogler i kæben hos fisk, med eller uden skind og ben.</w:t>
      </w:r>
    </w:p>
    <w:p w14:paraId="67702052" w14:textId="77777777" w:rsidR="005916CF" w:rsidRPr="001E7C87" w:rsidRDefault="00253F7B" w:rsidP="00253F7B">
      <w:pPr>
        <w:pStyle w:val="ListParagraph"/>
        <w:numPr>
          <w:ilvl w:val="0"/>
          <w:numId w:val="8"/>
        </w:numPr>
        <w:jc w:val="both"/>
        <w:rPr>
          <w:rFonts w:ascii="Arial" w:hAnsi="Arial" w:cs="Arial"/>
          <w:sz w:val="24"/>
          <w:szCs w:val="24"/>
        </w:rPr>
      </w:pPr>
      <w:r>
        <w:rPr>
          <w:rFonts w:ascii="Arial" w:hAnsi="Arial"/>
          <w:sz w:val="24"/>
        </w:rPr>
        <w:t xml:space="preserve"> "Rør" eller "skal": kapper hos blæksprutter, uden organer, med eller uden skind og finner, men som har bevaret sin karakteristiske anatomiske form.</w:t>
      </w:r>
    </w:p>
    <w:p w14:paraId="614F365D" w14:textId="77777777" w:rsidR="004D0C59" w:rsidRPr="001E7C87" w:rsidRDefault="004D0C59" w:rsidP="00EC748B">
      <w:pPr>
        <w:jc w:val="both"/>
        <w:rPr>
          <w:rFonts w:ascii="Arial" w:hAnsi="Arial" w:cs="Arial"/>
          <w:b/>
          <w:sz w:val="24"/>
          <w:szCs w:val="24"/>
        </w:rPr>
      </w:pPr>
    </w:p>
    <w:p w14:paraId="36E577E2" w14:textId="77777777" w:rsidR="00341F8F" w:rsidRPr="001E7C87" w:rsidRDefault="00341F8F" w:rsidP="00EC748B">
      <w:pPr>
        <w:jc w:val="both"/>
        <w:rPr>
          <w:rFonts w:ascii="Arial" w:hAnsi="Arial" w:cs="Arial"/>
          <w:i/>
          <w:sz w:val="24"/>
          <w:szCs w:val="24"/>
        </w:rPr>
      </w:pPr>
      <w:r>
        <w:rPr>
          <w:rFonts w:ascii="Arial" w:hAnsi="Arial"/>
          <w:b/>
          <w:sz w:val="24"/>
        </w:rPr>
        <w:t xml:space="preserve">Anden afsluttende bestemmelse. </w:t>
      </w:r>
      <w:r>
        <w:rPr>
          <w:rFonts w:ascii="Arial" w:hAnsi="Arial"/>
          <w:b/>
          <w:i/>
          <w:sz w:val="24"/>
        </w:rPr>
        <w:t>Tildeling af kompetencer</w:t>
      </w:r>
      <w:r>
        <w:rPr>
          <w:rFonts w:ascii="Arial" w:hAnsi="Arial"/>
          <w:i/>
          <w:sz w:val="24"/>
        </w:rPr>
        <w:t xml:space="preserve"> </w:t>
      </w:r>
    </w:p>
    <w:p w14:paraId="1C34FABC" w14:textId="77777777" w:rsidR="00341F8F" w:rsidRPr="001E7C87" w:rsidRDefault="00341F8F" w:rsidP="00EC748B">
      <w:pPr>
        <w:jc w:val="both"/>
        <w:rPr>
          <w:rFonts w:ascii="Arial" w:hAnsi="Arial" w:cs="Arial"/>
          <w:sz w:val="24"/>
          <w:szCs w:val="24"/>
        </w:rPr>
      </w:pPr>
    </w:p>
    <w:p w14:paraId="3783CBC6" w14:textId="77777777" w:rsidR="00341F8F" w:rsidRPr="001E7C87" w:rsidRDefault="00341F8F" w:rsidP="00EC748B">
      <w:pPr>
        <w:jc w:val="both"/>
        <w:rPr>
          <w:rFonts w:ascii="Arial" w:hAnsi="Arial" w:cs="Arial"/>
          <w:sz w:val="24"/>
          <w:szCs w:val="24"/>
        </w:rPr>
      </w:pPr>
      <w:r>
        <w:rPr>
          <w:rFonts w:ascii="Arial" w:hAnsi="Arial"/>
          <w:sz w:val="24"/>
        </w:rPr>
        <w:t xml:space="preserve">Nærværende kongelige dekret udgør grundlæggende lovgivning og vedtages i henhold til bestemmelserne i den spanske forfatnings artikel 149, stk. 1, nr. 13, der giver staten enekompetence vedrørende den grundlæggende og generelle koordination af den økonomiske planlægning. Den vedtages ligeledes i overensstemmelse med statens enekompetence, hvad angår udenrigshandel i forbindelse med de i artikel 149, stk. 1, nr. 10, omtalte relationer. </w:t>
      </w:r>
    </w:p>
    <w:p w14:paraId="73632614" w14:textId="77777777" w:rsidR="002E5171" w:rsidRDefault="002E5171" w:rsidP="00EC748B">
      <w:pPr>
        <w:jc w:val="both"/>
        <w:rPr>
          <w:rFonts w:ascii="Arial" w:hAnsi="Arial" w:cs="Arial"/>
          <w:b/>
          <w:sz w:val="24"/>
          <w:szCs w:val="24"/>
        </w:rPr>
      </w:pPr>
    </w:p>
    <w:p w14:paraId="20A5D766" w14:textId="77777777" w:rsidR="00341F8F" w:rsidRPr="001E7C87" w:rsidRDefault="00341F8F" w:rsidP="00EC748B">
      <w:pPr>
        <w:jc w:val="both"/>
        <w:rPr>
          <w:rFonts w:ascii="Arial" w:hAnsi="Arial" w:cs="Arial"/>
          <w:i/>
          <w:sz w:val="24"/>
          <w:szCs w:val="24"/>
        </w:rPr>
      </w:pPr>
      <w:r>
        <w:rPr>
          <w:rFonts w:ascii="Arial" w:hAnsi="Arial"/>
          <w:b/>
          <w:sz w:val="24"/>
        </w:rPr>
        <w:t xml:space="preserve">Tredje afsluttende bestemmelse. </w:t>
      </w:r>
      <w:r>
        <w:rPr>
          <w:rFonts w:ascii="Arial" w:hAnsi="Arial"/>
          <w:i/>
          <w:sz w:val="24"/>
        </w:rPr>
        <w:t>Gennemførelsesbeføjelse</w:t>
      </w:r>
    </w:p>
    <w:p w14:paraId="15451AD5" w14:textId="77777777" w:rsidR="00341F8F" w:rsidRPr="001E7C87" w:rsidRDefault="00341F8F" w:rsidP="00EC748B">
      <w:pPr>
        <w:jc w:val="both"/>
        <w:rPr>
          <w:rFonts w:ascii="Arial" w:hAnsi="Arial" w:cs="Arial"/>
          <w:sz w:val="24"/>
          <w:szCs w:val="24"/>
        </w:rPr>
      </w:pPr>
    </w:p>
    <w:p w14:paraId="17230864" w14:textId="77777777" w:rsidR="00341F8F" w:rsidRPr="001E7C87" w:rsidRDefault="00341F8F" w:rsidP="00EC748B">
      <w:pPr>
        <w:jc w:val="both"/>
        <w:rPr>
          <w:rFonts w:ascii="Arial" w:hAnsi="Arial" w:cs="Arial"/>
          <w:sz w:val="24"/>
          <w:szCs w:val="24"/>
        </w:rPr>
      </w:pPr>
      <w:r>
        <w:rPr>
          <w:rFonts w:ascii="Arial" w:hAnsi="Arial"/>
          <w:sz w:val="24"/>
        </w:rPr>
        <w:t xml:space="preserve">Ministeriet for landbrug, fiskeri og fødevarer kan inden for sine kompetenceområder vedtage de bestemmelser, der måtte være nødvendige for udviklingen og gennemførelsen af bestemmelserne i dette kongelige dekret, samt til at ændre indholdet i bilaget hertil. </w:t>
      </w:r>
    </w:p>
    <w:p w14:paraId="3605A1D8" w14:textId="77777777" w:rsidR="00341F8F" w:rsidRPr="001E7C87" w:rsidRDefault="00341F8F" w:rsidP="00EC748B">
      <w:pPr>
        <w:jc w:val="both"/>
        <w:rPr>
          <w:rFonts w:ascii="Arial" w:hAnsi="Arial" w:cs="Arial"/>
          <w:sz w:val="24"/>
          <w:szCs w:val="24"/>
        </w:rPr>
      </w:pPr>
    </w:p>
    <w:p w14:paraId="111EBA2E" w14:textId="77777777" w:rsidR="00341F8F" w:rsidRPr="001E7C87" w:rsidRDefault="00341F8F" w:rsidP="00EC748B">
      <w:pPr>
        <w:jc w:val="both"/>
        <w:rPr>
          <w:rFonts w:ascii="Arial" w:hAnsi="Arial" w:cs="Arial"/>
          <w:i/>
          <w:sz w:val="24"/>
          <w:szCs w:val="24"/>
        </w:rPr>
      </w:pPr>
      <w:r>
        <w:rPr>
          <w:rFonts w:ascii="Arial" w:hAnsi="Arial"/>
          <w:b/>
          <w:sz w:val="24"/>
        </w:rPr>
        <w:t xml:space="preserve">Fjerde afsluttende bestemmelse. </w:t>
      </w:r>
      <w:r>
        <w:rPr>
          <w:rFonts w:ascii="Arial" w:hAnsi="Arial"/>
          <w:i/>
          <w:sz w:val="24"/>
        </w:rPr>
        <w:t>Ikrafttrædelse</w:t>
      </w:r>
    </w:p>
    <w:p w14:paraId="62D940F7" w14:textId="77777777" w:rsidR="00341F8F" w:rsidRPr="001E7C87" w:rsidRDefault="00341F8F" w:rsidP="00EC748B">
      <w:pPr>
        <w:jc w:val="both"/>
        <w:rPr>
          <w:rFonts w:ascii="Arial" w:hAnsi="Arial" w:cs="Arial"/>
          <w:sz w:val="24"/>
          <w:szCs w:val="24"/>
        </w:rPr>
      </w:pPr>
    </w:p>
    <w:p w14:paraId="439E1DCB" w14:textId="7B57854F" w:rsidR="00341F8F" w:rsidRPr="001E7C87" w:rsidRDefault="00341F8F" w:rsidP="00EC748B">
      <w:pPr>
        <w:jc w:val="both"/>
        <w:rPr>
          <w:rFonts w:ascii="Arial" w:hAnsi="Arial" w:cs="Arial"/>
          <w:sz w:val="24"/>
          <w:szCs w:val="24"/>
        </w:rPr>
      </w:pPr>
      <w:r>
        <w:rPr>
          <w:rFonts w:ascii="Arial" w:hAnsi="Arial"/>
          <w:sz w:val="24"/>
        </w:rPr>
        <w:t>Dette kongelige dekret træder i kraft den xx xxxxx 2022.</w:t>
      </w:r>
    </w:p>
    <w:p w14:paraId="23E9DB53" w14:textId="77777777" w:rsidR="00341F8F" w:rsidRPr="001E7C87" w:rsidRDefault="00341F8F" w:rsidP="00EC748B">
      <w:pPr>
        <w:jc w:val="both"/>
        <w:rPr>
          <w:rFonts w:ascii="Arial" w:hAnsi="Arial" w:cs="Arial"/>
          <w:sz w:val="24"/>
          <w:szCs w:val="24"/>
        </w:rPr>
      </w:pPr>
    </w:p>
    <w:p w14:paraId="5D8FCC2D" w14:textId="77777777" w:rsidR="00341F8F" w:rsidRPr="001E7C87" w:rsidRDefault="00341F8F" w:rsidP="00EC748B">
      <w:pPr>
        <w:jc w:val="center"/>
        <w:rPr>
          <w:rFonts w:ascii="Arial" w:hAnsi="Arial" w:cs="Arial"/>
          <w:sz w:val="24"/>
          <w:szCs w:val="24"/>
        </w:rPr>
      </w:pPr>
      <w:r>
        <w:rPr>
          <w:rFonts w:ascii="Arial" w:hAnsi="Arial"/>
          <w:sz w:val="24"/>
        </w:rPr>
        <w:t>VIDERESENDES TIL MINISTERRÅDET</w:t>
      </w:r>
    </w:p>
    <w:p w14:paraId="7098D00F" w14:textId="77777777" w:rsidR="00341F8F" w:rsidRPr="001E7C87" w:rsidRDefault="00070E79" w:rsidP="00EC748B">
      <w:pPr>
        <w:jc w:val="center"/>
        <w:rPr>
          <w:rFonts w:ascii="Arial" w:hAnsi="Arial" w:cs="Arial"/>
          <w:sz w:val="24"/>
          <w:szCs w:val="24"/>
        </w:rPr>
      </w:pPr>
      <w:r>
        <w:rPr>
          <w:rFonts w:ascii="Arial" w:hAnsi="Arial"/>
          <w:sz w:val="24"/>
        </w:rPr>
        <w:t>Madrid, xx xxxx xxxx</w:t>
      </w:r>
    </w:p>
    <w:p w14:paraId="3172B700" w14:textId="77777777" w:rsidR="00341F8F" w:rsidRPr="001E7C87" w:rsidRDefault="00341F8F" w:rsidP="00EC748B">
      <w:pPr>
        <w:jc w:val="center"/>
        <w:rPr>
          <w:rFonts w:ascii="Arial" w:hAnsi="Arial" w:cs="Arial"/>
          <w:sz w:val="24"/>
          <w:szCs w:val="24"/>
        </w:rPr>
      </w:pPr>
    </w:p>
    <w:p w14:paraId="18E3560A" w14:textId="77777777" w:rsidR="00341F8F" w:rsidRPr="001E7C87" w:rsidRDefault="00341F8F" w:rsidP="00EC748B">
      <w:pPr>
        <w:jc w:val="center"/>
        <w:rPr>
          <w:rFonts w:ascii="Arial" w:hAnsi="Arial" w:cs="Arial"/>
          <w:sz w:val="24"/>
          <w:szCs w:val="24"/>
        </w:rPr>
      </w:pPr>
      <w:r>
        <w:rPr>
          <w:rFonts w:ascii="Arial" w:hAnsi="Arial"/>
          <w:sz w:val="24"/>
        </w:rPr>
        <w:t>MINISTEREN FOR LANDBRUG, FISKERI OG FØDEVARER</w:t>
      </w:r>
    </w:p>
    <w:p w14:paraId="64688BB5" w14:textId="77777777" w:rsidR="00341F8F" w:rsidRPr="001E7C87" w:rsidRDefault="00341F8F" w:rsidP="00EC748B">
      <w:pPr>
        <w:jc w:val="center"/>
        <w:rPr>
          <w:rFonts w:ascii="Arial" w:hAnsi="Arial" w:cs="Arial"/>
          <w:sz w:val="24"/>
          <w:szCs w:val="24"/>
        </w:rPr>
      </w:pPr>
    </w:p>
    <w:p w14:paraId="19C482F0" w14:textId="77777777" w:rsidR="00341F8F" w:rsidRPr="001E7C87" w:rsidRDefault="00341F8F" w:rsidP="00EC748B">
      <w:pPr>
        <w:jc w:val="center"/>
        <w:rPr>
          <w:rFonts w:ascii="Arial" w:hAnsi="Arial" w:cs="Arial"/>
          <w:sz w:val="24"/>
          <w:szCs w:val="24"/>
        </w:rPr>
      </w:pPr>
      <w:r>
        <w:rPr>
          <w:rFonts w:ascii="Arial" w:hAnsi="Arial"/>
          <w:sz w:val="24"/>
        </w:rPr>
        <w:t>Luis Planas Puchades</w:t>
      </w:r>
    </w:p>
    <w:p w14:paraId="22DFDF0C" w14:textId="77777777" w:rsidR="00341F8F" w:rsidRPr="001E7C87" w:rsidRDefault="00341F8F" w:rsidP="00EC748B">
      <w:pPr>
        <w:jc w:val="center"/>
        <w:rPr>
          <w:rFonts w:ascii="Arial" w:hAnsi="Arial" w:cs="Arial"/>
          <w:sz w:val="24"/>
          <w:szCs w:val="24"/>
        </w:rPr>
      </w:pPr>
    </w:p>
    <w:p w14:paraId="017C8922" w14:textId="77777777" w:rsidR="00341F8F" w:rsidRPr="001E7C87" w:rsidRDefault="00341F8F" w:rsidP="00EC748B">
      <w:pPr>
        <w:jc w:val="center"/>
        <w:rPr>
          <w:rFonts w:ascii="Arial" w:hAnsi="Arial" w:cs="Arial"/>
          <w:sz w:val="24"/>
          <w:szCs w:val="24"/>
        </w:rPr>
      </w:pPr>
    </w:p>
    <w:p w14:paraId="21A5928E" w14:textId="77777777" w:rsidR="00341F8F" w:rsidRPr="001E7C87" w:rsidRDefault="00341F8F" w:rsidP="00EC748B">
      <w:pPr>
        <w:jc w:val="center"/>
        <w:rPr>
          <w:rFonts w:ascii="Arial" w:hAnsi="Arial" w:cs="Arial"/>
          <w:sz w:val="24"/>
          <w:szCs w:val="24"/>
        </w:rPr>
      </w:pPr>
    </w:p>
    <w:p w14:paraId="67F403B6" w14:textId="77777777" w:rsidR="00341F8F" w:rsidRPr="001E7C87" w:rsidRDefault="00341F8F" w:rsidP="00EC748B">
      <w:pPr>
        <w:jc w:val="center"/>
        <w:rPr>
          <w:rFonts w:ascii="Arial" w:hAnsi="Arial" w:cs="Arial"/>
          <w:sz w:val="24"/>
          <w:szCs w:val="24"/>
        </w:rPr>
      </w:pPr>
    </w:p>
    <w:p w14:paraId="173F5651" w14:textId="77777777" w:rsidR="00341F8F" w:rsidRPr="001E7C87" w:rsidRDefault="00341F8F" w:rsidP="00EC748B">
      <w:pPr>
        <w:jc w:val="center"/>
        <w:rPr>
          <w:rFonts w:ascii="Arial" w:hAnsi="Arial" w:cs="Arial"/>
          <w:sz w:val="24"/>
          <w:szCs w:val="24"/>
        </w:rPr>
      </w:pPr>
    </w:p>
    <w:p w14:paraId="73DF2083" w14:textId="77777777" w:rsidR="00341F8F" w:rsidRPr="001E7C87" w:rsidRDefault="00341F8F" w:rsidP="00EC748B">
      <w:pPr>
        <w:jc w:val="center"/>
        <w:rPr>
          <w:rFonts w:ascii="Arial" w:hAnsi="Arial" w:cs="Arial"/>
          <w:sz w:val="24"/>
          <w:szCs w:val="24"/>
        </w:rPr>
      </w:pPr>
    </w:p>
    <w:p w14:paraId="51EF3F8B" w14:textId="77777777" w:rsidR="00341F8F" w:rsidRPr="001E7C87" w:rsidRDefault="00341F8F" w:rsidP="00EC748B">
      <w:pPr>
        <w:jc w:val="center"/>
        <w:rPr>
          <w:rFonts w:ascii="Arial" w:hAnsi="Arial" w:cs="Arial"/>
          <w:sz w:val="24"/>
          <w:szCs w:val="24"/>
        </w:rPr>
      </w:pPr>
    </w:p>
    <w:p w14:paraId="62659E5F" w14:textId="77777777" w:rsidR="00341F8F" w:rsidRPr="001E7C87" w:rsidRDefault="00341F8F" w:rsidP="00EC748B">
      <w:pPr>
        <w:jc w:val="center"/>
        <w:rPr>
          <w:rFonts w:ascii="Arial" w:hAnsi="Arial" w:cs="Arial"/>
          <w:sz w:val="24"/>
          <w:szCs w:val="24"/>
        </w:rPr>
      </w:pPr>
    </w:p>
    <w:p w14:paraId="6F798B69" w14:textId="77777777" w:rsidR="00341F8F" w:rsidRPr="001E7C87" w:rsidRDefault="00341F8F" w:rsidP="00EC748B">
      <w:pPr>
        <w:jc w:val="center"/>
        <w:rPr>
          <w:rFonts w:ascii="Arial" w:hAnsi="Arial" w:cs="Arial"/>
          <w:sz w:val="24"/>
          <w:szCs w:val="24"/>
        </w:rPr>
      </w:pPr>
    </w:p>
    <w:p w14:paraId="24E62060" w14:textId="77777777" w:rsidR="00341F8F" w:rsidRPr="001E7C87" w:rsidRDefault="00341F8F" w:rsidP="00EC748B">
      <w:pPr>
        <w:jc w:val="center"/>
        <w:rPr>
          <w:rFonts w:ascii="Arial" w:hAnsi="Arial" w:cs="Arial"/>
          <w:sz w:val="24"/>
          <w:szCs w:val="24"/>
        </w:rPr>
      </w:pPr>
    </w:p>
    <w:p w14:paraId="2B74C5A3" w14:textId="77777777" w:rsidR="00341F8F" w:rsidRPr="001E7C87" w:rsidRDefault="00341F8F" w:rsidP="00EC748B">
      <w:pPr>
        <w:jc w:val="center"/>
        <w:rPr>
          <w:rFonts w:ascii="Arial" w:hAnsi="Arial" w:cs="Arial"/>
          <w:sz w:val="24"/>
          <w:szCs w:val="24"/>
        </w:rPr>
      </w:pPr>
    </w:p>
    <w:p w14:paraId="39CED1FC" w14:textId="77777777" w:rsidR="00341F8F" w:rsidRPr="001E7C87" w:rsidRDefault="00341F8F" w:rsidP="00EC748B">
      <w:pPr>
        <w:jc w:val="center"/>
        <w:rPr>
          <w:rFonts w:ascii="Arial" w:hAnsi="Arial" w:cs="Arial"/>
          <w:sz w:val="24"/>
          <w:szCs w:val="24"/>
        </w:rPr>
      </w:pPr>
      <w:r>
        <w:rPr>
          <w:rFonts w:ascii="Arial" w:hAnsi="Arial"/>
          <w:sz w:val="24"/>
        </w:rPr>
        <w:t xml:space="preserve">BILAG </w:t>
      </w:r>
    </w:p>
    <w:p w14:paraId="4E5A8D3C" w14:textId="77777777" w:rsidR="00341F8F" w:rsidRPr="001E7C87" w:rsidRDefault="00341F8F" w:rsidP="00EC748B">
      <w:pPr>
        <w:jc w:val="center"/>
        <w:rPr>
          <w:rFonts w:ascii="Arial" w:hAnsi="Arial" w:cs="Arial"/>
          <w:sz w:val="24"/>
          <w:szCs w:val="24"/>
        </w:rPr>
      </w:pPr>
    </w:p>
    <w:p w14:paraId="02E904BA" w14:textId="77777777" w:rsidR="00341F8F" w:rsidRPr="001E7C87" w:rsidRDefault="00341F8F" w:rsidP="00EC748B">
      <w:pPr>
        <w:jc w:val="center"/>
        <w:rPr>
          <w:rFonts w:ascii="Arial" w:hAnsi="Arial" w:cs="Arial"/>
          <w:sz w:val="24"/>
          <w:szCs w:val="24"/>
        </w:rPr>
      </w:pPr>
      <w:r>
        <w:rPr>
          <w:rFonts w:ascii="Arial" w:hAnsi="Arial"/>
          <w:sz w:val="24"/>
        </w:rPr>
        <w:t xml:space="preserve">INDSÆT LISTE. </w:t>
      </w:r>
    </w:p>
    <w:p w14:paraId="40670373" w14:textId="77777777" w:rsidR="00341F8F" w:rsidRPr="001E7C87" w:rsidRDefault="00341F8F" w:rsidP="00EC748B">
      <w:pPr>
        <w:jc w:val="center"/>
        <w:rPr>
          <w:rFonts w:ascii="Arial" w:hAnsi="Arial" w:cs="Arial"/>
          <w:sz w:val="24"/>
          <w:szCs w:val="24"/>
        </w:rPr>
      </w:pPr>
    </w:p>
    <w:p w14:paraId="4AFC2F3E" w14:textId="77777777" w:rsidR="00341F8F" w:rsidRPr="001E7C87" w:rsidRDefault="00341F8F" w:rsidP="00EC748B">
      <w:pPr>
        <w:jc w:val="center"/>
        <w:rPr>
          <w:rFonts w:ascii="Arial" w:hAnsi="Arial" w:cs="Arial"/>
          <w:sz w:val="24"/>
          <w:szCs w:val="24"/>
        </w:rPr>
      </w:pPr>
    </w:p>
    <w:p w14:paraId="47AD2D8C" w14:textId="77777777" w:rsidR="00341F8F" w:rsidRPr="001E7C87" w:rsidRDefault="00341F8F" w:rsidP="00EC748B">
      <w:pPr>
        <w:jc w:val="center"/>
        <w:rPr>
          <w:rFonts w:ascii="Arial" w:hAnsi="Arial" w:cs="Arial"/>
          <w:sz w:val="24"/>
          <w:szCs w:val="24"/>
        </w:rPr>
      </w:pPr>
    </w:p>
    <w:sectPr w:rsidR="00341F8F" w:rsidRPr="001E7C87" w:rsidSect="00F674AE">
      <w:headerReference w:type="default" r:id="rId9"/>
      <w:footerReference w:type="even" r:id="rId10"/>
      <w:footerReference w:type="default" r:id="rId11"/>
      <w:pgSz w:w="11906" w:h="16838"/>
      <w:pgMar w:top="2693" w:right="992" w:bottom="1701" w:left="1985" w:header="1134"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4373C" w14:textId="77777777" w:rsidR="00994BDE" w:rsidRDefault="00994BDE">
      <w:r>
        <w:separator/>
      </w:r>
    </w:p>
  </w:endnote>
  <w:endnote w:type="continuationSeparator" w:id="0">
    <w:p w14:paraId="5BF8EA4F" w14:textId="77777777" w:rsidR="00994BDE" w:rsidRDefault="00994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35345" w14:textId="77777777" w:rsidR="00341F8F" w:rsidRDefault="00816E10" w:rsidP="00B33D32">
    <w:pPr>
      <w:pStyle w:val="Footer"/>
      <w:framePr w:wrap="around" w:vAnchor="text" w:hAnchor="margin" w:xAlign="center" w:y="1"/>
      <w:rPr>
        <w:rStyle w:val="PageNumber"/>
      </w:rPr>
    </w:pPr>
    <w:r>
      <w:rPr>
        <w:rStyle w:val="PageNumber"/>
      </w:rPr>
      <w:fldChar w:fldCharType="begin"/>
    </w:r>
    <w:r w:rsidR="00341F8F">
      <w:rPr>
        <w:rStyle w:val="PageNumber"/>
      </w:rPr>
      <w:instrText xml:space="preserve">PAGE  </w:instrText>
    </w:r>
    <w:r>
      <w:rPr>
        <w:rStyle w:val="PageNumber"/>
      </w:rPr>
      <w:fldChar w:fldCharType="end"/>
    </w:r>
  </w:p>
  <w:p w14:paraId="0EFE5789" w14:textId="77777777" w:rsidR="00341F8F" w:rsidRDefault="00341F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5C893" w14:textId="77777777" w:rsidR="00341F8F" w:rsidRDefault="00816E10">
    <w:pPr>
      <w:pStyle w:val="Footer"/>
      <w:jc w:val="right"/>
    </w:pPr>
    <w:r>
      <w:fldChar w:fldCharType="begin"/>
    </w:r>
    <w:r w:rsidR="00341F8F">
      <w:instrText>PAGE   \* MERGEFORMAT</w:instrText>
    </w:r>
    <w:r>
      <w:fldChar w:fldCharType="separate"/>
    </w:r>
    <w:r w:rsidR="004808F6">
      <w:t>8</w:t>
    </w:r>
    <w:r>
      <w:fldChar w:fldCharType="end"/>
    </w:r>
  </w:p>
  <w:p w14:paraId="198CA21F" w14:textId="77777777" w:rsidR="00341F8F" w:rsidRDefault="00341F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1FBD1" w14:textId="77777777" w:rsidR="00994BDE" w:rsidRDefault="00994BDE">
      <w:r>
        <w:separator/>
      </w:r>
    </w:p>
  </w:footnote>
  <w:footnote w:type="continuationSeparator" w:id="0">
    <w:p w14:paraId="371BE7FE" w14:textId="77777777" w:rsidR="00994BDE" w:rsidRDefault="00994B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7C505" w14:textId="77777777" w:rsidR="00341F8F" w:rsidRDefault="00142C13">
    <w:pPr>
      <w:pStyle w:val="Header"/>
      <w:tabs>
        <w:tab w:val="clear" w:pos="8504"/>
      </w:tabs>
    </w:pPr>
    <w:r>
      <w:rPr>
        <w:noProof/>
      </w:rPr>
      <mc:AlternateContent>
        <mc:Choice Requires="wps">
          <w:drawing>
            <wp:anchor distT="0" distB="0" distL="114300" distR="114300" simplePos="0" relativeHeight="251657216" behindDoc="0" locked="0" layoutInCell="0" allowOverlap="1" wp14:anchorId="6E365D21" wp14:editId="37A5C2BD">
              <wp:simplePos x="0" y="0"/>
              <wp:positionH relativeFrom="column">
                <wp:posOffset>3624792</wp:posOffset>
              </wp:positionH>
              <wp:positionV relativeFrom="paragraph">
                <wp:posOffset>-262890</wp:posOffset>
              </wp:positionV>
              <wp:extent cx="2125133" cy="457200"/>
              <wp:effectExtent l="0" t="0" r="27940" b="190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133"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14:paraId="61EF98CC" w14:textId="77777777" w:rsidR="00341F8F" w:rsidRPr="0050239C" w:rsidRDefault="00341F8F">
                          <w:pPr>
                            <w:spacing w:line="216" w:lineRule="auto"/>
                            <w:rPr>
                              <w:rFonts w:ascii="Arial" w:hAnsi="Arial"/>
                              <w:sz w:val="14"/>
                              <w:szCs w:val="14"/>
                            </w:rPr>
                          </w:pPr>
                        </w:p>
                        <w:p w14:paraId="3FC5BA81" w14:textId="77777777" w:rsidR="00341F8F" w:rsidRPr="0050239C" w:rsidRDefault="00341F8F" w:rsidP="0050239C">
                          <w:pPr>
                            <w:spacing w:line="216" w:lineRule="auto"/>
                            <w:ind w:right="-186"/>
                            <w:rPr>
                              <w:rFonts w:ascii="Arial" w:hAnsi="Arial"/>
                              <w:sz w:val="14"/>
                            </w:rPr>
                          </w:pPr>
                          <w:r>
                            <w:rPr>
                              <w:rFonts w:ascii="Arial" w:hAnsi="Arial"/>
                              <w:sz w:val="14"/>
                            </w:rPr>
                            <w:t>GENERALSEKRETARIATET FOR FISKERI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365D21" id="Rectangle 4" o:spid="_x0000_s1026" style="position:absolute;margin-left:285.4pt;margin-top:-20.7pt;width:167.3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" o:allowincell="f" filled="f" fillcolor="silver">
              <v:textbox>
                <w:txbxContent>
                  <w:p w14:paraId="61EF98CC" w14:textId="77777777" w:rsidR="00341F8F" w:rsidRPr="0050239C" w:rsidRDefault="00341F8F">
                    <w:pPr>
                      <w:spacing w:line="216" w:lineRule="auto"/>
                      <w:rPr>
                        <w:rFonts w:ascii="Arial" w:hAnsi="Arial"/>
                        <w:sz w:val="14"/>
                        <w:szCs w:val="14"/>
                      </w:rPr>
                    </w:pPr>
                  </w:p>
                  <w:p w14:paraId="3FC5BA81" w14:textId="77777777" w:rsidR="00341F8F" w:rsidRPr="0050239C" w:rsidRDefault="00341F8F" w:rsidP="0050239C">
                    <w:pPr>
                      <w:spacing w:line="216" w:lineRule="auto"/>
                      <w:ind w:right="-186"/>
                      <w:rPr>
                        <w:rFonts w:ascii="Arial" w:hAnsi="Arial"/>
                        <w:sz w:val="14"/>
                      </w:rPr>
                    </w:pPr>
                    <w:r>
                      <w:rPr>
                        <w:rFonts w:ascii="Arial" w:hAnsi="Arial"/>
                        <w:sz w:val="14"/>
                      </w:rPr>
                      <w:t>GENERALSEKRETARIATET FOR FISKERI</w:t>
                    </w:r>
                  </w:p>
                </w:txbxContent>
              </v:textbox>
            </v:rect>
          </w:pict>
        </mc:Fallback>
      </mc:AlternateContent>
    </w:r>
    <w:r>
      <w:rPr>
        <w:noProof/>
      </w:rPr>
      <mc:AlternateContent>
        <mc:Choice Requires="wps">
          <w:drawing>
            <wp:anchor distT="0" distB="0" distL="114300" distR="114300" simplePos="0" relativeHeight="251658240" behindDoc="0" locked="0" layoutInCell="1" allowOverlap="1" wp14:anchorId="2403506B" wp14:editId="2E30E274">
              <wp:simplePos x="0" y="0"/>
              <wp:positionH relativeFrom="column">
                <wp:posOffset>16510</wp:posOffset>
              </wp:positionH>
              <wp:positionV relativeFrom="paragraph">
                <wp:posOffset>11430</wp:posOffset>
              </wp:positionV>
              <wp:extent cx="2179955" cy="548640"/>
              <wp:effectExtent l="0" t="0" r="0" b="3810"/>
              <wp:wrapSquare wrapText="bothSides"/>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955"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A32727" w14:textId="017B4CF5" w:rsidR="00341F8F" w:rsidRDefault="00341F8F" w:rsidP="00501482">
                          <w:pPr>
                            <w:ind w:right="-380"/>
                            <w:rPr>
                              <w:rFonts w:ascii="Arial" w:hAnsi="Arial"/>
                              <w:sz w:val="18"/>
                            </w:rPr>
                          </w:pPr>
                          <w:r>
                            <w:rPr>
                              <w:rFonts w:ascii="Arial" w:hAnsi="Arial"/>
                              <w:sz w:val="18"/>
                            </w:rPr>
                            <w:t>MINISTERIET</w:t>
                          </w:r>
                          <w:r>
                            <w:rPr>
                              <w:rFonts w:ascii="Arial" w:hAnsi="Arial"/>
                              <w:sz w:val="18"/>
                            </w:rPr>
                            <w:br/>
                          </w:r>
                          <w:r>
                            <w:rPr>
                              <w:rFonts w:ascii="Arial" w:hAnsi="Arial"/>
                              <w:sz w:val="18"/>
                            </w:rPr>
                            <w:t>FOR LANDBRUG, FISKERI</w:t>
                          </w:r>
                          <w:r>
                            <w:rPr>
                              <w:rFonts w:ascii="Arial" w:hAnsi="Arial"/>
                              <w:sz w:val="18"/>
                            </w:rPr>
                            <w:br/>
                            <w:t>OG FØDEVARER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03506B" id="_x0000_t202" coordsize="21600,21600" o:spt="202" path="m,l,21600r21600,l21600,xe">
              <v:stroke joinstyle="miter"/>
              <v:path gradientshapeok="t" o:connecttype="rect"/>
            </v:shapetype>
            <v:shape id="Text Box 1" o:spid="_x0000_s1027" type="#_x0000_t202" style="position:absolute;margin-left:1.3pt;margin-top:.9pt;width:171.65pt;height:4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" stroked="f">
              <v:textbox>
                <w:txbxContent>
                  <w:p w14:paraId="40A32727" w14:textId="017B4CF5" w:rsidR="00341F8F" w:rsidRDefault="00341F8F" w:rsidP="00501482">
                    <w:pPr>
                      <w:ind w:right="-380"/>
                      <w:rPr>
                        <w:rFonts w:ascii="Arial" w:hAnsi="Arial"/>
                        <w:sz w:val="18"/>
                      </w:rPr>
                    </w:pPr>
                    <w:r>
                      <w:rPr>
                        <w:rFonts w:ascii="Arial" w:hAnsi="Arial"/>
                        <w:sz w:val="18"/>
                      </w:rPr>
                      <w:t>MINISTERIET</w:t>
                    </w:r>
                    <w:r>
                      <w:rPr>
                        <w:rFonts w:ascii="Arial" w:hAnsi="Arial"/>
                        <w:sz w:val="18"/>
                      </w:rPr>
                      <w:br/>
                    </w:r>
                    <w:r>
                      <w:rPr>
                        <w:rFonts w:ascii="Arial" w:hAnsi="Arial"/>
                        <w:sz w:val="18"/>
                      </w:rPr>
                      <w:t>FOR LANDBRUG, FISKERI</w:t>
                    </w:r>
                    <w:r>
                      <w:rPr>
                        <w:rFonts w:ascii="Arial" w:hAnsi="Arial"/>
                        <w:sz w:val="18"/>
                      </w:rPr>
                      <w:br/>
                      <w:t>OG FØDEVARER</w:t>
                    </w:r>
                  </w:p>
                </w:txbxContent>
              </v:textbox>
              <w10:wrap type="square"/>
            </v:shape>
          </w:pict>
        </mc:Fallback>
      </mc:AlternateContent>
    </w:r>
    <w:r>
      <w:rPr>
        <w:noProof/>
      </w:rPr>
      <w:drawing>
        <wp:anchor distT="0" distB="0" distL="114300" distR="114300" simplePos="0" relativeHeight="251659264" behindDoc="0" locked="0" layoutInCell="1" allowOverlap="1" wp14:anchorId="246C3DDB" wp14:editId="678DB97F">
          <wp:simplePos x="0" y="0"/>
          <wp:positionH relativeFrom="column">
            <wp:posOffset>-805815</wp:posOffset>
          </wp:positionH>
          <wp:positionV relativeFrom="paragraph">
            <wp:posOffset>-262890</wp:posOffset>
          </wp:positionV>
          <wp:extent cx="829310" cy="838200"/>
          <wp:effectExtent l="0" t="0" r="0" b="0"/>
          <wp:wrapSquare wrapText="bothSides"/>
          <wp:docPr id="1"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310" cy="838200"/>
                  </a:xfrm>
                  <a:prstGeom prst="rect">
                    <a:avLst/>
                  </a:prstGeom>
                  <a:noFill/>
                </pic:spPr>
              </pic:pic>
            </a:graphicData>
          </a:graphic>
        </wp:anchor>
      </w:drawing>
    </w:r>
    <w:r>
      <w:rPr>
        <w:noProof/>
      </w:rPr>
      <mc:AlternateContent>
        <mc:Choice Requires="wps">
          <w:drawing>
            <wp:anchor distT="0" distB="0" distL="114300" distR="114300" simplePos="0" relativeHeight="251656192" behindDoc="0" locked="0" layoutInCell="1" allowOverlap="1" wp14:anchorId="43122D28" wp14:editId="2B5B2037">
              <wp:simplePos x="0" y="0"/>
              <wp:positionH relativeFrom="column">
                <wp:posOffset>4277360</wp:posOffset>
              </wp:positionH>
              <wp:positionV relativeFrom="paragraph">
                <wp:posOffset>196850</wp:posOffset>
              </wp:positionV>
              <wp:extent cx="1828800" cy="6858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FA6979" w14:textId="77777777" w:rsidR="00341F8F" w:rsidRPr="00FE6B31" w:rsidRDefault="00341F8F">
                          <w:pPr>
                            <w:spacing w:line="216" w:lineRule="auto"/>
                            <w:rPr>
                              <w:rFonts w:ascii="Arial" w:hAnsi="Arial"/>
                              <w:sz w:val="13"/>
                              <w:szCs w:val="13"/>
                            </w:rPr>
                          </w:pPr>
                        </w:p>
                        <w:p w14:paraId="38ACEF32" w14:textId="77777777" w:rsidR="00341F8F" w:rsidRDefault="00341F8F">
                          <w:pPr>
                            <w:spacing w:line="216" w:lineRule="auto"/>
                            <w:rPr>
                              <w:rFonts w:ascii="Arial" w:hAnsi="Arial"/>
                              <w:sz w:val="14"/>
                            </w:rPr>
                          </w:pPr>
                        </w:p>
                        <w:p w14:paraId="5D611965" w14:textId="77777777" w:rsidR="00341F8F" w:rsidRDefault="00341F8F">
                          <w:pPr>
                            <w:spacing w:line="216" w:lineRule="auto"/>
                            <w:rPr>
                              <w:rFonts w:ascii="Arial" w:hAnsi="Arial"/>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22D28" id="Text Box 3" o:spid="_x0000_s1028" type="#_x0000_t202" style="position:absolute;margin-left:336.8pt;margin-top:15.5pt;width:2in;height:5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" stroked="f">
              <v:textbox>
                <w:txbxContent>
                  <w:p w14:paraId="03FA6979" w14:textId="77777777" w:rsidR="00341F8F" w:rsidRPr="00FE6B31" w:rsidRDefault="00341F8F">
                    <w:pPr>
                      <w:spacing w:line="216" w:lineRule="auto"/>
                      <w:rPr>
                        <w:rFonts w:ascii="Arial" w:hAnsi="Arial"/>
                        <w:sz w:val="13"/>
                        <w:szCs w:val="13"/>
                      </w:rPr>
                    </w:pPr>
                  </w:p>
                  <w:p w14:paraId="38ACEF32" w14:textId="77777777" w:rsidR="00341F8F" w:rsidRDefault="00341F8F">
                    <w:pPr>
                      <w:spacing w:line="216" w:lineRule="auto"/>
                      <w:rPr>
                        <w:rFonts w:ascii="Arial" w:hAnsi="Arial"/>
                        <w:sz w:val="14"/>
                      </w:rPr>
                    </w:pPr>
                  </w:p>
                  <w:p w14:paraId="5D611965" w14:textId="77777777" w:rsidR="00341F8F" w:rsidRDefault="00341F8F">
                    <w:pPr>
                      <w:spacing w:line="216" w:lineRule="auto"/>
                      <w:rPr>
                        <w:rFonts w:ascii="Arial" w:hAnsi="Arial"/>
                        <w:sz w:val="16"/>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F508E"/>
    <w:multiLevelType w:val="hybridMultilevel"/>
    <w:tmpl w:val="5B22A852"/>
    <w:lvl w:ilvl="0" w:tplc="EF10B814">
      <w:start w:val="1"/>
      <w:numFmt w:val="decimal"/>
      <w:lvlText w:val="%1."/>
      <w:lvlJc w:val="left"/>
      <w:pPr>
        <w:ind w:left="643" w:hanging="360"/>
      </w:pPr>
      <w:rPr>
        <w:rFonts w:cs="Times New Roman" w:hint="default"/>
        <w:color w:val="000000"/>
      </w:rPr>
    </w:lvl>
    <w:lvl w:ilvl="1" w:tplc="0C0A0019" w:tentative="1">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1" w15:restartNumberingAfterBreak="0">
    <w:nsid w:val="21B66C65"/>
    <w:multiLevelType w:val="hybridMultilevel"/>
    <w:tmpl w:val="7D0238B6"/>
    <w:lvl w:ilvl="0" w:tplc="64C43A9C">
      <w:start w:val="1"/>
      <w:numFmt w:val="lowerLetter"/>
      <w:lvlText w:val="%1)"/>
      <w:lvlJc w:val="left"/>
      <w:pPr>
        <w:ind w:left="1080" w:hanging="360"/>
      </w:pPr>
      <w:rPr>
        <w:rFonts w:cs="Times New Roman"/>
      </w:rPr>
    </w:lvl>
    <w:lvl w:ilvl="1" w:tplc="0C0A0019">
      <w:start w:val="1"/>
      <w:numFmt w:val="lowerLetter"/>
      <w:lvlText w:val="%2."/>
      <w:lvlJc w:val="left"/>
      <w:pPr>
        <w:ind w:left="1800" w:hanging="360"/>
      </w:pPr>
      <w:rPr>
        <w:rFonts w:cs="Times New Roman"/>
      </w:rPr>
    </w:lvl>
    <w:lvl w:ilvl="2" w:tplc="0C0A001B">
      <w:start w:val="1"/>
      <w:numFmt w:val="lowerRoman"/>
      <w:lvlText w:val="%3."/>
      <w:lvlJc w:val="right"/>
      <w:pPr>
        <w:ind w:left="2520" w:hanging="180"/>
      </w:pPr>
      <w:rPr>
        <w:rFonts w:cs="Times New Roman"/>
      </w:rPr>
    </w:lvl>
    <w:lvl w:ilvl="3" w:tplc="0C0A000F">
      <w:start w:val="1"/>
      <w:numFmt w:val="decimal"/>
      <w:lvlText w:val="%4."/>
      <w:lvlJc w:val="left"/>
      <w:pPr>
        <w:ind w:left="3240" w:hanging="360"/>
      </w:pPr>
      <w:rPr>
        <w:rFonts w:cs="Times New Roman"/>
      </w:rPr>
    </w:lvl>
    <w:lvl w:ilvl="4" w:tplc="0C0A0019">
      <w:start w:val="1"/>
      <w:numFmt w:val="lowerLetter"/>
      <w:lvlText w:val="%5."/>
      <w:lvlJc w:val="left"/>
      <w:pPr>
        <w:ind w:left="3960" w:hanging="360"/>
      </w:pPr>
      <w:rPr>
        <w:rFonts w:cs="Times New Roman"/>
      </w:rPr>
    </w:lvl>
    <w:lvl w:ilvl="5" w:tplc="0C0A001B">
      <w:start w:val="1"/>
      <w:numFmt w:val="lowerRoman"/>
      <w:lvlText w:val="%6."/>
      <w:lvlJc w:val="right"/>
      <w:pPr>
        <w:ind w:left="4680" w:hanging="180"/>
      </w:pPr>
      <w:rPr>
        <w:rFonts w:cs="Times New Roman"/>
      </w:rPr>
    </w:lvl>
    <w:lvl w:ilvl="6" w:tplc="0C0A000F">
      <w:start w:val="1"/>
      <w:numFmt w:val="decimal"/>
      <w:lvlText w:val="%7."/>
      <w:lvlJc w:val="left"/>
      <w:pPr>
        <w:ind w:left="5400" w:hanging="360"/>
      </w:pPr>
      <w:rPr>
        <w:rFonts w:cs="Times New Roman"/>
      </w:rPr>
    </w:lvl>
    <w:lvl w:ilvl="7" w:tplc="0C0A0019">
      <w:start w:val="1"/>
      <w:numFmt w:val="lowerLetter"/>
      <w:lvlText w:val="%8."/>
      <w:lvlJc w:val="left"/>
      <w:pPr>
        <w:ind w:left="6120" w:hanging="360"/>
      </w:pPr>
      <w:rPr>
        <w:rFonts w:cs="Times New Roman"/>
      </w:rPr>
    </w:lvl>
    <w:lvl w:ilvl="8" w:tplc="0C0A001B">
      <w:start w:val="1"/>
      <w:numFmt w:val="lowerRoman"/>
      <w:lvlText w:val="%9."/>
      <w:lvlJc w:val="right"/>
      <w:pPr>
        <w:ind w:left="6840" w:hanging="180"/>
      </w:pPr>
      <w:rPr>
        <w:rFonts w:cs="Times New Roman"/>
      </w:rPr>
    </w:lvl>
  </w:abstractNum>
  <w:abstractNum w:abstractNumId="2" w15:restartNumberingAfterBreak="0">
    <w:nsid w:val="25CE04AE"/>
    <w:multiLevelType w:val="hybridMultilevel"/>
    <w:tmpl w:val="E610B26A"/>
    <w:lvl w:ilvl="0" w:tplc="0C0A0017">
      <w:start w:val="1"/>
      <w:numFmt w:val="lowerLetter"/>
      <w:lvlText w:val="%1)"/>
      <w:lvlJc w:val="left"/>
      <w:pPr>
        <w:ind w:left="720" w:hanging="360"/>
      </w:pPr>
      <w:rPr>
        <w:rFonts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7C20A71"/>
    <w:multiLevelType w:val="hybridMultilevel"/>
    <w:tmpl w:val="B838B2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2CB2868"/>
    <w:multiLevelType w:val="hybridMultilevel"/>
    <w:tmpl w:val="609237D6"/>
    <w:lvl w:ilvl="0" w:tplc="0A720202">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17115B8"/>
    <w:multiLevelType w:val="hybridMultilevel"/>
    <w:tmpl w:val="86EEEF74"/>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6" w15:restartNumberingAfterBreak="0">
    <w:nsid w:val="6CF66AF3"/>
    <w:multiLevelType w:val="hybridMultilevel"/>
    <w:tmpl w:val="F8E88A98"/>
    <w:lvl w:ilvl="0" w:tplc="0C0A000F">
      <w:start w:val="1"/>
      <w:numFmt w:val="decimal"/>
      <w:lvlText w:val="%1."/>
      <w:lvlJc w:val="left"/>
      <w:pPr>
        <w:ind w:left="360" w:hanging="360"/>
      </w:pPr>
      <w:rPr>
        <w:rFonts w:cs="Times New Roman" w:hint="default"/>
      </w:rPr>
    </w:lvl>
    <w:lvl w:ilvl="1" w:tplc="0C0A0019" w:tentative="1">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7" w15:restartNumberingAfterBreak="0">
    <w:nsid w:val="7404092C"/>
    <w:multiLevelType w:val="hybridMultilevel"/>
    <w:tmpl w:val="193C78EE"/>
    <w:lvl w:ilvl="0" w:tplc="C262D54C">
      <w:start w:val="1"/>
      <w:numFmt w:val="lowerLetter"/>
      <w:lvlText w:val="%1)"/>
      <w:lvlJc w:val="left"/>
      <w:pPr>
        <w:ind w:left="720" w:hanging="360"/>
      </w:pPr>
      <w:rPr>
        <w:rFonts w:cs="Times New Roman" w:hint="default"/>
        <w:strike w:val="0"/>
        <w:color w:val="000000" w:themeColor="text1"/>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 w15:restartNumberingAfterBreak="0">
    <w:nsid w:val="757E2D6D"/>
    <w:multiLevelType w:val="hybridMultilevel"/>
    <w:tmpl w:val="D556D2BA"/>
    <w:lvl w:ilvl="0" w:tplc="B9269CA2">
      <w:start w:val="1"/>
      <w:numFmt w:val="lowerLetter"/>
      <w:lvlText w:val="%1)"/>
      <w:lvlJc w:val="left"/>
      <w:pPr>
        <w:ind w:left="720" w:hanging="360"/>
      </w:pPr>
      <w:rPr>
        <w:rFonts w:cs="Times New Roman" w:hint="default"/>
        <w:color w:val="000000" w:themeColor="text1"/>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9" w15:restartNumberingAfterBreak="0">
    <w:nsid w:val="773C152F"/>
    <w:multiLevelType w:val="hybridMultilevel"/>
    <w:tmpl w:val="D5E8BB8A"/>
    <w:lvl w:ilvl="0" w:tplc="0C0A0017">
      <w:start w:val="1"/>
      <w:numFmt w:val="lowerLetter"/>
      <w:lvlText w:val="%1)"/>
      <w:lvlJc w:val="left"/>
      <w:pPr>
        <w:ind w:left="720" w:hanging="360"/>
      </w:pPr>
      <w:rPr>
        <w:rFonts w:cs="Times New Roman" w:hint="default"/>
      </w:rPr>
    </w:lvl>
    <w:lvl w:ilvl="1" w:tplc="040A0019" w:tentative="1">
      <w:start w:val="1"/>
      <w:numFmt w:val="lowerLetter"/>
      <w:lvlText w:val="%2."/>
      <w:lvlJc w:val="left"/>
      <w:pPr>
        <w:tabs>
          <w:tab w:val="num" w:pos="1440"/>
        </w:tabs>
        <w:ind w:left="1440" w:hanging="360"/>
      </w:pPr>
      <w:rPr>
        <w:rFonts w:cs="Times New Roman"/>
      </w:rPr>
    </w:lvl>
    <w:lvl w:ilvl="2" w:tplc="040A001B" w:tentative="1">
      <w:start w:val="1"/>
      <w:numFmt w:val="lowerRoman"/>
      <w:lvlText w:val="%3."/>
      <w:lvlJc w:val="right"/>
      <w:pPr>
        <w:tabs>
          <w:tab w:val="num" w:pos="2160"/>
        </w:tabs>
        <w:ind w:left="2160" w:hanging="180"/>
      </w:pPr>
      <w:rPr>
        <w:rFonts w:cs="Times New Roman"/>
      </w:rPr>
    </w:lvl>
    <w:lvl w:ilvl="3" w:tplc="040A000F" w:tentative="1">
      <w:start w:val="1"/>
      <w:numFmt w:val="decimal"/>
      <w:lvlText w:val="%4."/>
      <w:lvlJc w:val="left"/>
      <w:pPr>
        <w:tabs>
          <w:tab w:val="num" w:pos="2880"/>
        </w:tabs>
        <w:ind w:left="2880" w:hanging="360"/>
      </w:pPr>
      <w:rPr>
        <w:rFonts w:cs="Times New Roman"/>
      </w:rPr>
    </w:lvl>
    <w:lvl w:ilvl="4" w:tplc="040A0019" w:tentative="1">
      <w:start w:val="1"/>
      <w:numFmt w:val="lowerLetter"/>
      <w:lvlText w:val="%5."/>
      <w:lvlJc w:val="left"/>
      <w:pPr>
        <w:tabs>
          <w:tab w:val="num" w:pos="3600"/>
        </w:tabs>
        <w:ind w:left="3600" w:hanging="360"/>
      </w:pPr>
      <w:rPr>
        <w:rFonts w:cs="Times New Roman"/>
      </w:rPr>
    </w:lvl>
    <w:lvl w:ilvl="5" w:tplc="040A001B" w:tentative="1">
      <w:start w:val="1"/>
      <w:numFmt w:val="lowerRoman"/>
      <w:lvlText w:val="%6."/>
      <w:lvlJc w:val="right"/>
      <w:pPr>
        <w:tabs>
          <w:tab w:val="num" w:pos="4320"/>
        </w:tabs>
        <w:ind w:left="4320" w:hanging="180"/>
      </w:pPr>
      <w:rPr>
        <w:rFonts w:cs="Times New Roman"/>
      </w:rPr>
    </w:lvl>
    <w:lvl w:ilvl="6" w:tplc="040A000F" w:tentative="1">
      <w:start w:val="1"/>
      <w:numFmt w:val="decimal"/>
      <w:lvlText w:val="%7."/>
      <w:lvlJc w:val="left"/>
      <w:pPr>
        <w:tabs>
          <w:tab w:val="num" w:pos="5040"/>
        </w:tabs>
        <w:ind w:left="5040" w:hanging="360"/>
      </w:pPr>
      <w:rPr>
        <w:rFonts w:cs="Times New Roman"/>
      </w:rPr>
    </w:lvl>
    <w:lvl w:ilvl="7" w:tplc="040A0019" w:tentative="1">
      <w:start w:val="1"/>
      <w:numFmt w:val="lowerLetter"/>
      <w:lvlText w:val="%8."/>
      <w:lvlJc w:val="left"/>
      <w:pPr>
        <w:tabs>
          <w:tab w:val="num" w:pos="5760"/>
        </w:tabs>
        <w:ind w:left="5760" w:hanging="360"/>
      </w:pPr>
      <w:rPr>
        <w:rFonts w:cs="Times New Roman"/>
      </w:rPr>
    </w:lvl>
    <w:lvl w:ilvl="8" w:tplc="040A001B" w:tentative="1">
      <w:start w:val="1"/>
      <w:numFmt w:val="lowerRoman"/>
      <w:lvlText w:val="%9."/>
      <w:lvlJc w:val="right"/>
      <w:pPr>
        <w:tabs>
          <w:tab w:val="num" w:pos="6480"/>
        </w:tabs>
        <w:ind w:left="6480" w:hanging="180"/>
      </w:pPr>
      <w:rPr>
        <w:rFonts w:cs="Times New Roman"/>
      </w:rPr>
    </w:lvl>
  </w:abstractNum>
  <w:num w:numId="1" w16cid:durableId="922955495">
    <w:abstractNumId w:val="6"/>
  </w:num>
  <w:num w:numId="2" w16cid:durableId="1568103553">
    <w:abstractNumId w:val="0"/>
  </w:num>
  <w:num w:numId="3" w16cid:durableId="1194807296">
    <w:abstractNumId w:val="8"/>
  </w:num>
  <w:num w:numId="4" w16cid:durableId="1256093908">
    <w:abstractNumId w:val="2"/>
  </w:num>
  <w:num w:numId="5" w16cid:durableId="776872936">
    <w:abstractNumId w:val="7"/>
  </w:num>
  <w:num w:numId="6" w16cid:durableId="11119013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030147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44742724">
    <w:abstractNumId w:val="9"/>
  </w:num>
  <w:num w:numId="9" w16cid:durableId="560487127">
    <w:abstractNumId w:val="3"/>
  </w:num>
  <w:num w:numId="10" w16cid:durableId="34931121">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674"/>
    <w:rsid w:val="000011A3"/>
    <w:rsid w:val="000037FA"/>
    <w:rsid w:val="0000631C"/>
    <w:rsid w:val="000069C6"/>
    <w:rsid w:val="00010CFC"/>
    <w:rsid w:val="00011E55"/>
    <w:rsid w:val="00012ADD"/>
    <w:rsid w:val="00013492"/>
    <w:rsid w:val="00014DBD"/>
    <w:rsid w:val="00015FE2"/>
    <w:rsid w:val="00016ACA"/>
    <w:rsid w:val="000172F1"/>
    <w:rsid w:val="0001774E"/>
    <w:rsid w:val="00020655"/>
    <w:rsid w:val="00021837"/>
    <w:rsid w:val="00022AB5"/>
    <w:rsid w:val="00022F2B"/>
    <w:rsid w:val="000230AB"/>
    <w:rsid w:val="00025089"/>
    <w:rsid w:val="0002550D"/>
    <w:rsid w:val="0002569E"/>
    <w:rsid w:val="00027FF6"/>
    <w:rsid w:val="00031538"/>
    <w:rsid w:val="00033C94"/>
    <w:rsid w:val="00033C96"/>
    <w:rsid w:val="000355D4"/>
    <w:rsid w:val="00035BDC"/>
    <w:rsid w:val="00035E16"/>
    <w:rsid w:val="000363D4"/>
    <w:rsid w:val="000371E2"/>
    <w:rsid w:val="000411BA"/>
    <w:rsid w:val="00042434"/>
    <w:rsid w:val="00044711"/>
    <w:rsid w:val="00045536"/>
    <w:rsid w:val="00045FD3"/>
    <w:rsid w:val="00045FF5"/>
    <w:rsid w:val="00046397"/>
    <w:rsid w:val="0004774F"/>
    <w:rsid w:val="00051083"/>
    <w:rsid w:val="000510A0"/>
    <w:rsid w:val="00051B10"/>
    <w:rsid w:val="000529DE"/>
    <w:rsid w:val="00052D86"/>
    <w:rsid w:val="00054467"/>
    <w:rsid w:val="00054DBD"/>
    <w:rsid w:val="00055B17"/>
    <w:rsid w:val="000573DD"/>
    <w:rsid w:val="00057823"/>
    <w:rsid w:val="00057FC9"/>
    <w:rsid w:val="00061283"/>
    <w:rsid w:val="0006193A"/>
    <w:rsid w:val="000620CB"/>
    <w:rsid w:val="00062833"/>
    <w:rsid w:val="00063880"/>
    <w:rsid w:val="00064FDC"/>
    <w:rsid w:val="0006534C"/>
    <w:rsid w:val="00070CD7"/>
    <w:rsid w:val="00070E79"/>
    <w:rsid w:val="00071FA5"/>
    <w:rsid w:val="000726F6"/>
    <w:rsid w:val="0007291D"/>
    <w:rsid w:val="00072BFD"/>
    <w:rsid w:val="000746EC"/>
    <w:rsid w:val="00074C25"/>
    <w:rsid w:val="00075FD0"/>
    <w:rsid w:val="000763EE"/>
    <w:rsid w:val="00076972"/>
    <w:rsid w:val="00076ACB"/>
    <w:rsid w:val="0007747D"/>
    <w:rsid w:val="00077EC9"/>
    <w:rsid w:val="000807FD"/>
    <w:rsid w:val="0008154F"/>
    <w:rsid w:val="00084D59"/>
    <w:rsid w:val="00085168"/>
    <w:rsid w:val="000854B8"/>
    <w:rsid w:val="00086269"/>
    <w:rsid w:val="000869C7"/>
    <w:rsid w:val="00087067"/>
    <w:rsid w:val="000878A4"/>
    <w:rsid w:val="00091613"/>
    <w:rsid w:val="0009218C"/>
    <w:rsid w:val="00094BC7"/>
    <w:rsid w:val="000952E0"/>
    <w:rsid w:val="00096309"/>
    <w:rsid w:val="00096B83"/>
    <w:rsid w:val="000A03DC"/>
    <w:rsid w:val="000A0567"/>
    <w:rsid w:val="000A0958"/>
    <w:rsid w:val="000A13B5"/>
    <w:rsid w:val="000A168B"/>
    <w:rsid w:val="000A2EBA"/>
    <w:rsid w:val="000A3440"/>
    <w:rsid w:val="000A35A5"/>
    <w:rsid w:val="000A3D2E"/>
    <w:rsid w:val="000A4B0B"/>
    <w:rsid w:val="000A5645"/>
    <w:rsid w:val="000A6C39"/>
    <w:rsid w:val="000A6F57"/>
    <w:rsid w:val="000A75A9"/>
    <w:rsid w:val="000A7B9B"/>
    <w:rsid w:val="000B0284"/>
    <w:rsid w:val="000B1651"/>
    <w:rsid w:val="000B273F"/>
    <w:rsid w:val="000B3433"/>
    <w:rsid w:val="000B46E7"/>
    <w:rsid w:val="000B52D6"/>
    <w:rsid w:val="000B5874"/>
    <w:rsid w:val="000B5935"/>
    <w:rsid w:val="000B6B3E"/>
    <w:rsid w:val="000B7294"/>
    <w:rsid w:val="000C14B7"/>
    <w:rsid w:val="000C189B"/>
    <w:rsid w:val="000C18D3"/>
    <w:rsid w:val="000C19FF"/>
    <w:rsid w:val="000C20D0"/>
    <w:rsid w:val="000C3930"/>
    <w:rsid w:val="000C5705"/>
    <w:rsid w:val="000C597D"/>
    <w:rsid w:val="000C5FFC"/>
    <w:rsid w:val="000D0488"/>
    <w:rsid w:val="000D0A0D"/>
    <w:rsid w:val="000D1300"/>
    <w:rsid w:val="000D1DCD"/>
    <w:rsid w:val="000D1E13"/>
    <w:rsid w:val="000D2747"/>
    <w:rsid w:val="000D3BD7"/>
    <w:rsid w:val="000D4022"/>
    <w:rsid w:val="000D4115"/>
    <w:rsid w:val="000D5CDB"/>
    <w:rsid w:val="000D6832"/>
    <w:rsid w:val="000D6E7C"/>
    <w:rsid w:val="000D787B"/>
    <w:rsid w:val="000E0894"/>
    <w:rsid w:val="000E133C"/>
    <w:rsid w:val="000E1BA4"/>
    <w:rsid w:val="000E4147"/>
    <w:rsid w:val="000E4E93"/>
    <w:rsid w:val="000E5449"/>
    <w:rsid w:val="000E5BBE"/>
    <w:rsid w:val="000E69D8"/>
    <w:rsid w:val="000E6C00"/>
    <w:rsid w:val="000F0011"/>
    <w:rsid w:val="000F059C"/>
    <w:rsid w:val="000F0733"/>
    <w:rsid w:val="000F27FE"/>
    <w:rsid w:val="000F40DB"/>
    <w:rsid w:val="000F475D"/>
    <w:rsid w:val="000F6A4D"/>
    <w:rsid w:val="000F73C9"/>
    <w:rsid w:val="000F79A1"/>
    <w:rsid w:val="001001C4"/>
    <w:rsid w:val="00100683"/>
    <w:rsid w:val="00100CD9"/>
    <w:rsid w:val="00102CC2"/>
    <w:rsid w:val="00103241"/>
    <w:rsid w:val="00103694"/>
    <w:rsid w:val="00103FF2"/>
    <w:rsid w:val="001047CF"/>
    <w:rsid w:val="00105054"/>
    <w:rsid w:val="001070B4"/>
    <w:rsid w:val="00107681"/>
    <w:rsid w:val="00107DB1"/>
    <w:rsid w:val="001133E6"/>
    <w:rsid w:val="001134F2"/>
    <w:rsid w:val="00115DEE"/>
    <w:rsid w:val="00117163"/>
    <w:rsid w:val="00117FEF"/>
    <w:rsid w:val="00120FD8"/>
    <w:rsid w:val="001211EC"/>
    <w:rsid w:val="00121AF9"/>
    <w:rsid w:val="001243FC"/>
    <w:rsid w:val="00125320"/>
    <w:rsid w:val="00125B4E"/>
    <w:rsid w:val="00126FF1"/>
    <w:rsid w:val="001274B1"/>
    <w:rsid w:val="00127875"/>
    <w:rsid w:val="00127EC0"/>
    <w:rsid w:val="00130B97"/>
    <w:rsid w:val="001311D4"/>
    <w:rsid w:val="00131894"/>
    <w:rsid w:val="00132940"/>
    <w:rsid w:val="001352BC"/>
    <w:rsid w:val="001364A3"/>
    <w:rsid w:val="00137017"/>
    <w:rsid w:val="00137B4E"/>
    <w:rsid w:val="001401E1"/>
    <w:rsid w:val="001405DD"/>
    <w:rsid w:val="00140ADF"/>
    <w:rsid w:val="00142529"/>
    <w:rsid w:val="00142C13"/>
    <w:rsid w:val="00145AA0"/>
    <w:rsid w:val="00145FE8"/>
    <w:rsid w:val="00146AF0"/>
    <w:rsid w:val="00146C24"/>
    <w:rsid w:val="00146CD2"/>
    <w:rsid w:val="00150E60"/>
    <w:rsid w:val="00151509"/>
    <w:rsid w:val="00152968"/>
    <w:rsid w:val="00152C57"/>
    <w:rsid w:val="00152EE6"/>
    <w:rsid w:val="0015317E"/>
    <w:rsid w:val="00153FA9"/>
    <w:rsid w:val="00154CE2"/>
    <w:rsid w:val="00155AFA"/>
    <w:rsid w:val="00156467"/>
    <w:rsid w:val="00156C46"/>
    <w:rsid w:val="00157D11"/>
    <w:rsid w:val="0016173D"/>
    <w:rsid w:val="00161DD0"/>
    <w:rsid w:val="00161F41"/>
    <w:rsid w:val="0016217B"/>
    <w:rsid w:val="00162B82"/>
    <w:rsid w:val="001657C7"/>
    <w:rsid w:val="00165A27"/>
    <w:rsid w:val="001678CB"/>
    <w:rsid w:val="00167AA8"/>
    <w:rsid w:val="0017137B"/>
    <w:rsid w:val="00172736"/>
    <w:rsid w:val="001740E1"/>
    <w:rsid w:val="001744A4"/>
    <w:rsid w:val="0017601E"/>
    <w:rsid w:val="00176909"/>
    <w:rsid w:val="001811C0"/>
    <w:rsid w:val="00181531"/>
    <w:rsid w:val="001823BD"/>
    <w:rsid w:val="00182633"/>
    <w:rsid w:val="001828B4"/>
    <w:rsid w:val="001858C7"/>
    <w:rsid w:val="001862B9"/>
    <w:rsid w:val="00186FFA"/>
    <w:rsid w:val="0018773E"/>
    <w:rsid w:val="00187EC3"/>
    <w:rsid w:val="00190001"/>
    <w:rsid w:val="0019004D"/>
    <w:rsid w:val="001904A5"/>
    <w:rsid w:val="00190EC2"/>
    <w:rsid w:val="00194676"/>
    <w:rsid w:val="001947CB"/>
    <w:rsid w:val="00195ECD"/>
    <w:rsid w:val="0019656A"/>
    <w:rsid w:val="00196B2D"/>
    <w:rsid w:val="00196EC1"/>
    <w:rsid w:val="001A079C"/>
    <w:rsid w:val="001A13F0"/>
    <w:rsid w:val="001A187D"/>
    <w:rsid w:val="001A1EB7"/>
    <w:rsid w:val="001A31E7"/>
    <w:rsid w:val="001A3C01"/>
    <w:rsid w:val="001A4119"/>
    <w:rsid w:val="001A49A7"/>
    <w:rsid w:val="001A56C1"/>
    <w:rsid w:val="001A6AB1"/>
    <w:rsid w:val="001A7CA6"/>
    <w:rsid w:val="001B16EC"/>
    <w:rsid w:val="001B1B4C"/>
    <w:rsid w:val="001B2531"/>
    <w:rsid w:val="001B275E"/>
    <w:rsid w:val="001B363B"/>
    <w:rsid w:val="001B404B"/>
    <w:rsid w:val="001B4C20"/>
    <w:rsid w:val="001B7514"/>
    <w:rsid w:val="001C1AAE"/>
    <w:rsid w:val="001C331C"/>
    <w:rsid w:val="001C37B6"/>
    <w:rsid w:val="001C4001"/>
    <w:rsid w:val="001C4465"/>
    <w:rsid w:val="001C4EF7"/>
    <w:rsid w:val="001C59C4"/>
    <w:rsid w:val="001C5DA1"/>
    <w:rsid w:val="001C5E77"/>
    <w:rsid w:val="001C702C"/>
    <w:rsid w:val="001C70A1"/>
    <w:rsid w:val="001C7122"/>
    <w:rsid w:val="001C747F"/>
    <w:rsid w:val="001C7F8A"/>
    <w:rsid w:val="001D385F"/>
    <w:rsid w:val="001D4498"/>
    <w:rsid w:val="001D6392"/>
    <w:rsid w:val="001D6BFD"/>
    <w:rsid w:val="001D6D4D"/>
    <w:rsid w:val="001E0FAA"/>
    <w:rsid w:val="001E3039"/>
    <w:rsid w:val="001E33F9"/>
    <w:rsid w:val="001E3AE7"/>
    <w:rsid w:val="001E4AF7"/>
    <w:rsid w:val="001E6551"/>
    <w:rsid w:val="001E66EB"/>
    <w:rsid w:val="001E76E2"/>
    <w:rsid w:val="001E7B64"/>
    <w:rsid w:val="001E7C87"/>
    <w:rsid w:val="001F02DB"/>
    <w:rsid w:val="001F0BC7"/>
    <w:rsid w:val="001F16C3"/>
    <w:rsid w:val="001F1EE6"/>
    <w:rsid w:val="001F37CB"/>
    <w:rsid w:val="001F4285"/>
    <w:rsid w:val="001F4610"/>
    <w:rsid w:val="001F4789"/>
    <w:rsid w:val="001F7CD7"/>
    <w:rsid w:val="002029E0"/>
    <w:rsid w:val="0020373D"/>
    <w:rsid w:val="00203BE3"/>
    <w:rsid w:val="002058FA"/>
    <w:rsid w:val="00205DCE"/>
    <w:rsid w:val="0020780C"/>
    <w:rsid w:val="00210FD8"/>
    <w:rsid w:val="00211C07"/>
    <w:rsid w:val="00212BBA"/>
    <w:rsid w:val="00212C0F"/>
    <w:rsid w:val="00214333"/>
    <w:rsid w:val="00215BFA"/>
    <w:rsid w:val="002166E5"/>
    <w:rsid w:val="002170C8"/>
    <w:rsid w:val="00217F39"/>
    <w:rsid w:val="002200EC"/>
    <w:rsid w:val="00220750"/>
    <w:rsid w:val="0022351E"/>
    <w:rsid w:val="002248FB"/>
    <w:rsid w:val="00225632"/>
    <w:rsid w:val="00227995"/>
    <w:rsid w:val="002301AE"/>
    <w:rsid w:val="00231225"/>
    <w:rsid w:val="002314F3"/>
    <w:rsid w:val="002324B5"/>
    <w:rsid w:val="0023266F"/>
    <w:rsid w:val="00234EBA"/>
    <w:rsid w:val="00235841"/>
    <w:rsid w:val="00235A25"/>
    <w:rsid w:val="00236D19"/>
    <w:rsid w:val="00237DF9"/>
    <w:rsid w:val="002404BE"/>
    <w:rsid w:val="00241012"/>
    <w:rsid w:val="00242724"/>
    <w:rsid w:val="00242DFD"/>
    <w:rsid w:val="00244689"/>
    <w:rsid w:val="002448C4"/>
    <w:rsid w:val="00244962"/>
    <w:rsid w:val="00245519"/>
    <w:rsid w:val="00245700"/>
    <w:rsid w:val="00245A3D"/>
    <w:rsid w:val="00251D5F"/>
    <w:rsid w:val="00251DFE"/>
    <w:rsid w:val="00252212"/>
    <w:rsid w:val="002534AF"/>
    <w:rsid w:val="00253EB7"/>
    <w:rsid w:val="00253F7B"/>
    <w:rsid w:val="00254E42"/>
    <w:rsid w:val="00255A67"/>
    <w:rsid w:val="00256D35"/>
    <w:rsid w:val="00260010"/>
    <w:rsid w:val="0026012A"/>
    <w:rsid w:val="00260225"/>
    <w:rsid w:val="0026060A"/>
    <w:rsid w:val="00261F8C"/>
    <w:rsid w:val="002630A1"/>
    <w:rsid w:val="00263EE1"/>
    <w:rsid w:val="002640FB"/>
    <w:rsid w:val="00265414"/>
    <w:rsid w:val="002667EF"/>
    <w:rsid w:val="0026698F"/>
    <w:rsid w:val="00266B6F"/>
    <w:rsid w:val="00266E57"/>
    <w:rsid w:val="002670A0"/>
    <w:rsid w:val="00270A5D"/>
    <w:rsid w:val="00271789"/>
    <w:rsid w:val="00272DB0"/>
    <w:rsid w:val="00274053"/>
    <w:rsid w:val="00274AE4"/>
    <w:rsid w:val="00275849"/>
    <w:rsid w:val="00277EF0"/>
    <w:rsid w:val="0028114C"/>
    <w:rsid w:val="002831A9"/>
    <w:rsid w:val="0028350E"/>
    <w:rsid w:val="00283B26"/>
    <w:rsid w:val="002840EB"/>
    <w:rsid w:val="0028522E"/>
    <w:rsid w:val="00285F0F"/>
    <w:rsid w:val="002863E7"/>
    <w:rsid w:val="002875E7"/>
    <w:rsid w:val="0028798E"/>
    <w:rsid w:val="00287C1A"/>
    <w:rsid w:val="00290D9F"/>
    <w:rsid w:val="00291CE9"/>
    <w:rsid w:val="002924F6"/>
    <w:rsid w:val="00292D50"/>
    <w:rsid w:val="00294F4C"/>
    <w:rsid w:val="00295E14"/>
    <w:rsid w:val="0029617F"/>
    <w:rsid w:val="00296F9D"/>
    <w:rsid w:val="002970A4"/>
    <w:rsid w:val="0029763A"/>
    <w:rsid w:val="002A0A17"/>
    <w:rsid w:val="002A0A94"/>
    <w:rsid w:val="002A2977"/>
    <w:rsid w:val="002A35B2"/>
    <w:rsid w:val="002A37D7"/>
    <w:rsid w:val="002A4D16"/>
    <w:rsid w:val="002A4DAF"/>
    <w:rsid w:val="002A5258"/>
    <w:rsid w:val="002A5503"/>
    <w:rsid w:val="002A7233"/>
    <w:rsid w:val="002A7853"/>
    <w:rsid w:val="002B0E7B"/>
    <w:rsid w:val="002B1274"/>
    <w:rsid w:val="002B1C97"/>
    <w:rsid w:val="002B1FFA"/>
    <w:rsid w:val="002B2DBB"/>
    <w:rsid w:val="002B2FEF"/>
    <w:rsid w:val="002B30FF"/>
    <w:rsid w:val="002B4B3B"/>
    <w:rsid w:val="002B4C5F"/>
    <w:rsid w:val="002B4D03"/>
    <w:rsid w:val="002B5027"/>
    <w:rsid w:val="002B6E50"/>
    <w:rsid w:val="002B74F0"/>
    <w:rsid w:val="002B7D33"/>
    <w:rsid w:val="002C16D4"/>
    <w:rsid w:val="002C1D26"/>
    <w:rsid w:val="002C4C9F"/>
    <w:rsid w:val="002C590B"/>
    <w:rsid w:val="002C596A"/>
    <w:rsid w:val="002D014F"/>
    <w:rsid w:val="002D2324"/>
    <w:rsid w:val="002D2944"/>
    <w:rsid w:val="002D398D"/>
    <w:rsid w:val="002D3FBA"/>
    <w:rsid w:val="002D5F6E"/>
    <w:rsid w:val="002D60A2"/>
    <w:rsid w:val="002D70FE"/>
    <w:rsid w:val="002D7A55"/>
    <w:rsid w:val="002D7D31"/>
    <w:rsid w:val="002E0725"/>
    <w:rsid w:val="002E07C0"/>
    <w:rsid w:val="002E115C"/>
    <w:rsid w:val="002E18D9"/>
    <w:rsid w:val="002E199A"/>
    <w:rsid w:val="002E1F7D"/>
    <w:rsid w:val="002E2956"/>
    <w:rsid w:val="002E2B30"/>
    <w:rsid w:val="002E2D67"/>
    <w:rsid w:val="002E465C"/>
    <w:rsid w:val="002E46B2"/>
    <w:rsid w:val="002E4AE7"/>
    <w:rsid w:val="002E5171"/>
    <w:rsid w:val="002E564E"/>
    <w:rsid w:val="002E57A5"/>
    <w:rsid w:val="002E64B2"/>
    <w:rsid w:val="002F2C19"/>
    <w:rsid w:val="002F2E30"/>
    <w:rsid w:val="002F4111"/>
    <w:rsid w:val="002F548E"/>
    <w:rsid w:val="002F67B5"/>
    <w:rsid w:val="002F7EFF"/>
    <w:rsid w:val="0030025A"/>
    <w:rsid w:val="00301187"/>
    <w:rsid w:val="003012CE"/>
    <w:rsid w:val="0030142A"/>
    <w:rsid w:val="003033F0"/>
    <w:rsid w:val="0030359B"/>
    <w:rsid w:val="00303D46"/>
    <w:rsid w:val="00304150"/>
    <w:rsid w:val="00304D69"/>
    <w:rsid w:val="00304DE8"/>
    <w:rsid w:val="00305307"/>
    <w:rsid w:val="003057DB"/>
    <w:rsid w:val="00305C99"/>
    <w:rsid w:val="0030777A"/>
    <w:rsid w:val="003101FA"/>
    <w:rsid w:val="003105AE"/>
    <w:rsid w:val="0031330B"/>
    <w:rsid w:val="00313618"/>
    <w:rsid w:val="00313ED4"/>
    <w:rsid w:val="00314160"/>
    <w:rsid w:val="0031424A"/>
    <w:rsid w:val="00316093"/>
    <w:rsid w:val="003173B5"/>
    <w:rsid w:val="003231F8"/>
    <w:rsid w:val="00323A83"/>
    <w:rsid w:val="003240CD"/>
    <w:rsid w:val="00324ED3"/>
    <w:rsid w:val="00327317"/>
    <w:rsid w:val="0033038A"/>
    <w:rsid w:val="003320E7"/>
    <w:rsid w:val="003322D3"/>
    <w:rsid w:val="0033379D"/>
    <w:rsid w:val="00333C6E"/>
    <w:rsid w:val="003344ED"/>
    <w:rsid w:val="00334ED9"/>
    <w:rsid w:val="00335BB3"/>
    <w:rsid w:val="0033610F"/>
    <w:rsid w:val="003364ED"/>
    <w:rsid w:val="00336690"/>
    <w:rsid w:val="00340778"/>
    <w:rsid w:val="00341D71"/>
    <w:rsid w:val="00341F8F"/>
    <w:rsid w:val="00342052"/>
    <w:rsid w:val="0034409B"/>
    <w:rsid w:val="003456A1"/>
    <w:rsid w:val="00346640"/>
    <w:rsid w:val="0034693B"/>
    <w:rsid w:val="0035040C"/>
    <w:rsid w:val="00350462"/>
    <w:rsid w:val="0035052D"/>
    <w:rsid w:val="00350942"/>
    <w:rsid w:val="00350A59"/>
    <w:rsid w:val="00350B03"/>
    <w:rsid w:val="00350DE4"/>
    <w:rsid w:val="003512CE"/>
    <w:rsid w:val="00351962"/>
    <w:rsid w:val="003558C2"/>
    <w:rsid w:val="00356321"/>
    <w:rsid w:val="00357135"/>
    <w:rsid w:val="003572EE"/>
    <w:rsid w:val="00361859"/>
    <w:rsid w:val="003637F3"/>
    <w:rsid w:val="00366888"/>
    <w:rsid w:val="00372611"/>
    <w:rsid w:val="003727A9"/>
    <w:rsid w:val="00372CA5"/>
    <w:rsid w:val="00372CE8"/>
    <w:rsid w:val="00372CFA"/>
    <w:rsid w:val="00373E5F"/>
    <w:rsid w:val="00374F05"/>
    <w:rsid w:val="003750F9"/>
    <w:rsid w:val="00375164"/>
    <w:rsid w:val="003754C8"/>
    <w:rsid w:val="00375E13"/>
    <w:rsid w:val="00376006"/>
    <w:rsid w:val="00376191"/>
    <w:rsid w:val="00376B4D"/>
    <w:rsid w:val="00380DA7"/>
    <w:rsid w:val="00382241"/>
    <w:rsid w:val="003830E4"/>
    <w:rsid w:val="00384B12"/>
    <w:rsid w:val="00385CEF"/>
    <w:rsid w:val="0038700E"/>
    <w:rsid w:val="00387164"/>
    <w:rsid w:val="00387366"/>
    <w:rsid w:val="00387F84"/>
    <w:rsid w:val="00390821"/>
    <w:rsid w:val="00391C55"/>
    <w:rsid w:val="003920D2"/>
    <w:rsid w:val="00396A3D"/>
    <w:rsid w:val="003975EC"/>
    <w:rsid w:val="003977B8"/>
    <w:rsid w:val="00397F92"/>
    <w:rsid w:val="003A043B"/>
    <w:rsid w:val="003A073C"/>
    <w:rsid w:val="003A146C"/>
    <w:rsid w:val="003A258F"/>
    <w:rsid w:val="003A2E2B"/>
    <w:rsid w:val="003A30DC"/>
    <w:rsid w:val="003A3204"/>
    <w:rsid w:val="003A4E0B"/>
    <w:rsid w:val="003A6786"/>
    <w:rsid w:val="003A6B89"/>
    <w:rsid w:val="003A70CB"/>
    <w:rsid w:val="003B01E8"/>
    <w:rsid w:val="003B02C7"/>
    <w:rsid w:val="003B0938"/>
    <w:rsid w:val="003B1482"/>
    <w:rsid w:val="003B3257"/>
    <w:rsid w:val="003B50D2"/>
    <w:rsid w:val="003B5727"/>
    <w:rsid w:val="003B68D7"/>
    <w:rsid w:val="003C024C"/>
    <w:rsid w:val="003C146D"/>
    <w:rsid w:val="003C2716"/>
    <w:rsid w:val="003C2D77"/>
    <w:rsid w:val="003C43FE"/>
    <w:rsid w:val="003C5031"/>
    <w:rsid w:val="003C5753"/>
    <w:rsid w:val="003C583D"/>
    <w:rsid w:val="003C5E04"/>
    <w:rsid w:val="003C624F"/>
    <w:rsid w:val="003C690E"/>
    <w:rsid w:val="003C73DD"/>
    <w:rsid w:val="003C76D0"/>
    <w:rsid w:val="003D089E"/>
    <w:rsid w:val="003D0D2C"/>
    <w:rsid w:val="003D244A"/>
    <w:rsid w:val="003D32B2"/>
    <w:rsid w:val="003D32E2"/>
    <w:rsid w:val="003D3640"/>
    <w:rsid w:val="003D5187"/>
    <w:rsid w:val="003D52B2"/>
    <w:rsid w:val="003D63A9"/>
    <w:rsid w:val="003D6946"/>
    <w:rsid w:val="003D7F18"/>
    <w:rsid w:val="003E0460"/>
    <w:rsid w:val="003E059A"/>
    <w:rsid w:val="003E0607"/>
    <w:rsid w:val="003E2585"/>
    <w:rsid w:val="003E40A9"/>
    <w:rsid w:val="003E446F"/>
    <w:rsid w:val="003E45C4"/>
    <w:rsid w:val="003E51F4"/>
    <w:rsid w:val="003F188D"/>
    <w:rsid w:val="003F2724"/>
    <w:rsid w:val="003F3644"/>
    <w:rsid w:val="003F3B06"/>
    <w:rsid w:val="003F3E99"/>
    <w:rsid w:val="003F518E"/>
    <w:rsid w:val="003F532F"/>
    <w:rsid w:val="003F543E"/>
    <w:rsid w:val="003F57A5"/>
    <w:rsid w:val="003F6B9A"/>
    <w:rsid w:val="003F6B9B"/>
    <w:rsid w:val="003F72F4"/>
    <w:rsid w:val="004001B7"/>
    <w:rsid w:val="0040076B"/>
    <w:rsid w:val="00401D06"/>
    <w:rsid w:val="00402E57"/>
    <w:rsid w:val="00403B51"/>
    <w:rsid w:val="0040541C"/>
    <w:rsid w:val="00406F55"/>
    <w:rsid w:val="004070B2"/>
    <w:rsid w:val="004113B1"/>
    <w:rsid w:val="00411980"/>
    <w:rsid w:val="00414297"/>
    <w:rsid w:val="00414757"/>
    <w:rsid w:val="00414DCC"/>
    <w:rsid w:val="00415842"/>
    <w:rsid w:val="00416151"/>
    <w:rsid w:val="00416830"/>
    <w:rsid w:val="0041697C"/>
    <w:rsid w:val="0041707C"/>
    <w:rsid w:val="00417173"/>
    <w:rsid w:val="00420277"/>
    <w:rsid w:val="004206D6"/>
    <w:rsid w:val="004211D2"/>
    <w:rsid w:val="00421390"/>
    <w:rsid w:val="004221C8"/>
    <w:rsid w:val="00423485"/>
    <w:rsid w:val="0042391F"/>
    <w:rsid w:val="004239C1"/>
    <w:rsid w:val="00424EEA"/>
    <w:rsid w:val="004254D6"/>
    <w:rsid w:val="0042582D"/>
    <w:rsid w:val="004308C9"/>
    <w:rsid w:val="00432088"/>
    <w:rsid w:val="00432293"/>
    <w:rsid w:val="0043235B"/>
    <w:rsid w:val="00433B32"/>
    <w:rsid w:val="00435D02"/>
    <w:rsid w:val="00437A35"/>
    <w:rsid w:val="00437E3D"/>
    <w:rsid w:val="004401CF"/>
    <w:rsid w:val="00440B1F"/>
    <w:rsid w:val="00441553"/>
    <w:rsid w:val="00442473"/>
    <w:rsid w:val="00442D36"/>
    <w:rsid w:val="00444BBC"/>
    <w:rsid w:val="0044642D"/>
    <w:rsid w:val="004466B1"/>
    <w:rsid w:val="00450181"/>
    <w:rsid w:val="0045088E"/>
    <w:rsid w:val="0045099C"/>
    <w:rsid w:val="00451786"/>
    <w:rsid w:val="00452C41"/>
    <w:rsid w:val="004553E3"/>
    <w:rsid w:val="0045572F"/>
    <w:rsid w:val="00455F24"/>
    <w:rsid w:val="0046059C"/>
    <w:rsid w:val="00460ACC"/>
    <w:rsid w:val="00461DD5"/>
    <w:rsid w:val="00462D09"/>
    <w:rsid w:val="00462F17"/>
    <w:rsid w:val="00463892"/>
    <w:rsid w:val="00464440"/>
    <w:rsid w:val="00464E78"/>
    <w:rsid w:val="004656C8"/>
    <w:rsid w:val="00466C5C"/>
    <w:rsid w:val="00467698"/>
    <w:rsid w:val="0046797D"/>
    <w:rsid w:val="00467C8C"/>
    <w:rsid w:val="00470B34"/>
    <w:rsid w:val="00470C9E"/>
    <w:rsid w:val="0047139D"/>
    <w:rsid w:val="0047156B"/>
    <w:rsid w:val="00471A84"/>
    <w:rsid w:val="00472084"/>
    <w:rsid w:val="00472FB3"/>
    <w:rsid w:val="004766DA"/>
    <w:rsid w:val="004808F6"/>
    <w:rsid w:val="0048129B"/>
    <w:rsid w:val="0048373F"/>
    <w:rsid w:val="00484510"/>
    <w:rsid w:val="00484884"/>
    <w:rsid w:val="004853E7"/>
    <w:rsid w:val="00485E62"/>
    <w:rsid w:val="00485EE8"/>
    <w:rsid w:val="00485FAB"/>
    <w:rsid w:val="00486467"/>
    <w:rsid w:val="0049022A"/>
    <w:rsid w:val="00490DE8"/>
    <w:rsid w:val="00491EA2"/>
    <w:rsid w:val="004929C9"/>
    <w:rsid w:val="0049307D"/>
    <w:rsid w:val="00494C43"/>
    <w:rsid w:val="004966C1"/>
    <w:rsid w:val="004A0E0D"/>
    <w:rsid w:val="004A108A"/>
    <w:rsid w:val="004A130C"/>
    <w:rsid w:val="004A1FB1"/>
    <w:rsid w:val="004A28DF"/>
    <w:rsid w:val="004A2986"/>
    <w:rsid w:val="004A3548"/>
    <w:rsid w:val="004A3AB9"/>
    <w:rsid w:val="004A4705"/>
    <w:rsid w:val="004A6D9C"/>
    <w:rsid w:val="004A7597"/>
    <w:rsid w:val="004B0042"/>
    <w:rsid w:val="004B136F"/>
    <w:rsid w:val="004B15D3"/>
    <w:rsid w:val="004B192D"/>
    <w:rsid w:val="004B1B3A"/>
    <w:rsid w:val="004B2DB1"/>
    <w:rsid w:val="004B3C29"/>
    <w:rsid w:val="004B422D"/>
    <w:rsid w:val="004B44D6"/>
    <w:rsid w:val="004B46E7"/>
    <w:rsid w:val="004B75AC"/>
    <w:rsid w:val="004C0F3E"/>
    <w:rsid w:val="004C20AF"/>
    <w:rsid w:val="004C2B76"/>
    <w:rsid w:val="004C2F9D"/>
    <w:rsid w:val="004C4793"/>
    <w:rsid w:val="004C4D64"/>
    <w:rsid w:val="004C61F9"/>
    <w:rsid w:val="004C621A"/>
    <w:rsid w:val="004C710C"/>
    <w:rsid w:val="004D0C59"/>
    <w:rsid w:val="004D1E9C"/>
    <w:rsid w:val="004D39D6"/>
    <w:rsid w:val="004D51A1"/>
    <w:rsid w:val="004D6118"/>
    <w:rsid w:val="004D653A"/>
    <w:rsid w:val="004D6A5C"/>
    <w:rsid w:val="004D6FE9"/>
    <w:rsid w:val="004D7324"/>
    <w:rsid w:val="004E0370"/>
    <w:rsid w:val="004E0407"/>
    <w:rsid w:val="004E06E4"/>
    <w:rsid w:val="004E0AF2"/>
    <w:rsid w:val="004E0DAC"/>
    <w:rsid w:val="004E305C"/>
    <w:rsid w:val="004E3649"/>
    <w:rsid w:val="004E5510"/>
    <w:rsid w:val="004E624C"/>
    <w:rsid w:val="004E6DE9"/>
    <w:rsid w:val="004F08A2"/>
    <w:rsid w:val="004F0B74"/>
    <w:rsid w:val="004F0E04"/>
    <w:rsid w:val="004F1B9B"/>
    <w:rsid w:val="004F39BC"/>
    <w:rsid w:val="004F424A"/>
    <w:rsid w:val="004F4374"/>
    <w:rsid w:val="004F5A4A"/>
    <w:rsid w:val="004F5D4B"/>
    <w:rsid w:val="004F7811"/>
    <w:rsid w:val="00500755"/>
    <w:rsid w:val="00501482"/>
    <w:rsid w:val="005017D8"/>
    <w:rsid w:val="0050239C"/>
    <w:rsid w:val="00503FAD"/>
    <w:rsid w:val="00506621"/>
    <w:rsid w:val="005077C0"/>
    <w:rsid w:val="005116E7"/>
    <w:rsid w:val="00511E8E"/>
    <w:rsid w:val="005122FB"/>
    <w:rsid w:val="00512962"/>
    <w:rsid w:val="005133F3"/>
    <w:rsid w:val="00513822"/>
    <w:rsid w:val="005139D3"/>
    <w:rsid w:val="00513A11"/>
    <w:rsid w:val="00513E1B"/>
    <w:rsid w:val="00514436"/>
    <w:rsid w:val="0051481C"/>
    <w:rsid w:val="00514CEC"/>
    <w:rsid w:val="005151A1"/>
    <w:rsid w:val="0051693C"/>
    <w:rsid w:val="00516A0B"/>
    <w:rsid w:val="00517B03"/>
    <w:rsid w:val="005211E4"/>
    <w:rsid w:val="00521334"/>
    <w:rsid w:val="00521892"/>
    <w:rsid w:val="00521EC5"/>
    <w:rsid w:val="0052204C"/>
    <w:rsid w:val="00522358"/>
    <w:rsid w:val="0052309B"/>
    <w:rsid w:val="0052494E"/>
    <w:rsid w:val="005255D7"/>
    <w:rsid w:val="00526611"/>
    <w:rsid w:val="00527123"/>
    <w:rsid w:val="0052732F"/>
    <w:rsid w:val="0053024B"/>
    <w:rsid w:val="005303D5"/>
    <w:rsid w:val="00530A49"/>
    <w:rsid w:val="00530D59"/>
    <w:rsid w:val="005328C3"/>
    <w:rsid w:val="0053396F"/>
    <w:rsid w:val="00534281"/>
    <w:rsid w:val="005346A2"/>
    <w:rsid w:val="005350AB"/>
    <w:rsid w:val="00535772"/>
    <w:rsid w:val="00536436"/>
    <w:rsid w:val="00536519"/>
    <w:rsid w:val="0053729C"/>
    <w:rsid w:val="00537849"/>
    <w:rsid w:val="00537A09"/>
    <w:rsid w:val="00537C8E"/>
    <w:rsid w:val="005415A9"/>
    <w:rsid w:val="00542746"/>
    <w:rsid w:val="00542E98"/>
    <w:rsid w:val="00547B25"/>
    <w:rsid w:val="005504CD"/>
    <w:rsid w:val="00550969"/>
    <w:rsid w:val="0055122D"/>
    <w:rsid w:val="00552127"/>
    <w:rsid w:val="00552C02"/>
    <w:rsid w:val="0055317C"/>
    <w:rsid w:val="00553201"/>
    <w:rsid w:val="00553E34"/>
    <w:rsid w:val="005540E2"/>
    <w:rsid w:val="0055418D"/>
    <w:rsid w:val="00554561"/>
    <w:rsid w:val="0055502A"/>
    <w:rsid w:val="00555313"/>
    <w:rsid w:val="00555CDD"/>
    <w:rsid w:val="005560C1"/>
    <w:rsid w:val="00561ADF"/>
    <w:rsid w:val="005621C1"/>
    <w:rsid w:val="00562B51"/>
    <w:rsid w:val="00564C82"/>
    <w:rsid w:val="005650F4"/>
    <w:rsid w:val="00566E26"/>
    <w:rsid w:val="00567369"/>
    <w:rsid w:val="00570098"/>
    <w:rsid w:val="005709D4"/>
    <w:rsid w:val="00571E31"/>
    <w:rsid w:val="00573F84"/>
    <w:rsid w:val="005741BF"/>
    <w:rsid w:val="00575400"/>
    <w:rsid w:val="00580DAF"/>
    <w:rsid w:val="005811C0"/>
    <w:rsid w:val="0058126C"/>
    <w:rsid w:val="00581557"/>
    <w:rsid w:val="00584373"/>
    <w:rsid w:val="00584784"/>
    <w:rsid w:val="00584B40"/>
    <w:rsid w:val="005858BC"/>
    <w:rsid w:val="0058795B"/>
    <w:rsid w:val="00590492"/>
    <w:rsid w:val="00590CBA"/>
    <w:rsid w:val="005916CF"/>
    <w:rsid w:val="00591E12"/>
    <w:rsid w:val="00594895"/>
    <w:rsid w:val="00594DF5"/>
    <w:rsid w:val="00596C5F"/>
    <w:rsid w:val="005971CA"/>
    <w:rsid w:val="005971E1"/>
    <w:rsid w:val="00597266"/>
    <w:rsid w:val="005A1EC5"/>
    <w:rsid w:val="005A2AF1"/>
    <w:rsid w:val="005A3EB3"/>
    <w:rsid w:val="005A546A"/>
    <w:rsid w:val="005A6C96"/>
    <w:rsid w:val="005A70D2"/>
    <w:rsid w:val="005A7294"/>
    <w:rsid w:val="005A7C27"/>
    <w:rsid w:val="005B1F7E"/>
    <w:rsid w:val="005B36E9"/>
    <w:rsid w:val="005B5230"/>
    <w:rsid w:val="005B6657"/>
    <w:rsid w:val="005B6680"/>
    <w:rsid w:val="005B67F1"/>
    <w:rsid w:val="005C2330"/>
    <w:rsid w:val="005C2838"/>
    <w:rsid w:val="005C3AF8"/>
    <w:rsid w:val="005C3F7B"/>
    <w:rsid w:val="005C4025"/>
    <w:rsid w:val="005C4605"/>
    <w:rsid w:val="005C49D2"/>
    <w:rsid w:val="005C5D5C"/>
    <w:rsid w:val="005C67CD"/>
    <w:rsid w:val="005C6F50"/>
    <w:rsid w:val="005C7009"/>
    <w:rsid w:val="005D032C"/>
    <w:rsid w:val="005D058B"/>
    <w:rsid w:val="005D0E81"/>
    <w:rsid w:val="005D1024"/>
    <w:rsid w:val="005D32EF"/>
    <w:rsid w:val="005D470F"/>
    <w:rsid w:val="005D4B34"/>
    <w:rsid w:val="005D5547"/>
    <w:rsid w:val="005D648C"/>
    <w:rsid w:val="005E01EB"/>
    <w:rsid w:val="005E0736"/>
    <w:rsid w:val="005E085E"/>
    <w:rsid w:val="005E25FD"/>
    <w:rsid w:val="005E310E"/>
    <w:rsid w:val="005E3268"/>
    <w:rsid w:val="005E3711"/>
    <w:rsid w:val="005E449F"/>
    <w:rsid w:val="005E4674"/>
    <w:rsid w:val="005E53B0"/>
    <w:rsid w:val="005E7DAA"/>
    <w:rsid w:val="005F0C8A"/>
    <w:rsid w:val="005F27CE"/>
    <w:rsid w:val="005F2EAC"/>
    <w:rsid w:val="005F36B4"/>
    <w:rsid w:val="005F51F2"/>
    <w:rsid w:val="005F5421"/>
    <w:rsid w:val="005F5C51"/>
    <w:rsid w:val="005F5D5A"/>
    <w:rsid w:val="006000B9"/>
    <w:rsid w:val="0060031D"/>
    <w:rsid w:val="00601424"/>
    <w:rsid w:val="00603012"/>
    <w:rsid w:val="006040A2"/>
    <w:rsid w:val="0060499B"/>
    <w:rsid w:val="006058B1"/>
    <w:rsid w:val="006060A3"/>
    <w:rsid w:val="006110E5"/>
    <w:rsid w:val="00613303"/>
    <w:rsid w:val="006133F6"/>
    <w:rsid w:val="00613AFD"/>
    <w:rsid w:val="006155EF"/>
    <w:rsid w:val="00615E04"/>
    <w:rsid w:val="00616690"/>
    <w:rsid w:val="0061713C"/>
    <w:rsid w:val="00620D99"/>
    <w:rsid w:val="006216DA"/>
    <w:rsid w:val="006229A9"/>
    <w:rsid w:val="00622A4D"/>
    <w:rsid w:val="0062337B"/>
    <w:rsid w:val="00625749"/>
    <w:rsid w:val="0062668F"/>
    <w:rsid w:val="00626CAA"/>
    <w:rsid w:val="006273BA"/>
    <w:rsid w:val="00627C55"/>
    <w:rsid w:val="00630750"/>
    <w:rsid w:val="0063095E"/>
    <w:rsid w:val="00631ABD"/>
    <w:rsid w:val="006321B6"/>
    <w:rsid w:val="006326BA"/>
    <w:rsid w:val="00634A2F"/>
    <w:rsid w:val="00634A6C"/>
    <w:rsid w:val="006362F5"/>
    <w:rsid w:val="006371A0"/>
    <w:rsid w:val="00640C13"/>
    <w:rsid w:val="00640D8D"/>
    <w:rsid w:val="00642389"/>
    <w:rsid w:val="006427E4"/>
    <w:rsid w:val="00644631"/>
    <w:rsid w:val="0065082D"/>
    <w:rsid w:val="006520A6"/>
    <w:rsid w:val="00652259"/>
    <w:rsid w:val="00652BE8"/>
    <w:rsid w:val="00653A0E"/>
    <w:rsid w:val="00653ADC"/>
    <w:rsid w:val="006543E8"/>
    <w:rsid w:val="0065506E"/>
    <w:rsid w:val="0065684D"/>
    <w:rsid w:val="00660255"/>
    <w:rsid w:val="00661DA8"/>
    <w:rsid w:val="0066236B"/>
    <w:rsid w:val="00662B10"/>
    <w:rsid w:val="006648EB"/>
    <w:rsid w:val="006653B9"/>
    <w:rsid w:val="00666ECC"/>
    <w:rsid w:val="00667406"/>
    <w:rsid w:val="00667558"/>
    <w:rsid w:val="00667AAE"/>
    <w:rsid w:val="006703A8"/>
    <w:rsid w:val="00671E1A"/>
    <w:rsid w:val="00672895"/>
    <w:rsid w:val="00672C16"/>
    <w:rsid w:val="0067331B"/>
    <w:rsid w:val="00674C29"/>
    <w:rsid w:val="00675060"/>
    <w:rsid w:val="00675E0D"/>
    <w:rsid w:val="0067691D"/>
    <w:rsid w:val="006779A4"/>
    <w:rsid w:val="006779BE"/>
    <w:rsid w:val="00680727"/>
    <w:rsid w:val="006814AE"/>
    <w:rsid w:val="0068155A"/>
    <w:rsid w:val="00682213"/>
    <w:rsid w:val="0068346A"/>
    <w:rsid w:val="006845E9"/>
    <w:rsid w:val="00684C2C"/>
    <w:rsid w:val="0068633E"/>
    <w:rsid w:val="006871CA"/>
    <w:rsid w:val="00690E18"/>
    <w:rsid w:val="00691957"/>
    <w:rsid w:val="006954BF"/>
    <w:rsid w:val="00695AA2"/>
    <w:rsid w:val="00696826"/>
    <w:rsid w:val="00696F2A"/>
    <w:rsid w:val="00697266"/>
    <w:rsid w:val="006A03E3"/>
    <w:rsid w:val="006A0710"/>
    <w:rsid w:val="006A0C5B"/>
    <w:rsid w:val="006A2539"/>
    <w:rsid w:val="006A3382"/>
    <w:rsid w:val="006A378B"/>
    <w:rsid w:val="006A46E8"/>
    <w:rsid w:val="006A5382"/>
    <w:rsid w:val="006A6ACD"/>
    <w:rsid w:val="006A6CCD"/>
    <w:rsid w:val="006A6D86"/>
    <w:rsid w:val="006A710C"/>
    <w:rsid w:val="006B05BB"/>
    <w:rsid w:val="006B066C"/>
    <w:rsid w:val="006B1011"/>
    <w:rsid w:val="006B2670"/>
    <w:rsid w:val="006B3B20"/>
    <w:rsid w:val="006B4814"/>
    <w:rsid w:val="006B4AC6"/>
    <w:rsid w:val="006B53D9"/>
    <w:rsid w:val="006B592E"/>
    <w:rsid w:val="006C088D"/>
    <w:rsid w:val="006C0906"/>
    <w:rsid w:val="006C2F0A"/>
    <w:rsid w:val="006C2FBE"/>
    <w:rsid w:val="006C3012"/>
    <w:rsid w:val="006C7522"/>
    <w:rsid w:val="006C7DEC"/>
    <w:rsid w:val="006C7E83"/>
    <w:rsid w:val="006D05B1"/>
    <w:rsid w:val="006D07A6"/>
    <w:rsid w:val="006D136E"/>
    <w:rsid w:val="006D38CE"/>
    <w:rsid w:val="006D3B09"/>
    <w:rsid w:val="006D4F43"/>
    <w:rsid w:val="006D7393"/>
    <w:rsid w:val="006E0CCC"/>
    <w:rsid w:val="006E15E3"/>
    <w:rsid w:val="006E17BA"/>
    <w:rsid w:val="006E266C"/>
    <w:rsid w:val="006E537C"/>
    <w:rsid w:val="006E5A86"/>
    <w:rsid w:val="006F1605"/>
    <w:rsid w:val="006F1DD6"/>
    <w:rsid w:val="006F23A0"/>
    <w:rsid w:val="006F2443"/>
    <w:rsid w:val="006F2771"/>
    <w:rsid w:val="006F28C0"/>
    <w:rsid w:val="006F47D4"/>
    <w:rsid w:val="006F4F32"/>
    <w:rsid w:val="006F567C"/>
    <w:rsid w:val="006F65BF"/>
    <w:rsid w:val="006F761D"/>
    <w:rsid w:val="00701C4D"/>
    <w:rsid w:val="00703707"/>
    <w:rsid w:val="00704701"/>
    <w:rsid w:val="00705AF9"/>
    <w:rsid w:val="007078E8"/>
    <w:rsid w:val="00710436"/>
    <w:rsid w:val="00711C13"/>
    <w:rsid w:val="00714E58"/>
    <w:rsid w:val="00717673"/>
    <w:rsid w:val="00717869"/>
    <w:rsid w:val="007204AA"/>
    <w:rsid w:val="007217B5"/>
    <w:rsid w:val="0072180C"/>
    <w:rsid w:val="00722D7F"/>
    <w:rsid w:val="0072328A"/>
    <w:rsid w:val="00723758"/>
    <w:rsid w:val="00724F75"/>
    <w:rsid w:val="007269FE"/>
    <w:rsid w:val="00726F7C"/>
    <w:rsid w:val="0072733E"/>
    <w:rsid w:val="007273CB"/>
    <w:rsid w:val="00727702"/>
    <w:rsid w:val="00727754"/>
    <w:rsid w:val="00727958"/>
    <w:rsid w:val="00727F7E"/>
    <w:rsid w:val="00730790"/>
    <w:rsid w:val="007309BD"/>
    <w:rsid w:val="00732ACB"/>
    <w:rsid w:val="0073514E"/>
    <w:rsid w:val="0073613F"/>
    <w:rsid w:val="0074026E"/>
    <w:rsid w:val="007433DC"/>
    <w:rsid w:val="007440AE"/>
    <w:rsid w:val="007447C2"/>
    <w:rsid w:val="00744A56"/>
    <w:rsid w:val="00744FFE"/>
    <w:rsid w:val="00745E0C"/>
    <w:rsid w:val="007470D9"/>
    <w:rsid w:val="007479CE"/>
    <w:rsid w:val="00750C24"/>
    <w:rsid w:val="00751A92"/>
    <w:rsid w:val="007527EB"/>
    <w:rsid w:val="00752C5A"/>
    <w:rsid w:val="00752CEF"/>
    <w:rsid w:val="00753E0F"/>
    <w:rsid w:val="00754203"/>
    <w:rsid w:val="00754579"/>
    <w:rsid w:val="00755DA2"/>
    <w:rsid w:val="007571F0"/>
    <w:rsid w:val="00760DEA"/>
    <w:rsid w:val="00762A65"/>
    <w:rsid w:val="00762B77"/>
    <w:rsid w:val="00762FB7"/>
    <w:rsid w:val="007630C6"/>
    <w:rsid w:val="007638B8"/>
    <w:rsid w:val="007646CF"/>
    <w:rsid w:val="007649DE"/>
    <w:rsid w:val="00764A86"/>
    <w:rsid w:val="0076574D"/>
    <w:rsid w:val="00765FDF"/>
    <w:rsid w:val="00767BE3"/>
    <w:rsid w:val="00767F8C"/>
    <w:rsid w:val="00770B25"/>
    <w:rsid w:val="00770C97"/>
    <w:rsid w:val="007732F2"/>
    <w:rsid w:val="007744DD"/>
    <w:rsid w:val="007747F4"/>
    <w:rsid w:val="00774841"/>
    <w:rsid w:val="00774CD8"/>
    <w:rsid w:val="007766E1"/>
    <w:rsid w:val="00776CD9"/>
    <w:rsid w:val="007802D1"/>
    <w:rsid w:val="007810B9"/>
    <w:rsid w:val="00781305"/>
    <w:rsid w:val="007816FD"/>
    <w:rsid w:val="00782DA4"/>
    <w:rsid w:val="00782EE9"/>
    <w:rsid w:val="00783AF0"/>
    <w:rsid w:val="00783F66"/>
    <w:rsid w:val="007844D9"/>
    <w:rsid w:val="00784ECA"/>
    <w:rsid w:val="00785993"/>
    <w:rsid w:val="00786211"/>
    <w:rsid w:val="00786428"/>
    <w:rsid w:val="00786CDB"/>
    <w:rsid w:val="00786EEE"/>
    <w:rsid w:val="0079089C"/>
    <w:rsid w:val="00794235"/>
    <w:rsid w:val="00794936"/>
    <w:rsid w:val="007960A5"/>
    <w:rsid w:val="0079652F"/>
    <w:rsid w:val="00796F61"/>
    <w:rsid w:val="0079708B"/>
    <w:rsid w:val="007A01D6"/>
    <w:rsid w:val="007A1687"/>
    <w:rsid w:val="007A1F21"/>
    <w:rsid w:val="007A2AAE"/>
    <w:rsid w:val="007A2B77"/>
    <w:rsid w:val="007A4BF4"/>
    <w:rsid w:val="007A53F3"/>
    <w:rsid w:val="007A595C"/>
    <w:rsid w:val="007A66C3"/>
    <w:rsid w:val="007A67AE"/>
    <w:rsid w:val="007B0C9B"/>
    <w:rsid w:val="007B0F19"/>
    <w:rsid w:val="007B193D"/>
    <w:rsid w:val="007B1C56"/>
    <w:rsid w:val="007B4DFC"/>
    <w:rsid w:val="007B514A"/>
    <w:rsid w:val="007B5673"/>
    <w:rsid w:val="007B5A83"/>
    <w:rsid w:val="007B6E98"/>
    <w:rsid w:val="007B7F10"/>
    <w:rsid w:val="007C0467"/>
    <w:rsid w:val="007C2131"/>
    <w:rsid w:val="007C2616"/>
    <w:rsid w:val="007C2D0A"/>
    <w:rsid w:val="007C3963"/>
    <w:rsid w:val="007C428D"/>
    <w:rsid w:val="007C484F"/>
    <w:rsid w:val="007C48D5"/>
    <w:rsid w:val="007C4A7D"/>
    <w:rsid w:val="007C5814"/>
    <w:rsid w:val="007C5B92"/>
    <w:rsid w:val="007C6B02"/>
    <w:rsid w:val="007C7870"/>
    <w:rsid w:val="007D193A"/>
    <w:rsid w:val="007D3800"/>
    <w:rsid w:val="007D534A"/>
    <w:rsid w:val="007D665D"/>
    <w:rsid w:val="007D6DFF"/>
    <w:rsid w:val="007D762C"/>
    <w:rsid w:val="007D7EC7"/>
    <w:rsid w:val="007E0CA7"/>
    <w:rsid w:val="007E1272"/>
    <w:rsid w:val="007E1A9A"/>
    <w:rsid w:val="007E233E"/>
    <w:rsid w:val="007E2F43"/>
    <w:rsid w:val="007E4344"/>
    <w:rsid w:val="007E4F13"/>
    <w:rsid w:val="007E4F61"/>
    <w:rsid w:val="007E5B77"/>
    <w:rsid w:val="007E5E40"/>
    <w:rsid w:val="007E5F96"/>
    <w:rsid w:val="007E790E"/>
    <w:rsid w:val="007F0CF4"/>
    <w:rsid w:val="007F22C7"/>
    <w:rsid w:val="007F4116"/>
    <w:rsid w:val="007F5CE5"/>
    <w:rsid w:val="007F6097"/>
    <w:rsid w:val="007F76E3"/>
    <w:rsid w:val="007F7C05"/>
    <w:rsid w:val="00800495"/>
    <w:rsid w:val="00800604"/>
    <w:rsid w:val="00800E74"/>
    <w:rsid w:val="00801F4B"/>
    <w:rsid w:val="0080236E"/>
    <w:rsid w:val="008024B5"/>
    <w:rsid w:val="00802766"/>
    <w:rsid w:val="00802A64"/>
    <w:rsid w:val="0080326E"/>
    <w:rsid w:val="0080515A"/>
    <w:rsid w:val="00805945"/>
    <w:rsid w:val="00806460"/>
    <w:rsid w:val="0080779F"/>
    <w:rsid w:val="008106B6"/>
    <w:rsid w:val="00810E1C"/>
    <w:rsid w:val="00811C45"/>
    <w:rsid w:val="008136F8"/>
    <w:rsid w:val="00813F0B"/>
    <w:rsid w:val="008147DD"/>
    <w:rsid w:val="00814864"/>
    <w:rsid w:val="00814BBC"/>
    <w:rsid w:val="00814D34"/>
    <w:rsid w:val="00815250"/>
    <w:rsid w:val="0081564C"/>
    <w:rsid w:val="00816E10"/>
    <w:rsid w:val="0081734E"/>
    <w:rsid w:val="00820618"/>
    <w:rsid w:val="00820FE9"/>
    <w:rsid w:val="008212B3"/>
    <w:rsid w:val="008216FE"/>
    <w:rsid w:val="00822C4E"/>
    <w:rsid w:val="00822EA7"/>
    <w:rsid w:val="0082347B"/>
    <w:rsid w:val="00823A9C"/>
    <w:rsid w:val="008242F1"/>
    <w:rsid w:val="008246A2"/>
    <w:rsid w:val="00824861"/>
    <w:rsid w:val="00826362"/>
    <w:rsid w:val="008271F5"/>
    <w:rsid w:val="00830ADE"/>
    <w:rsid w:val="00830B5F"/>
    <w:rsid w:val="008310B4"/>
    <w:rsid w:val="00831E59"/>
    <w:rsid w:val="008321B7"/>
    <w:rsid w:val="008325F8"/>
    <w:rsid w:val="0083342B"/>
    <w:rsid w:val="00834EFD"/>
    <w:rsid w:val="00836433"/>
    <w:rsid w:val="00836DCB"/>
    <w:rsid w:val="00836FF5"/>
    <w:rsid w:val="00837655"/>
    <w:rsid w:val="00837E01"/>
    <w:rsid w:val="00840485"/>
    <w:rsid w:val="00840E82"/>
    <w:rsid w:val="008426AE"/>
    <w:rsid w:val="00845318"/>
    <w:rsid w:val="0084728F"/>
    <w:rsid w:val="00847C63"/>
    <w:rsid w:val="00851725"/>
    <w:rsid w:val="00852FC9"/>
    <w:rsid w:val="0085392F"/>
    <w:rsid w:val="0085458C"/>
    <w:rsid w:val="00854DF2"/>
    <w:rsid w:val="00854FD2"/>
    <w:rsid w:val="00855628"/>
    <w:rsid w:val="00857E08"/>
    <w:rsid w:val="008605BD"/>
    <w:rsid w:val="00860E10"/>
    <w:rsid w:val="00864D3A"/>
    <w:rsid w:val="00865853"/>
    <w:rsid w:val="00866873"/>
    <w:rsid w:val="00867053"/>
    <w:rsid w:val="00870E2A"/>
    <w:rsid w:val="0087165A"/>
    <w:rsid w:val="0087194C"/>
    <w:rsid w:val="00871B95"/>
    <w:rsid w:val="00874216"/>
    <w:rsid w:val="00874BE1"/>
    <w:rsid w:val="00874E94"/>
    <w:rsid w:val="008759F2"/>
    <w:rsid w:val="00875D58"/>
    <w:rsid w:val="00877837"/>
    <w:rsid w:val="00880E00"/>
    <w:rsid w:val="008817B8"/>
    <w:rsid w:val="008827B7"/>
    <w:rsid w:val="00882902"/>
    <w:rsid w:val="0088300A"/>
    <w:rsid w:val="00884ABF"/>
    <w:rsid w:val="00884C27"/>
    <w:rsid w:val="00885B0A"/>
    <w:rsid w:val="008868D5"/>
    <w:rsid w:val="0088764B"/>
    <w:rsid w:val="00892D42"/>
    <w:rsid w:val="00895DB5"/>
    <w:rsid w:val="0089742C"/>
    <w:rsid w:val="008A0E88"/>
    <w:rsid w:val="008A1251"/>
    <w:rsid w:val="008A2E65"/>
    <w:rsid w:val="008A3360"/>
    <w:rsid w:val="008A4026"/>
    <w:rsid w:val="008A58D6"/>
    <w:rsid w:val="008A593B"/>
    <w:rsid w:val="008A5C62"/>
    <w:rsid w:val="008A6AA1"/>
    <w:rsid w:val="008A6E4F"/>
    <w:rsid w:val="008A7176"/>
    <w:rsid w:val="008A7D83"/>
    <w:rsid w:val="008B12D3"/>
    <w:rsid w:val="008B1B73"/>
    <w:rsid w:val="008B2024"/>
    <w:rsid w:val="008B2A53"/>
    <w:rsid w:val="008B2A70"/>
    <w:rsid w:val="008B2CE1"/>
    <w:rsid w:val="008B2D58"/>
    <w:rsid w:val="008B33E4"/>
    <w:rsid w:val="008B3810"/>
    <w:rsid w:val="008B4124"/>
    <w:rsid w:val="008B4D4A"/>
    <w:rsid w:val="008B4EC1"/>
    <w:rsid w:val="008B543F"/>
    <w:rsid w:val="008B5F23"/>
    <w:rsid w:val="008B743C"/>
    <w:rsid w:val="008C0E6A"/>
    <w:rsid w:val="008C27F0"/>
    <w:rsid w:val="008C30EB"/>
    <w:rsid w:val="008C33EA"/>
    <w:rsid w:val="008C35DF"/>
    <w:rsid w:val="008C4932"/>
    <w:rsid w:val="008D08D0"/>
    <w:rsid w:val="008D1B64"/>
    <w:rsid w:val="008D1E15"/>
    <w:rsid w:val="008D22FB"/>
    <w:rsid w:val="008D292A"/>
    <w:rsid w:val="008D32A4"/>
    <w:rsid w:val="008D3F3F"/>
    <w:rsid w:val="008D4F24"/>
    <w:rsid w:val="008D4F5E"/>
    <w:rsid w:val="008D4F8D"/>
    <w:rsid w:val="008D611D"/>
    <w:rsid w:val="008D66C5"/>
    <w:rsid w:val="008D6986"/>
    <w:rsid w:val="008D6C62"/>
    <w:rsid w:val="008D77BF"/>
    <w:rsid w:val="008D7933"/>
    <w:rsid w:val="008E04FA"/>
    <w:rsid w:val="008E07D1"/>
    <w:rsid w:val="008E18B2"/>
    <w:rsid w:val="008E2AC8"/>
    <w:rsid w:val="008E3E80"/>
    <w:rsid w:val="008E4A65"/>
    <w:rsid w:val="008E4AF2"/>
    <w:rsid w:val="008E5AB7"/>
    <w:rsid w:val="008E6E8C"/>
    <w:rsid w:val="008F0EC3"/>
    <w:rsid w:val="008F1442"/>
    <w:rsid w:val="008F191B"/>
    <w:rsid w:val="008F1F2A"/>
    <w:rsid w:val="008F21A6"/>
    <w:rsid w:val="008F29CC"/>
    <w:rsid w:val="008F2A8E"/>
    <w:rsid w:val="008F5C12"/>
    <w:rsid w:val="008F64A9"/>
    <w:rsid w:val="008F6EEE"/>
    <w:rsid w:val="008F7795"/>
    <w:rsid w:val="008F7B30"/>
    <w:rsid w:val="009025F3"/>
    <w:rsid w:val="009026E8"/>
    <w:rsid w:val="0090293F"/>
    <w:rsid w:val="0090638F"/>
    <w:rsid w:val="009078BF"/>
    <w:rsid w:val="00910631"/>
    <w:rsid w:val="00911372"/>
    <w:rsid w:val="00912993"/>
    <w:rsid w:val="00912D2D"/>
    <w:rsid w:val="0091390A"/>
    <w:rsid w:val="00913A36"/>
    <w:rsid w:val="009149AC"/>
    <w:rsid w:val="00914C0B"/>
    <w:rsid w:val="00915BA3"/>
    <w:rsid w:val="00916380"/>
    <w:rsid w:val="00917363"/>
    <w:rsid w:val="009213E8"/>
    <w:rsid w:val="00921F5F"/>
    <w:rsid w:val="00923042"/>
    <w:rsid w:val="009232AC"/>
    <w:rsid w:val="00923C2B"/>
    <w:rsid w:val="0092450D"/>
    <w:rsid w:val="0092566C"/>
    <w:rsid w:val="00926F53"/>
    <w:rsid w:val="0092743A"/>
    <w:rsid w:val="00927579"/>
    <w:rsid w:val="00930260"/>
    <w:rsid w:val="00930298"/>
    <w:rsid w:val="009306B5"/>
    <w:rsid w:val="00931B11"/>
    <w:rsid w:val="00934054"/>
    <w:rsid w:val="00935789"/>
    <w:rsid w:val="00936108"/>
    <w:rsid w:val="00936AD7"/>
    <w:rsid w:val="009401E5"/>
    <w:rsid w:val="0094078E"/>
    <w:rsid w:val="00940D5C"/>
    <w:rsid w:val="009414E4"/>
    <w:rsid w:val="0094156A"/>
    <w:rsid w:val="00941CB1"/>
    <w:rsid w:val="009438D9"/>
    <w:rsid w:val="0094638C"/>
    <w:rsid w:val="00947D26"/>
    <w:rsid w:val="00950473"/>
    <w:rsid w:val="009508A8"/>
    <w:rsid w:val="0095117D"/>
    <w:rsid w:val="00951634"/>
    <w:rsid w:val="00952873"/>
    <w:rsid w:val="00952D22"/>
    <w:rsid w:val="00952F55"/>
    <w:rsid w:val="0095305A"/>
    <w:rsid w:val="0095443F"/>
    <w:rsid w:val="009552DB"/>
    <w:rsid w:val="00956451"/>
    <w:rsid w:val="00957B91"/>
    <w:rsid w:val="00962E10"/>
    <w:rsid w:val="00962EBC"/>
    <w:rsid w:val="009641C8"/>
    <w:rsid w:val="00964882"/>
    <w:rsid w:val="00964A76"/>
    <w:rsid w:val="00964B6A"/>
    <w:rsid w:val="00965C9D"/>
    <w:rsid w:val="0096670F"/>
    <w:rsid w:val="00967CEC"/>
    <w:rsid w:val="00971DEC"/>
    <w:rsid w:val="00971FFB"/>
    <w:rsid w:val="0097291B"/>
    <w:rsid w:val="009729AB"/>
    <w:rsid w:val="00973D1B"/>
    <w:rsid w:val="00974235"/>
    <w:rsid w:val="009746E5"/>
    <w:rsid w:val="00974E02"/>
    <w:rsid w:val="00974F8A"/>
    <w:rsid w:val="0097673B"/>
    <w:rsid w:val="00977974"/>
    <w:rsid w:val="0098006F"/>
    <w:rsid w:val="009803AA"/>
    <w:rsid w:val="00980584"/>
    <w:rsid w:val="009806A7"/>
    <w:rsid w:val="00980717"/>
    <w:rsid w:val="00981A28"/>
    <w:rsid w:val="0098283F"/>
    <w:rsid w:val="00983C6D"/>
    <w:rsid w:val="00984001"/>
    <w:rsid w:val="009851DA"/>
    <w:rsid w:val="00986F38"/>
    <w:rsid w:val="009914D6"/>
    <w:rsid w:val="00993750"/>
    <w:rsid w:val="00993855"/>
    <w:rsid w:val="00993BBD"/>
    <w:rsid w:val="0099441E"/>
    <w:rsid w:val="00994612"/>
    <w:rsid w:val="00994BDE"/>
    <w:rsid w:val="009958EB"/>
    <w:rsid w:val="009960DF"/>
    <w:rsid w:val="00996149"/>
    <w:rsid w:val="00997E37"/>
    <w:rsid w:val="00997E76"/>
    <w:rsid w:val="009A06DE"/>
    <w:rsid w:val="009A3008"/>
    <w:rsid w:val="009A3C9C"/>
    <w:rsid w:val="009A3E9F"/>
    <w:rsid w:val="009A52D0"/>
    <w:rsid w:val="009A6E9F"/>
    <w:rsid w:val="009A7E3B"/>
    <w:rsid w:val="009B18AF"/>
    <w:rsid w:val="009B1C68"/>
    <w:rsid w:val="009B27A9"/>
    <w:rsid w:val="009B3694"/>
    <w:rsid w:val="009B7AA4"/>
    <w:rsid w:val="009B7CFC"/>
    <w:rsid w:val="009C07FC"/>
    <w:rsid w:val="009C0D97"/>
    <w:rsid w:val="009C1608"/>
    <w:rsid w:val="009C2207"/>
    <w:rsid w:val="009C325E"/>
    <w:rsid w:val="009C4494"/>
    <w:rsid w:val="009C54E3"/>
    <w:rsid w:val="009C5663"/>
    <w:rsid w:val="009C61AC"/>
    <w:rsid w:val="009C6937"/>
    <w:rsid w:val="009C7094"/>
    <w:rsid w:val="009C7B59"/>
    <w:rsid w:val="009D0E66"/>
    <w:rsid w:val="009D28E5"/>
    <w:rsid w:val="009D2F22"/>
    <w:rsid w:val="009D32E7"/>
    <w:rsid w:val="009D3F50"/>
    <w:rsid w:val="009D5751"/>
    <w:rsid w:val="009D5D83"/>
    <w:rsid w:val="009D7FBD"/>
    <w:rsid w:val="009E106F"/>
    <w:rsid w:val="009E4A54"/>
    <w:rsid w:val="009E54FC"/>
    <w:rsid w:val="009E6A24"/>
    <w:rsid w:val="009E6C5C"/>
    <w:rsid w:val="009E752E"/>
    <w:rsid w:val="009F026B"/>
    <w:rsid w:val="009F47D1"/>
    <w:rsid w:val="009F56F4"/>
    <w:rsid w:val="009F5C68"/>
    <w:rsid w:val="009F5FB3"/>
    <w:rsid w:val="009F6356"/>
    <w:rsid w:val="00A001BD"/>
    <w:rsid w:val="00A00ABB"/>
    <w:rsid w:val="00A0104C"/>
    <w:rsid w:val="00A01E9A"/>
    <w:rsid w:val="00A021C7"/>
    <w:rsid w:val="00A032BE"/>
    <w:rsid w:val="00A03B72"/>
    <w:rsid w:val="00A046CC"/>
    <w:rsid w:val="00A04FD4"/>
    <w:rsid w:val="00A054DA"/>
    <w:rsid w:val="00A058B2"/>
    <w:rsid w:val="00A06265"/>
    <w:rsid w:val="00A0626C"/>
    <w:rsid w:val="00A10156"/>
    <w:rsid w:val="00A11F4D"/>
    <w:rsid w:val="00A1212D"/>
    <w:rsid w:val="00A130A9"/>
    <w:rsid w:val="00A14555"/>
    <w:rsid w:val="00A15E38"/>
    <w:rsid w:val="00A21700"/>
    <w:rsid w:val="00A21FD1"/>
    <w:rsid w:val="00A22440"/>
    <w:rsid w:val="00A22840"/>
    <w:rsid w:val="00A23A2F"/>
    <w:rsid w:val="00A26D45"/>
    <w:rsid w:val="00A30D53"/>
    <w:rsid w:val="00A31A1F"/>
    <w:rsid w:val="00A327DA"/>
    <w:rsid w:val="00A32AD1"/>
    <w:rsid w:val="00A32EDD"/>
    <w:rsid w:val="00A34953"/>
    <w:rsid w:val="00A35EB0"/>
    <w:rsid w:val="00A36687"/>
    <w:rsid w:val="00A36F85"/>
    <w:rsid w:val="00A37582"/>
    <w:rsid w:val="00A40734"/>
    <w:rsid w:val="00A4073A"/>
    <w:rsid w:val="00A41FB6"/>
    <w:rsid w:val="00A4259E"/>
    <w:rsid w:val="00A437DB"/>
    <w:rsid w:val="00A43D2C"/>
    <w:rsid w:val="00A43FC4"/>
    <w:rsid w:val="00A446E0"/>
    <w:rsid w:val="00A456B5"/>
    <w:rsid w:val="00A459F2"/>
    <w:rsid w:val="00A46A54"/>
    <w:rsid w:val="00A47759"/>
    <w:rsid w:val="00A47AF4"/>
    <w:rsid w:val="00A50009"/>
    <w:rsid w:val="00A50D27"/>
    <w:rsid w:val="00A51A0A"/>
    <w:rsid w:val="00A5238F"/>
    <w:rsid w:val="00A52556"/>
    <w:rsid w:val="00A53C7E"/>
    <w:rsid w:val="00A548A0"/>
    <w:rsid w:val="00A55039"/>
    <w:rsid w:val="00A55A44"/>
    <w:rsid w:val="00A562AF"/>
    <w:rsid w:val="00A6039B"/>
    <w:rsid w:val="00A6379D"/>
    <w:rsid w:val="00A638A6"/>
    <w:rsid w:val="00A63B07"/>
    <w:rsid w:val="00A63EF1"/>
    <w:rsid w:val="00A64269"/>
    <w:rsid w:val="00A6484E"/>
    <w:rsid w:val="00A66CD4"/>
    <w:rsid w:val="00A671BA"/>
    <w:rsid w:val="00A6740F"/>
    <w:rsid w:val="00A70591"/>
    <w:rsid w:val="00A71C30"/>
    <w:rsid w:val="00A73EEC"/>
    <w:rsid w:val="00A75171"/>
    <w:rsid w:val="00A75F72"/>
    <w:rsid w:val="00A7600B"/>
    <w:rsid w:val="00A77C21"/>
    <w:rsid w:val="00A77DEC"/>
    <w:rsid w:val="00A77F2A"/>
    <w:rsid w:val="00A80C2D"/>
    <w:rsid w:val="00A812B7"/>
    <w:rsid w:val="00A8131E"/>
    <w:rsid w:val="00A827E6"/>
    <w:rsid w:val="00A874B9"/>
    <w:rsid w:val="00A874D4"/>
    <w:rsid w:val="00A902B7"/>
    <w:rsid w:val="00A9069A"/>
    <w:rsid w:val="00A90759"/>
    <w:rsid w:val="00A92156"/>
    <w:rsid w:val="00A9280A"/>
    <w:rsid w:val="00A92B2E"/>
    <w:rsid w:val="00A92BFC"/>
    <w:rsid w:val="00A94B91"/>
    <w:rsid w:val="00A953B9"/>
    <w:rsid w:val="00A959A6"/>
    <w:rsid w:val="00A95E89"/>
    <w:rsid w:val="00A962A7"/>
    <w:rsid w:val="00A964FE"/>
    <w:rsid w:val="00A97627"/>
    <w:rsid w:val="00A9764E"/>
    <w:rsid w:val="00A977D2"/>
    <w:rsid w:val="00AA0D78"/>
    <w:rsid w:val="00AA4712"/>
    <w:rsid w:val="00AA4C94"/>
    <w:rsid w:val="00AA54E2"/>
    <w:rsid w:val="00AA56BC"/>
    <w:rsid w:val="00AA5844"/>
    <w:rsid w:val="00AA73D7"/>
    <w:rsid w:val="00AB0618"/>
    <w:rsid w:val="00AB0F27"/>
    <w:rsid w:val="00AB217C"/>
    <w:rsid w:val="00AB28B7"/>
    <w:rsid w:val="00AB37EE"/>
    <w:rsid w:val="00AB41A5"/>
    <w:rsid w:val="00AB5DE6"/>
    <w:rsid w:val="00AB6EA1"/>
    <w:rsid w:val="00AB7D59"/>
    <w:rsid w:val="00AC10FA"/>
    <w:rsid w:val="00AC214F"/>
    <w:rsid w:val="00AC2AE9"/>
    <w:rsid w:val="00AC3FAA"/>
    <w:rsid w:val="00AC4416"/>
    <w:rsid w:val="00AC454E"/>
    <w:rsid w:val="00AC47D3"/>
    <w:rsid w:val="00AC559B"/>
    <w:rsid w:val="00AC62A2"/>
    <w:rsid w:val="00AC6C78"/>
    <w:rsid w:val="00AD14B3"/>
    <w:rsid w:val="00AD36B2"/>
    <w:rsid w:val="00AD4288"/>
    <w:rsid w:val="00AD465D"/>
    <w:rsid w:val="00AD4CB1"/>
    <w:rsid w:val="00AD5535"/>
    <w:rsid w:val="00AD64D1"/>
    <w:rsid w:val="00AE01DB"/>
    <w:rsid w:val="00AE04CA"/>
    <w:rsid w:val="00AE0C94"/>
    <w:rsid w:val="00AE0EFA"/>
    <w:rsid w:val="00AE4C70"/>
    <w:rsid w:val="00AE4F54"/>
    <w:rsid w:val="00AE6300"/>
    <w:rsid w:val="00AE6E0E"/>
    <w:rsid w:val="00AE7C77"/>
    <w:rsid w:val="00AF1787"/>
    <w:rsid w:val="00AF1CDE"/>
    <w:rsid w:val="00AF3217"/>
    <w:rsid w:val="00AF549E"/>
    <w:rsid w:val="00B00802"/>
    <w:rsid w:val="00B0092F"/>
    <w:rsid w:val="00B01820"/>
    <w:rsid w:val="00B02531"/>
    <w:rsid w:val="00B02FA1"/>
    <w:rsid w:val="00B03DDC"/>
    <w:rsid w:val="00B05700"/>
    <w:rsid w:val="00B06666"/>
    <w:rsid w:val="00B06E45"/>
    <w:rsid w:val="00B12306"/>
    <w:rsid w:val="00B12BF5"/>
    <w:rsid w:val="00B13CEC"/>
    <w:rsid w:val="00B14163"/>
    <w:rsid w:val="00B1507B"/>
    <w:rsid w:val="00B15B58"/>
    <w:rsid w:val="00B15EDE"/>
    <w:rsid w:val="00B15F23"/>
    <w:rsid w:val="00B16007"/>
    <w:rsid w:val="00B161B9"/>
    <w:rsid w:val="00B175B8"/>
    <w:rsid w:val="00B17F8E"/>
    <w:rsid w:val="00B21718"/>
    <w:rsid w:val="00B21994"/>
    <w:rsid w:val="00B23E45"/>
    <w:rsid w:val="00B24D38"/>
    <w:rsid w:val="00B24E10"/>
    <w:rsid w:val="00B24FB8"/>
    <w:rsid w:val="00B25F51"/>
    <w:rsid w:val="00B26232"/>
    <w:rsid w:val="00B262D0"/>
    <w:rsid w:val="00B26495"/>
    <w:rsid w:val="00B2656C"/>
    <w:rsid w:val="00B26D22"/>
    <w:rsid w:val="00B3019D"/>
    <w:rsid w:val="00B32E36"/>
    <w:rsid w:val="00B33D32"/>
    <w:rsid w:val="00B34BD0"/>
    <w:rsid w:val="00B35FBB"/>
    <w:rsid w:val="00B365F5"/>
    <w:rsid w:val="00B40006"/>
    <w:rsid w:val="00B40A4E"/>
    <w:rsid w:val="00B41372"/>
    <w:rsid w:val="00B416EE"/>
    <w:rsid w:val="00B44637"/>
    <w:rsid w:val="00B44EC1"/>
    <w:rsid w:val="00B45634"/>
    <w:rsid w:val="00B46341"/>
    <w:rsid w:val="00B5133B"/>
    <w:rsid w:val="00B516AC"/>
    <w:rsid w:val="00B51B46"/>
    <w:rsid w:val="00B52480"/>
    <w:rsid w:val="00B53DE3"/>
    <w:rsid w:val="00B554EC"/>
    <w:rsid w:val="00B5552B"/>
    <w:rsid w:val="00B55900"/>
    <w:rsid w:val="00B55C88"/>
    <w:rsid w:val="00B55F89"/>
    <w:rsid w:val="00B57633"/>
    <w:rsid w:val="00B57D8D"/>
    <w:rsid w:val="00B60384"/>
    <w:rsid w:val="00B6069F"/>
    <w:rsid w:val="00B60725"/>
    <w:rsid w:val="00B61161"/>
    <w:rsid w:val="00B626E0"/>
    <w:rsid w:val="00B65A2C"/>
    <w:rsid w:val="00B6601A"/>
    <w:rsid w:val="00B66535"/>
    <w:rsid w:val="00B6730D"/>
    <w:rsid w:val="00B70638"/>
    <w:rsid w:val="00B724B2"/>
    <w:rsid w:val="00B753A2"/>
    <w:rsid w:val="00B76CA9"/>
    <w:rsid w:val="00B814E1"/>
    <w:rsid w:val="00B81BBF"/>
    <w:rsid w:val="00B820FE"/>
    <w:rsid w:val="00B82BBB"/>
    <w:rsid w:val="00B83A0E"/>
    <w:rsid w:val="00B85864"/>
    <w:rsid w:val="00B85BA7"/>
    <w:rsid w:val="00B869C3"/>
    <w:rsid w:val="00B86E89"/>
    <w:rsid w:val="00B87820"/>
    <w:rsid w:val="00B87B40"/>
    <w:rsid w:val="00B905EE"/>
    <w:rsid w:val="00B913DD"/>
    <w:rsid w:val="00B91573"/>
    <w:rsid w:val="00B9183F"/>
    <w:rsid w:val="00B91F15"/>
    <w:rsid w:val="00B9256D"/>
    <w:rsid w:val="00B936C1"/>
    <w:rsid w:val="00B95530"/>
    <w:rsid w:val="00BA0C9A"/>
    <w:rsid w:val="00BA0CE2"/>
    <w:rsid w:val="00BA1128"/>
    <w:rsid w:val="00BA1C52"/>
    <w:rsid w:val="00BA2535"/>
    <w:rsid w:val="00BA30B4"/>
    <w:rsid w:val="00BA3B77"/>
    <w:rsid w:val="00BA3FEF"/>
    <w:rsid w:val="00BA45B4"/>
    <w:rsid w:val="00BA5BEE"/>
    <w:rsid w:val="00BA6225"/>
    <w:rsid w:val="00BA7759"/>
    <w:rsid w:val="00BB037A"/>
    <w:rsid w:val="00BB1CC3"/>
    <w:rsid w:val="00BB2B2F"/>
    <w:rsid w:val="00BB2F64"/>
    <w:rsid w:val="00BB310B"/>
    <w:rsid w:val="00BB58DF"/>
    <w:rsid w:val="00BB7D11"/>
    <w:rsid w:val="00BB7EAC"/>
    <w:rsid w:val="00BC0554"/>
    <w:rsid w:val="00BC21AA"/>
    <w:rsid w:val="00BC32A9"/>
    <w:rsid w:val="00BC4BAE"/>
    <w:rsid w:val="00BC5F63"/>
    <w:rsid w:val="00BC5FF5"/>
    <w:rsid w:val="00BC7161"/>
    <w:rsid w:val="00BD012B"/>
    <w:rsid w:val="00BD0258"/>
    <w:rsid w:val="00BD06D0"/>
    <w:rsid w:val="00BD0BCE"/>
    <w:rsid w:val="00BD178B"/>
    <w:rsid w:val="00BD1E47"/>
    <w:rsid w:val="00BD1F65"/>
    <w:rsid w:val="00BD2698"/>
    <w:rsid w:val="00BD2928"/>
    <w:rsid w:val="00BD492C"/>
    <w:rsid w:val="00BD5307"/>
    <w:rsid w:val="00BD548C"/>
    <w:rsid w:val="00BD6839"/>
    <w:rsid w:val="00BD70B3"/>
    <w:rsid w:val="00BD7A34"/>
    <w:rsid w:val="00BE178F"/>
    <w:rsid w:val="00BE1C8E"/>
    <w:rsid w:val="00BE237A"/>
    <w:rsid w:val="00BE256D"/>
    <w:rsid w:val="00BE2809"/>
    <w:rsid w:val="00BE49D0"/>
    <w:rsid w:val="00BE5CD4"/>
    <w:rsid w:val="00BE6479"/>
    <w:rsid w:val="00BE6B48"/>
    <w:rsid w:val="00BF12F8"/>
    <w:rsid w:val="00BF21DF"/>
    <w:rsid w:val="00BF29E8"/>
    <w:rsid w:val="00BF34C9"/>
    <w:rsid w:val="00BF3766"/>
    <w:rsid w:val="00BF3826"/>
    <w:rsid w:val="00BF4021"/>
    <w:rsid w:val="00BF4BE4"/>
    <w:rsid w:val="00BF524F"/>
    <w:rsid w:val="00BF7320"/>
    <w:rsid w:val="00BF787B"/>
    <w:rsid w:val="00BF7CB0"/>
    <w:rsid w:val="00C01167"/>
    <w:rsid w:val="00C0154C"/>
    <w:rsid w:val="00C02428"/>
    <w:rsid w:val="00C02DCE"/>
    <w:rsid w:val="00C0438D"/>
    <w:rsid w:val="00C04779"/>
    <w:rsid w:val="00C04DD9"/>
    <w:rsid w:val="00C0621D"/>
    <w:rsid w:val="00C0690E"/>
    <w:rsid w:val="00C075CB"/>
    <w:rsid w:val="00C07D8E"/>
    <w:rsid w:val="00C07F7B"/>
    <w:rsid w:val="00C10D2B"/>
    <w:rsid w:val="00C10D3F"/>
    <w:rsid w:val="00C10F60"/>
    <w:rsid w:val="00C114A3"/>
    <w:rsid w:val="00C140F8"/>
    <w:rsid w:val="00C14561"/>
    <w:rsid w:val="00C148FE"/>
    <w:rsid w:val="00C14BA4"/>
    <w:rsid w:val="00C152B2"/>
    <w:rsid w:val="00C1539A"/>
    <w:rsid w:val="00C16063"/>
    <w:rsid w:val="00C16460"/>
    <w:rsid w:val="00C20E1C"/>
    <w:rsid w:val="00C2158B"/>
    <w:rsid w:val="00C236E8"/>
    <w:rsid w:val="00C24CAA"/>
    <w:rsid w:val="00C25511"/>
    <w:rsid w:val="00C27BC6"/>
    <w:rsid w:val="00C27F69"/>
    <w:rsid w:val="00C3002B"/>
    <w:rsid w:val="00C3013A"/>
    <w:rsid w:val="00C307F3"/>
    <w:rsid w:val="00C32AD5"/>
    <w:rsid w:val="00C32DEC"/>
    <w:rsid w:val="00C333FE"/>
    <w:rsid w:val="00C33421"/>
    <w:rsid w:val="00C3347D"/>
    <w:rsid w:val="00C33695"/>
    <w:rsid w:val="00C34773"/>
    <w:rsid w:val="00C34868"/>
    <w:rsid w:val="00C34F09"/>
    <w:rsid w:val="00C35E2D"/>
    <w:rsid w:val="00C36327"/>
    <w:rsid w:val="00C36BF3"/>
    <w:rsid w:val="00C36E1E"/>
    <w:rsid w:val="00C374EE"/>
    <w:rsid w:val="00C379AE"/>
    <w:rsid w:val="00C40194"/>
    <w:rsid w:val="00C4067F"/>
    <w:rsid w:val="00C40AE4"/>
    <w:rsid w:val="00C40D0C"/>
    <w:rsid w:val="00C4106C"/>
    <w:rsid w:val="00C41F54"/>
    <w:rsid w:val="00C426B0"/>
    <w:rsid w:val="00C43826"/>
    <w:rsid w:val="00C44A2D"/>
    <w:rsid w:val="00C44CCE"/>
    <w:rsid w:val="00C45D2F"/>
    <w:rsid w:val="00C45F79"/>
    <w:rsid w:val="00C462AC"/>
    <w:rsid w:val="00C469FD"/>
    <w:rsid w:val="00C46CDD"/>
    <w:rsid w:val="00C47ED6"/>
    <w:rsid w:val="00C47FF7"/>
    <w:rsid w:val="00C51712"/>
    <w:rsid w:val="00C5224F"/>
    <w:rsid w:val="00C52867"/>
    <w:rsid w:val="00C52932"/>
    <w:rsid w:val="00C52C62"/>
    <w:rsid w:val="00C530F1"/>
    <w:rsid w:val="00C531F5"/>
    <w:rsid w:val="00C53375"/>
    <w:rsid w:val="00C53692"/>
    <w:rsid w:val="00C53C9B"/>
    <w:rsid w:val="00C54E19"/>
    <w:rsid w:val="00C551A7"/>
    <w:rsid w:val="00C560BE"/>
    <w:rsid w:val="00C5722D"/>
    <w:rsid w:val="00C57335"/>
    <w:rsid w:val="00C602A0"/>
    <w:rsid w:val="00C6102A"/>
    <w:rsid w:val="00C61375"/>
    <w:rsid w:val="00C61869"/>
    <w:rsid w:val="00C61C6D"/>
    <w:rsid w:val="00C639DE"/>
    <w:rsid w:val="00C63EA2"/>
    <w:rsid w:val="00C64433"/>
    <w:rsid w:val="00C67C37"/>
    <w:rsid w:val="00C70016"/>
    <w:rsid w:val="00C7091A"/>
    <w:rsid w:val="00C71091"/>
    <w:rsid w:val="00C72AB9"/>
    <w:rsid w:val="00C739BF"/>
    <w:rsid w:val="00C74586"/>
    <w:rsid w:val="00C74964"/>
    <w:rsid w:val="00C74F1A"/>
    <w:rsid w:val="00C759B5"/>
    <w:rsid w:val="00C76B94"/>
    <w:rsid w:val="00C815E8"/>
    <w:rsid w:val="00C81BA3"/>
    <w:rsid w:val="00C82A4C"/>
    <w:rsid w:val="00C83C77"/>
    <w:rsid w:val="00C84B96"/>
    <w:rsid w:val="00C84D59"/>
    <w:rsid w:val="00C85779"/>
    <w:rsid w:val="00C87556"/>
    <w:rsid w:val="00C90206"/>
    <w:rsid w:val="00C9081F"/>
    <w:rsid w:val="00C908E5"/>
    <w:rsid w:val="00C90A19"/>
    <w:rsid w:val="00C90F98"/>
    <w:rsid w:val="00C92E3B"/>
    <w:rsid w:val="00C94BAD"/>
    <w:rsid w:val="00C97305"/>
    <w:rsid w:val="00CA09A8"/>
    <w:rsid w:val="00CA0BB7"/>
    <w:rsid w:val="00CA1983"/>
    <w:rsid w:val="00CA1EF4"/>
    <w:rsid w:val="00CA24D3"/>
    <w:rsid w:val="00CA2721"/>
    <w:rsid w:val="00CA2811"/>
    <w:rsid w:val="00CA3338"/>
    <w:rsid w:val="00CA51AB"/>
    <w:rsid w:val="00CA638D"/>
    <w:rsid w:val="00CA655D"/>
    <w:rsid w:val="00CA72E4"/>
    <w:rsid w:val="00CA778D"/>
    <w:rsid w:val="00CB0FE7"/>
    <w:rsid w:val="00CB10D6"/>
    <w:rsid w:val="00CB231C"/>
    <w:rsid w:val="00CB49B5"/>
    <w:rsid w:val="00CB5779"/>
    <w:rsid w:val="00CB59AC"/>
    <w:rsid w:val="00CC0A46"/>
    <w:rsid w:val="00CC1415"/>
    <w:rsid w:val="00CC1A1F"/>
    <w:rsid w:val="00CC286B"/>
    <w:rsid w:val="00CC2ACF"/>
    <w:rsid w:val="00CC3C88"/>
    <w:rsid w:val="00CC47DF"/>
    <w:rsid w:val="00CC58CB"/>
    <w:rsid w:val="00CC5C6A"/>
    <w:rsid w:val="00CC61EC"/>
    <w:rsid w:val="00CC6358"/>
    <w:rsid w:val="00CC6362"/>
    <w:rsid w:val="00CC704B"/>
    <w:rsid w:val="00CC7568"/>
    <w:rsid w:val="00CC7BB0"/>
    <w:rsid w:val="00CD0B37"/>
    <w:rsid w:val="00CD26BA"/>
    <w:rsid w:val="00CD3D5A"/>
    <w:rsid w:val="00CD4BE8"/>
    <w:rsid w:val="00CD79D7"/>
    <w:rsid w:val="00CE067E"/>
    <w:rsid w:val="00CE38D5"/>
    <w:rsid w:val="00CE71A7"/>
    <w:rsid w:val="00CE71FC"/>
    <w:rsid w:val="00CE7FB9"/>
    <w:rsid w:val="00CF089B"/>
    <w:rsid w:val="00CF1DE1"/>
    <w:rsid w:val="00CF28D4"/>
    <w:rsid w:val="00CF2C4C"/>
    <w:rsid w:val="00CF440B"/>
    <w:rsid w:val="00CF4C70"/>
    <w:rsid w:val="00CF5AEF"/>
    <w:rsid w:val="00CF657A"/>
    <w:rsid w:val="00CF73FC"/>
    <w:rsid w:val="00D01594"/>
    <w:rsid w:val="00D017E7"/>
    <w:rsid w:val="00D029C4"/>
    <w:rsid w:val="00D03A48"/>
    <w:rsid w:val="00D04400"/>
    <w:rsid w:val="00D04DC1"/>
    <w:rsid w:val="00D05399"/>
    <w:rsid w:val="00D07E78"/>
    <w:rsid w:val="00D104FB"/>
    <w:rsid w:val="00D12C67"/>
    <w:rsid w:val="00D1322A"/>
    <w:rsid w:val="00D13702"/>
    <w:rsid w:val="00D1378A"/>
    <w:rsid w:val="00D15B8D"/>
    <w:rsid w:val="00D179F4"/>
    <w:rsid w:val="00D22B4A"/>
    <w:rsid w:val="00D22E39"/>
    <w:rsid w:val="00D23C5E"/>
    <w:rsid w:val="00D24B48"/>
    <w:rsid w:val="00D26E81"/>
    <w:rsid w:val="00D270EF"/>
    <w:rsid w:val="00D2741E"/>
    <w:rsid w:val="00D3160D"/>
    <w:rsid w:val="00D31E14"/>
    <w:rsid w:val="00D330A0"/>
    <w:rsid w:val="00D36C54"/>
    <w:rsid w:val="00D36E20"/>
    <w:rsid w:val="00D37D8B"/>
    <w:rsid w:val="00D40544"/>
    <w:rsid w:val="00D40A05"/>
    <w:rsid w:val="00D42066"/>
    <w:rsid w:val="00D4212C"/>
    <w:rsid w:val="00D42240"/>
    <w:rsid w:val="00D4261D"/>
    <w:rsid w:val="00D4284F"/>
    <w:rsid w:val="00D43EE7"/>
    <w:rsid w:val="00D443A8"/>
    <w:rsid w:val="00D452D6"/>
    <w:rsid w:val="00D46EB6"/>
    <w:rsid w:val="00D476B5"/>
    <w:rsid w:val="00D476B8"/>
    <w:rsid w:val="00D47C6D"/>
    <w:rsid w:val="00D50FBF"/>
    <w:rsid w:val="00D5156B"/>
    <w:rsid w:val="00D51934"/>
    <w:rsid w:val="00D51B76"/>
    <w:rsid w:val="00D53921"/>
    <w:rsid w:val="00D548BB"/>
    <w:rsid w:val="00D55009"/>
    <w:rsid w:val="00D5570E"/>
    <w:rsid w:val="00D55EA7"/>
    <w:rsid w:val="00D56B79"/>
    <w:rsid w:val="00D56E34"/>
    <w:rsid w:val="00D62BC9"/>
    <w:rsid w:val="00D6538D"/>
    <w:rsid w:val="00D6552F"/>
    <w:rsid w:val="00D65CBE"/>
    <w:rsid w:val="00D65DEB"/>
    <w:rsid w:val="00D668B0"/>
    <w:rsid w:val="00D66B7F"/>
    <w:rsid w:val="00D66FBC"/>
    <w:rsid w:val="00D70B79"/>
    <w:rsid w:val="00D71956"/>
    <w:rsid w:val="00D72131"/>
    <w:rsid w:val="00D73BF7"/>
    <w:rsid w:val="00D74103"/>
    <w:rsid w:val="00D744B3"/>
    <w:rsid w:val="00D7596E"/>
    <w:rsid w:val="00D76F4A"/>
    <w:rsid w:val="00D7798C"/>
    <w:rsid w:val="00D77AC6"/>
    <w:rsid w:val="00D80BA1"/>
    <w:rsid w:val="00D81A4C"/>
    <w:rsid w:val="00D81C70"/>
    <w:rsid w:val="00D82418"/>
    <w:rsid w:val="00D8630D"/>
    <w:rsid w:val="00D90B54"/>
    <w:rsid w:val="00D91D82"/>
    <w:rsid w:val="00D92CE6"/>
    <w:rsid w:val="00D93ABD"/>
    <w:rsid w:val="00D94B06"/>
    <w:rsid w:val="00D963FD"/>
    <w:rsid w:val="00D97476"/>
    <w:rsid w:val="00D979F3"/>
    <w:rsid w:val="00DA0074"/>
    <w:rsid w:val="00DA0230"/>
    <w:rsid w:val="00DA0E4D"/>
    <w:rsid w:val="00DA0E70"/>
    <w:rsid w:val="00DA1A6C"/>
    <w:rsid w:val="00DA28D7"/>
    <w:rsid w:val="00DA4785"/>
    <w:rsid w:val="00DA4C1A"/>
    <w:rsid w:val="00DA5B19"/>
    <w:rsid w:val="00DA6335"/>
    <w:rsid w:val="00DA6A19"/>
    <w:rsid w:val="00DA6DF4"/>
    <w:rsid w:val="00DA7AFC"/>
    <w:rsid w:val="00DB0A86"/>
    <w:rsid w:val="00DB1A36"/>
    <w:rsid w:val="00DB1A6C"/>
    <w:rsid w:val="00DB1B1D"/>
    <w:rsid w:val="00DB2C6B"/>
    <w:rsid w:val="00DB32E0"/>
    <w:rsid w:val="00DB3339"/>
    <w:rsid w:val="00DB3E6D"/>
    <w:rsid w:val="00DB488E"/>
    <w:rsid w:val="00DB5A10"/>
    <w:rsid w:val="00DB7108"/>
    <w:rsid w:val="00DB7338"/>
    <w:rsid w:val="00DC0A53"/>
    <w:rsid w:val="00DC0D9A"/>
    <w:rsid w:val="00DC2247"/>
    <w:rsid w:val="00DC5761"/>
    <w:rsid w:val="00DC5BDE"/>
    <w:rsid w:val="00DC60B4"/>
    <w:rsid w:val="00DC6CFA"/>
    <w:rsid w:val="00DC7904"/>
    <w:rsid w:val="00DD01BC"/>
    <w:rsid w:val="00DD32F3"/>
    <w:rsid w:val="00DD3A18"/>
    <w:rsid w:val="00DD3CE3"/>
    <w:rsid w:val="00DD3FC1"/>
    <w:rsid w:val="00DD4640"/>
    <w:rsid w:val="00DD52BD"/>
    <w:rsid w:val="00DD54FE"/>
    <w:rsid w:val="00DD55A8"/>
    <w:rsid w:val="00DD6D82"/>
    <w:rsid w:val="00DD71FB"/>
    <w:rsid w:val="00DE084C"/>
    <w:rsid w:val="00DE181E"/>
    <w:rsid w:val="00DE1B43"/>
    <w:rsid w:val="00DE28BB"/>
    <w:rsid w:val="00DE30E5"/>
    <w:rsid w:val="00DE3E7B"/>
    <w:rsid w:val="00DE4834"/>
    <w:rsid w:val="00DE65B6"/>
    <w:rsid w:val="00DE6904"/>
    <w:rsid w:val="00DE6B9D"/>
    <w:rsid w:val="00DE7337"/>
    <w:rsid w:val="00DF1C3D"/>
    <w:rsid w:val="00DF1E10"/>
    <w:rsid w:val="00DF2152"/>
    <w:rsid w:val="00DF23A5"/>
    <w:rsid w:val="00DF284E"/>
    <w:rsid w:val="00DF3113"/>
    <w:rsid w:val="00DF37E4"/>
    <w:rsid w:val="00DF44DE"/>
    <w:rsid w:val="00DF459E"/>
    <w:rsid w:val="00DF5504"/>
    <w:rsid w:val="00DF6E07"/>
    <w:rsid w:val="00E020DA"/>
    <w:rsid w:val="00E023B8"/>
    <w:rsid w:val="00E0412C"/>
    <w:rsid w:val="00E04AB1"/>
    <w:rsid w:val="00E05F92"/>
    <w:rsid w:val="00E1004A"/>
    <w:rsid w:val="00E10C13"/>
    <w:rsid w:val="00E130BB"/>
    <w:rsid w:val="00E1339B"/>
    <w:rsid w:val="00E133CB"/>
    <w:rsid w:val="00E1355B"/>
    <w:rsid w:val="00E1368A"/>
    <w:rsid w:val="00E137C4"/>
    <w:rsid w:val="00E1608F"/>
    <w:rsid w:val="00E20339"/>
    <w:rsid w:val="00E20B6A"/>
    <w:rsid w:val="00E2331D"/>
    <w:rsid w:val="00E2403F"/>
    <w:rsid w:val="00E24D51"/>
    <w:rsid w:val="00E25ABE"/>
    <w:rsid w:val="00E265D2"/>
    <w:rsid w:val="00E26F3A"/>
    <w:rsid w:val="00E27129"/>
    <w:rsid w:val="00E27CE1"/>
    <w:rsid w:val="00E309DC"/>
    <w:rsid w:val="00E3359B"/>
    <w:rsid w:val="00E34F73"/>
    <w:rsid w:val="00E35164"/>
    <w:rsid w:val="00E35A42"/>
    <w:rsid w:val="00E35D9F"/>
    <w:rsid w:val="00E40093"/>
    <w:rsid w:val="00E4054D"/>
    <w:rsid w:val="00E40B0F"/>
    <w:rsid w:val="00E40BAF"/>
    <w:rsid w:val="00E417E3"/>
    <w:rsid w:val="00E458FD"/>
    <w:rsid w:val="00E47803"/>
    <w:rsid w:val="00E47D39"/>
    <w:rsid w:val="00E47F58"/>
    <w:rsid w:val="00E507CB"/>
    <w:rsid w:val="00E5081D"/>
    <w:rsid w:val="00E51FD3"/>
    <w:rsid w:val="00E5358B"/>
    <w:rsid w:val="00E54170"/>
    <w:rsid w:val="00E559F2"/>
    <w:rsid w:val="00E5610C"/>
    <w:rsid w:val="00E6097A"/>
    <w:rsid w:val="00E61684"/>
    <w:rsid w:val="00E6189F"/>
    <w:rsid w:val="00E61B1F"/>
    <w:rsid w:val="00E61C3D"/>
    <w:rsid w:val="00E61D64"/>
    <w:rsid w:val="00E61F1C"/>
    <w:rsid w:val="00E62B63"/>
    <w:rsid w:val="00E6403A"/>
    <w:rsid w:val="00E65145"/>
    <w:rsid w:val="00E65BC0"/>
    <w:rsid w:val="00E65CAA"/>
    <w:rsid w:val="00E65E9A"/>
    <w:rsid w:val="00E66C4A"/>
    <w:rsid w:val="00E67835"/>
    <w:rsid w:val="00E71110"/>
    <w:rsid w:val="00E73E14"/>
    <w:rsid w:val="00E748AE"/>
    <w:rsid w:val="00E755EF"/>
    <w:rsid w:val="00E75FD6"/>
    <w:rsid w:val="00E7627F"/>
    <w:rsid w:val="00E76419"/>
    <w:rsid w:val="00E804AD"/>
    <w:rsid w:val="00E80820"/>
    <w:rsid w:val="00E825E3"/>
    <w:rsid w:val="00E82E47"/>
    <w:rsid w:val="00E845E4"/>
    <w:rsid w:val="00E8630A"/>
    <w:rsid w:val="00E90342"/>
    <w:rsid w:val="00E909DD"/>
    <w:rsid w:val="00E9106D"/>
    <w:rsid w:val="00E934ED"/>
    <w:rsid w:val="00E93619"/>
    <w:rsid w:val="00E937F5"/>
    <w:rsid w:val="00E940AD"/>
    <w:rsid w:val="00E95A48"/>
    <w:rsid w:val="00E97119"/>
    <w:rsid w:val="00E97135"/>
    <w:rsid w:val="00EA0421"/>
    <w:rsid w:val="00EA2185"/>
    <w:rsid w:val="00EA22F1"/>
    <w:rsid w:val="00EA2DB1"/>
    <w:rsid w:val="00EA54B3"/>
    <w:rsid w:val="00EA5836"/>
    <w:rsid w:val="00EA6142"/>
    <w:rsid w:val="00EA74D1"/>
    <w:rsid w:val="00EB12EC"/>
    <w:rsid w:val="00EB375C"/>
    <w:rsid w:val="00EB3E25"/>
    <w:rsid w:val="00EB4D7C"/>
    <w:rsid w:val="00EB4F84"/>
    <w:rsid w:val="00EB72A4"/>
    <w:rsid w:val="00EB7C0C"/>
    <w:rsid w:val="00EC108F"/>
    <w:rsid w:val="00EC111C"/>
    <w:rsid w:val="00EC52A6"/>
    <w:rsid w:val="00EC5555"/>
    <w:rsid w:val="00EC5EE6"/>
    <w:rsid w:val="00EC7286"/>
    <w:rsid w:val="00EC748B"/>
    <w:rsid w:val="00EC75DE"/>
    <w:rsid w:val="00ED0316"/>
    <w:rsid w:val="00ED3A7E"/>
    <w:rsid w:val="00ED4CD4"/>
    <w:rsid w:val="00ED5D99"/>
    <w:rsid w:val="00ED6114"/>
    <w:rsid w:val="00ED6838"/>
    <w:rsid w:val="00ED71D5"/>
    <w:rsid w:val="00EE1509"/>
    <w:rsid w:val="00EE33FC"/>
    <w:rsid w:val="00EE50EF"/>
    <w:rsid w:val="00EE5996"/>
    <w:rsid w:val="00EE62C9"/>
    <w:rsid w:val="00EE6DD4"/>
    <w:rsid w:val="00EE713C"/>
    <w:rsid w:val="00EE7F73"/>
    <w:rsid w:val="00EF105F"/>
    <w:rsid w:val="00EF1457"/>
    <w:rsid w:val="00EF29FD"/>
    <w:rsid w:val="00EF3316"/>
    <w:rsid w:val="00EF34E7"/>
    <w:rsid w:val="00EF381E"/>
    <w:rsid w:val="00EF3CE0"/>
    <w:rsid w:val="00EF4D35"/>
    <w:rsid w:val="00EF6121"/>
    <w:rsid w:val="00EF6540"/>
    <w:rsid w:val="00EF6F4F"/>
    <w:rsid w:val="00EF7483"/>
    <w:rsid w:val="00EF7F80"/>
    <w:rsid w:val="00F0031F"/>
    <w:rsid w:val="00F0226B"/>
    <w:rsid w:val="00F02758"/>
    <w:rsid w:val="00F03989"/>
    <w:rsid w:val="00F0496E"/>
    <w:rsid w:val="00F04E5E"/>
    <w:rsid w:val="00F057F8"/>
    <w:rsid w:val="00F05A8C"/>
    <w:rsid w:val="00F10842"/>
    <w:rsid w:val="00F10D9E"/>
    <w:rsid w:val="00F10DD6"/>
    <w:rsid w:val="00F11524"/>
    <w:rsid w:val="00F11C90"/>
    <w:rsid w:val="00F12160"/>
    <w:rsid w:val="00F14FD5"/>
    <w:rsid w:val="00F15F08"/>
    <w:rsid w:val="00F17E34"/>
    <w:rsid w:val="00F20026"/>
    <w:rsid w:val="00F2042D"/>
    <w:rsid w:val="00F20438"/>
    <w:rsid w:val="00F20C11"/>
    <w:rsid w:val="00F22241"/>
    <w:rsid w:val="00F22F65"/>
    <w:rsid w:val="00F232EC"/>
    <w:rsid w:val="00F23612"/>
    <w:rsid w:val="00F2395B"/>
    <w:rsid w:val="00F23C6F"/>
    <w:rsid w:val="00F25308"/>
    <w:rsid w:val="00F25349"/>
    <w:rsid w:val="00F25425"/>
    <w:rsid w:val="00F30E5E"/>
    <w:rsid w:val="00F30E7F"/>
    <w:rsid w:val="00F320B3"/>
    <w:rsid w:val="00F33E20"/>
    <w:rsid w:val="00F33E7E"/>
    <w:rsid w:val="00F34217"/>
    <w:rsid w:val="00F35806"/>
    <w:rsid w:val="00F37487"/>
    <w:rsid w:val="00F37655"/>
    <w:rsid w:val="00F4111D"/>
    <w:rsid w:val="00F415E5"/>
    <w:rsid w:val="00F41C38"/>
    <w:rsid w:val="00F43A67"/>
    <w:rsid w:val="00F43C1E"/>
    <w:rsid w:val="00F44F48"/>
    <w:rsid w:val="00F4507D"/>
    <w:rsid w:val="00F4620A"/>
    <w:rsid w:val="00F46F20"/>
    <w:rsid w:val="00F47A4D"/>
    <w:rsid w:val="00F47FD5"/>
    <w:rsid w:val="00F50EE3"/>
    <w:rsid w:val="00F5299F"/>
    <w:rsid w:val="00F52D0B"/>
    <w:rsid w:val="00F535AC"/>
    <w:rsid w:val="00F53E0D"/>
    <w:rsid w:val="00F55F89"/>
    <w:rsid w:val="00F56839"/>
    <w:rsid w:val="00F56DF4"/>
    <w:rsid w:val="00F578E4"/>
    <w:rsid w:val="00F57E7C"/>
    <w:rsid w:val="00F604D9"/>
    <w:rsid w:val="00F60CCE"/>
    <w:rsid w:val="00F60FCA"/>
    <w:rsid w:val="00F616DB"/>
    <w:rsid w:val="00F62311"/>
    <w:rsid w:val="00F626F8"/>
    <w:rsid w:val="00F629B1"/>
    <w:rsid w:val="00F62BB1"/>
    <w:rsid w:val="00F62DEB"/>
    <w:rsid w:val="00F6368A"/>
    <w:rsid w:val="00F65BCD"/>
    <w:rsid w:val="00F674AE"/>
    <w:rsid w:val="00F6783E"/>
    <w:rsid w:val="00F67D79"/>
    <w:rsid w:val="00F716B4"/>
    <w:rsid w:val="00F724C6"/>
    <w:rsid w:val="00F727EC"/>
    <w:rsid w:val="00F72FAE"/>
    <w:rsid w:val="00F732EC"/>
    <w:rsid w:val="00F7463A"/>
    <w:rsid w:val="00F75533"/>
    <w:rsid w:val="00F75DED"/>
    <w:rsid w:val="00F80D05"/>
    <w:rsid w:val="00F80F32"/>
    <w:rsid w:val="00F81D51"/>
    <w:rsid w:val="00F82DED"/>
    <w:rsid w:val="00F82EB6"/>
    <w:rsid w:val="00F8345B"/>
    <w:rsid w:val="00F844A4"/>
    <w:rsid w:val="00F86AEC"/>
    <w:rsid w:val="00F87E6F"/>
    <w:rsid w:val="00F90980"/>
    <w:rsid w:val="00F946DD"/>
    <w:rsid w:val="00F94FA7"/>
    <w:rsid w:val="00F952F0"/>
    <w:rsid w:val="00F952FE"/>
    <w:rsid w:val="00F95616"/>
    <w:rsid w:val="00F95C7B"/>
    <w:rsid w:val="00FA0BBA"/>
    <w:rsid w:val="00FA0FE4"/>
    <w:rsid w:val="00FA12DD"/>
    <w:rsid w:val="00FA245D"/>
    <w:rsid w:val="00FA25DC"/>
    <w:rsid w:val="00FA3BF0"/>
    <w:rsid w:val="00FA42F5"/>
    <w:rsid w:val="00FA489C"/>
    <w:rsid w:val="00FA57BF"/>
    <w:rsid w:val="00FA684E"/>
    <w:rsid w:val="00FA6870"/>
    <w:rsid w:val="00FA6CFD"/>
    <w:rsid w:val="00FA7946"/>
    <w:rsid w:val="00FA7D30"/>
    <w:rsid w:val="00FB05B5"/>
    <w:rsid w:val="00FB0708"/>
    <w:rsid w:val="00FB1CB1"/>
    <w:rsid w:val="00FB30F1"/>
    <w:rsid w:val="00FB48AF"/>
    <w:rsid w:val="00FB48B1"/>
    <w:rsid w:val="00FB4BE7"/>
    <w:rsid w:val="00FB4F31"/>
    <w:rsid w:val="00FB51E6"/>
    <w:rsid w:val="00FB5950"/>
    <w:rsid w:val="00FB5D63"/>
    <w:rsid w:val="00FB6089"/>
    <w:rsid w:val="00FB6D21"/>
    <w:rsid w:val="00FB7562"/>
    <w:rsid w:val="00FB769C"/>
    <w:rsid w:val="00FB78F0"/>
    <w:rsid w:val="00FC3B72"/>
    <w:rsid w:val="00FC3C2A"/>
    <w:rsid w:val="00FC42CC"/>
    <w:rsid w:val="00FC4FAC"/>
    <w:rsid w:val="00FC58D1"/>
    <w:rsid w:val="00FC5BB9"/>
    <w:rsid w:val="00FC6613"/>
    <w:rsid w:val="00FC67EB"/>
    <w:rsid w:val="00FD11C8"/>
    <w:rsid w:val="00FD1296"/>
    <w:rsid w:val="00FD16BA"/>
    <w:rsid w:val="00FD24D7"/>
    <w:rsid w:val="00FD294B"/>
    <w:rsid w:val="00FD32ED"/>
    <w:rsid w:val="00FD5D53"/>
    <w:rsid w:val="00FD6D4E"/>
    <w:rsid w:val="00FE309B"/>
    <w:rsid w:val="00FE325D"/>
    <w:rsid w:val="00FE3798"/>
    <w:rsid w:val="00FE42B1"/>
    <w:rsid w:val="00FE498D"/>
    <w:rsid w:val="00FE4C07"/>
    <w:rsid w:val="00FE4C72"/>
    <w:rsid w:val="00FE4F2D"/>
    <w:rsid w:val="00FE4F5C"/>
    <w:rsid w:val="00FE5149"/>
    <w:rsid w:val="00FE6B04"/>
    <w:rsid w:val="00FE6B31"/>
    <w:rsid w:val="00FF1770"/>
    <w:rsid w:val="00FF3DBA"/>
    <w:rsid w:val="00FF4EE3"/>
    <w:rsid w:val="00FF5567"/>
    <w:rsid w:val="00FF5804"/>
    <w:rsid w:val="00FF6D73"/>
    <w:rsid w:val="00FF786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F5DD8A"/>
  <w15:docId w15:val="{23F10762-06F6-4549-AB4B-9FCD90945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a-DK" w:eastAsia="es-ES_trad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E70"/>
    <w:rPr>
      <w:sz w:val="20"/>
      <w:szCs w:val="20"/>
      <w:lang w:eastAsia="es-ES"/>
    </w:rPr>
  </w:style>
  <w:style w:type="paragraph" w:styleId="Heading1">
    <w:name w:val="heading 1"/>
    <w:basedOn w:val="Normal"/>
    <w:next w:val="Normal"/>
    <w:link w:val="Heading1Char"/>
    <w:uiPriority w:val="99"/>
    <w:qFormat/>
    <w:rsid w:val="004A7597"/>
    <w:pPr>
      <w:keepNext/>
      <w:outlineLvl w:val="0"/>
    </w:pPr>
    <w:rPr>
      <w:sz w:val="24"/>
    </w:rPr>
  </w:style>
  <w:style w:type="paragraph" w:styleId="Heading2">
    <w:name w:val="heading 2"/>
    <w:basedOn w:val="Normal"/>
    <w:next w:val="Normal"/>
    <w:link w:val="Heading2Char"/>
    <w:uiPriority w:val="99"/>
    <w:qFormat/>
    <w:rsid w:val="004A7597"/>
    <w:pPr>
      <w:keepNext/>
      <w:ind w:left="-709"/>
      <w:jc w:val="center"/>
      <w:outlineLvl w:val="1"/>
    </w:pPr>
    <w:rPr>
      <w:sz w:val="24"/>
    </w:rPr>
  </w:style>
  <w:style w:type="paragraph" w:styleId="Heading3">
    <w:name w:val="heading 3"/>
    <w:basedOn w:val="Normal"/>
    <w:next w:val="Normal"/>
    <w:link w:val="Heading3Char"/>
    <w:uiPriority w:val="99"/>
    <w:qFormat/>
    <w:locked/>
    <w:rsid w:val="007D762C"/>
    <w:pPr>
      <w:keepNext/>
      <w:keepLines/>
      <w:spacing w:before="40"/>
      <w:outlineLvl w:val="2"/>
    </w:pPr>
    <w:rPr>
      <w:rFonts w:ascii="Cambria" w:hAnsi="Cambria"/>
      <w:color w:val="243F60"/>
      <w:sz w:val="24"/>
      <w:szCs w:val="24"/>
    </w:rPr>
  </w:style>
  <w:style w:type="paragraph" w:styleId="Heading4">
    <w:name w:val="heading 4"/>
    <w:basedOn w:val="Normal"/>
    <w:next w:val="Normal"/>
    <w:link w:val="Heading4Char"/>
    <w:uiPriority w:val="99"/>
    <w:qFormat/>
    <w:rsid w:val="004A7597"/>
    <w:pPr>
      <w:keepNext/>
      <w:jc w:val="both"/>
      <w:outlineLvl w:val="3"/>
    </w:pPr>
    <w:rPr>
      <w:rFonts w:ascii="Arial" w:hAnsi="Arial"/>
      <w:b/>
      <w:sz w:val="24"/>
    </w:rPr>
  </w:style>
  <w:style w:type="paragraph" w:styleId="Heading7">
    <w:name w:val="heading 7"/>
    <w:basedOn w:val="Normal"/>
    <w:next w:val="Normal"/>
    <w:link w:val="Heading7Char"/>
    <w:uiPriority w:val="99"/>
    <w:qFormat/>
    <w:rsid w:val="00327317"/>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025F3"/>
    <w:rPr>
      <w:rFonts w:ascii="Cambria" w:hAnsi="Cambria" w:cs="Times New Roman"/>
      <w:b/>
      <w:bCs/>
      <w:kern w:val="32"/>
      <w:sz w:val="32"/>
      <w:szCs w:val="32"/>
      <w:lang w:val="da-DK"/>
    </w:rPr>
  </w:style>
  <w:style w:type="character" w:customStyle="1" w:styleId="Heading2Char">
    <w:name w:val="Heading 2 Char"/>
    <w:basedOn w:val="DefaultParagraphFont"/>
    <w:link w:val="Heading2"/>
    <w:uiPriority w:val="99"/>
    <w:semiHidden/>
    <w:locked/>
    <w:rsid w:val="009025F3"/>
    <w:rPr>
      <w:rFonts w:ascii="Cambria" w:hAnsi="Cambria" w:cs="Times New Roman"/>
      <w:b/>
      <w:bCs/>
      <w:i/>
      <w:iCs/>
      <w:sz w:val="28"/>
      <w:szCs w:val="28"/>
      <w:lang w:val="da-DK"/>
    </w:rPr>
  </w:style>
  <w:style w:type="character" w:customStyle="1" w:styleId="Heading3Char">
    <w:name w:val="Heading 3 Char"/>
    <w:basedOn w:val="DefaultParagraphFont"/>
    <w:link w:val="Heading3"/>
    <w:uiPriority w:val="99"/>
    <w:semiHidden/>
    <w:locked/>
    <w:rsid w:val="007D762C"/>
    <w:rPr>
      <w:rFonts w:ascii="Cambria" w:hAnsi="Cambria" w:cs="Times New Roman"/>
      <w:color w:val="243F60"/>
      <w:sz w:val="24"/>
      <w:szCs w:val="24"/>
      <w:lang w:val="da-DK"/>
    </w:rPr>
  </w:style>
  <w:style w:type="character" w:customStyle="1" w:styleId="Heading4Char">
    <w:name w:val="Heading 4 Char"/>
    <w:basedOn w:val="DefaultParagraphFont"/>
    <w:link w:val="Heading4"/>
    <w:uiPriority w:val="99"/>
    <w:semiHidden/>
    <w:locked/>
    <w:rsid w:val="009025F3"/>
    <w:rPr>
      <w:rFonts w:ascii="Calibri" w:hAnsi="Calibri" w:cs="Times New Roman"/>
      <w:b/>
      <w:bCs/>
      <w:sz w:val="28"/>
      <w:szCs w:val="28"/>
      <w:lang w:val="da-DK"/>
    </w:rPr>
  </w:style>
  <w:style w:type="character" w:customStyle="1" w:styleId="Heading7Char">
    <w:name w:val="Heading 7 Char"/>
    <w:basedOn w:val="DefaultParagraphFont"/>
    <w:link w:val="Heading7"/>
    <w:uiPriority w:val="99"/>
    <w:semiHidden/>
    <w:locked/>
    <w:rsid w:val="009025F3"/>
    <w:rPr>
      <w:rFonts w:ascii="Calibri" w:hAnsi="Calibri" w:cs="Times New Roman"/>
      <w:sz w:val="24"/>
      <w:szCs w:val="24"/>
      <w:lang w:val="da-DK"/>
    </w:rPr>
  </w:style>
  <w:style w:type="paragraph" w:styleId="Header">
    <w:name w:val="header"/>
    <w:basedOn w:val="Normal"/>
    <w:link w:val="HeaderChar"/>
    <w:uiPriority w:val="99"/>
    <w:rsid w:val="004A7597"/>
    <w:pPr>
      <w:tabs>
        <w:tab w:val="center" w:pos="4252"/>
        <w:tab w:val="right" w:pos="8504"/>
      </w:tabs>
    </w:pPr>
  </w:style>
  <w:style w:type="character" w:customStyle="1" w:styleId="HeaderChar">
    <w:name w:val="Header Char"/>
    <w:basedOn w:val="DefaultParagraphFont"/>
    <w:link w:val="Header"/>
    <w:uiPriority w:val="99"/>
    <w:locked/>
    <w:rsid w:val="009025F3"/>
    <w:rPr>
      <w:rFonts w:cs="Times New Roman"/>
      <w:sz w:val="20"/>
      <w:szCs w:val="20"/>
      <w:lang w:val="da-DK"/>
    </w:rPr>
  </w:style>
  <w:style w:type="paragraph" w:styleId="Footer">
    <w:name w:val="footer"/>
    <w:basedOn w:val="Normal"/>
    <w:link w:val="FooterChar"/>
    <w:uiPriority w:val="99"/>
    <w:rsid w:val="004A7597"/>
    <w:pPr>
      <w:tabs>
        <w:tab w:val="center" w:pos="4252"/>
        <w:tab w:val="right" w:pos="8504"/>
      </w:tabs>
    </w:pPr>
  </w:style>
  <w:style w:type="character" w:customStyle="1" w:styleId="FooterChar">
    <w:name w:val="Footer Char"/>
    <w:basedOn w:val="DefaultParagraphFont"/>
    <w:link w:val="Footer"/>
    <w:uiPriority w:val="99"/>
    <w:locked/>
    <w:rsid w:val="009025F3"/>
    <w:rPr>
      <w:rFonts w:cs="Times New Roman"/>
      <w:sz w:val="20"/>
      <w:szCs w:val="20"/>
      <w:lang w:val="da-DK"/>
    </w:rPr>
  </w:style>
  <w:style w:type="paragraph" w:styleId="BodyText">
    <w:name w:val="Body Text"/>
    <w:basedOn w:val="Normal"/>
    <w:link w:val="BodyTextChar"/>
    <w:uiPriority w:val="99"/>
    <w:rsid w:val="004A7597"/>
    <w:pPr>
      <w:jc w:val="both"/>
    </w:pPr>
    <w:rPr>
      <w:rFonts w:ascii="Arial" w:hAnsi="Arial"/>
      <w:sz w:val="24"/>
    </w:rPr>
  </w:style>
  <w:style w:type="character" w:customStyle="1" w:styleId="BodyTextChar">
    <w:name w:val="Body Text Char"/>
    <w:basedOn w:val="DefaultParagraphFont"/>
    <w:link w:val="BodyText"/>
    <w:uiPriority w:val="99"/>
    <w:semiHidden/>
    <w:locked/>
    <w:rsid w:val="009025F3"/>
    <w:rPr>
      <w:rFonts w:cs="Times New Roman"/>
      <w:sz w:val="20"/>
      <w:szCs w:val="20"/>
      <w:lang w:val="da-DK"/>
    </w:rPr>
  </w:style>
  <w:style w:type="paragraph" w:styleId="BodyText2">
    <w:name w:val="Body Text 2"/>
    <w:basedOn w:val="Normal"/>
    <w:link w:val="BodyText2Char"/>
    <w:uiPriority w:val="99"/>
    <w:rsid w:val="004A7597"/>
    <w:pPr>
      <w:jc w:val="center"/>
    </w:pPr>
    <w:rPr>
      <w:rFonts w:ascii="Arial" w:hAnsi="Arial"/>
      <w:b/>
      <w:sz w:val="24"/>
    </w:rPr>
  </w:style>
  <w:style w:type="character" w:customStyle="1" w:styleId="BodyText2Char">
    <w:name w:val="Body Text 2 Char"/>
    <w:basedOn w:val="DefaultParagraphFont"/>
    <w:link w:val="BodyText2"/>
    <w:uiPriority w:val="99"/>
    <w:semiHidden/>
    <w:locked/>
    <w:rsid w:val="009025F3"/>
    <w:rPr>
      <w:rFonts w:cs="Times New Roman"/>
      <w:sz w:val="20"/>
      <w:szCs w:val="20"/>
      <w:lang w:val="da-DK"/>
    </w:rPr>
  </w:style>
  <w:style w:type="paragraph" w:styleId="BodyText3">
    <w:name w:val="Body Text 3"/>
    <w:basedOn w:val="Normal"/>
    <w:link w:val="BodyText3Char"/>
    <w:uiPriority w:val="99"/>
    <w:rsid w:val="004A7597"/>
    <w:pPr>
      <w:jc w:val="both"/>
    </w:pPr>
    <w:rPr>
      <w:rFonts w:ascii="Arial" w:hAnsi="Arial"/>
      <w:b/>
      <w:sz w:val="24"/>
      <w:u w:val="single"/>
    </w:rPr>
  </w:style>
  <w:style w:type="character" w:customStyle="1" w:styleId="BodyText3Char">
    <w:name w:val="Body Text 3 Char"/>
    <w:basedOn w:val="DefaultParagraphFont"/>
    <w:link w:val="BodyText3"/>
    <w:uiPriority w:val="99"/>
    <w:semiHidden/>
    <w:locked/>
    <w:rsid w:val="009025F3"/>
    <w:rPr>
      <w:rFonts w:cs="Times New Roman"/>
      <w:sz w:val="16"/>
      <w:szCs w:val="16"/>
      <w:lang w:val="da-DK"/>
    </w:rPr>
  </w:style>
  <w:style w:type="paragraph" w:styleId="Title">
    <w:name w:val="Title"/>
    <w:basedOn w:val="Normal"/>
    <w:link w:val="TitleChar"/>
    <w:uiPriority w:val="99"/>
    <w:qFormat/>
    <w:rsid w:val="004A7597"/>
    <w:pPr>
      <w:jc w:val="center"/>
    </w:pPr>
    <w:rPr>
      <w:rFonts w:ascii="Arial" w:hAnsi="Arial"/>
      <w:b/>
      <w:sz w:val="24"/>
    </w:rPr>
  </w:style>
  <w:style w:type="character" w:customStyle="1" w:styleId="TitleChar">
    <w:name w:val="Title Char"/>
    <w:basedOn w:val="DefaultParagraphFont"/>
    <w:link w:val="Title"/>
    <w:uiPriority w:val="99"/>
    <w:locked/>
    <w:rsid w:val="009025F3"/>
    <w:rPr>
      <w:rFonts w:ascii="Cambria" w:hAnsi="Cambria" w:cs="Times New Roman"/>
      <w:b/>
      <w:bCs/>
      <w:kern w:val="28"/>
      <w:sz w:val="32"/>
      <w:szCs w:val="32"/>
      <w:lang w:val="da-DK"/>
    </w:rPr>
  </w:style>
  <w:style w:type="paragraph" w:styleId="BodyTextIndent2">
    <w:name w:val="Body Text Indent 2"/>
    <w:basedOn w:val="Normal"/>
    <w:link w:val="BodyTextIndent2Char"/>
    <w:uiPriority w:val="99"/>
    <w:rsid w:val="004A7597"/>
    <w:pPr>
      <w:ind w:firstLine="705"/>
      <w:jc w:val="both"/>
    </w:pPr>
    <w:rPr>
      <w:rFonts w:ascii="Arial" w:hAnsi="Arial"/>
      <w:sz w:val="30"/>
    </w:rPr>
  </w:style>
  <w:style w:type="character" w:customStyle="1" w:styleId="BodyTextIndent2Char">
    <w:name w:val="Body Text Indent 2 Char"/>
    <w:basedOn w:val="DefaultParagraphFont"/>
    <w:link w:val="BodyTextIndent2"/>
    <w:uiPriority w:val="99"/>
    <w:semiHidden/>
    <w:locked/>
    <w:rsid w:val="009025F3"/>
    <w:rPr>
      <w:rFonts w:cs="Times New Roman"/>
      <w:sz w:val="20"/>
      <w:szCs w:val="20"/>
      <w:lang w:val="da-DK"/>
    </w:rPr>
  </w:style>
  <w:style w:type="paragraph" w:styleId="BodyTextIndent">
    <w:name w:val="Body Text Indent"/>
    <w:basedOn w:val="Normal"/>
    <w:link w:val="BodyTextIndentChar"/>
    <w:uiPriority w:val="99"/>
    <w:rsid w:val="004A7597"/>
    <w:pPr>
      <w:ind w:left="14" w:firstLine="691"/>
      <w:jc w:val="both"/>
    </w:pPr>
    <w:rPr>
      <w:rFonts w:ascii="Arial" w:hAnsi="Arial"/>
      <w:sz w:val="30"/>
    </w:rPr>
  </w:style>
  <w:style w:type="character" w:customStyle="1" w:styleId="BodyTextIndentChar">
    <w:name w:val="Body Text Indent Char"/>
    <w:basedOn w:val="DefaultParagraphFont"/>
    <w:link w:val="BodyTextIndent"/>
    <w:uiPriority w:val="99"/>
    <w:semiHidden/>
    <w:locked/>
    <w:rsid w:val="009025F3"/>
    <w:rPr>
      <w:rFonts w:cs="Times New Roman"/>
      <w:sz w:val="20"/>
      <w:szCs w:val="20"/>
      <w:lang w:val="da-DK"/>
    </w:rPr>
  </w:style>
  <w:style w:type="paragraph" w:styleId="ListBullet">
    <w:name w:val="List Bullet"/>
    <w:basedOn w:val="Normal"/>
    <w:autoRedefine/>
    <w:uiPriority w:val="99"/>
    <w:rsid w:val="004A7597"/>
    <w:pPr>
      <w:ind w:left="709" w:hanging="709"/>
    </w:pPr>
    <w:rPr>
      <w:rFonts w:ascii="Arial" w:hAnsi="Arial"/>
      <w:sz w:val="28"/>
    </w:rPr>
  </w:style>
  <w:style w:type="table" w:styleId="TableGrid">
    <w:name w:val="Table Grid"/>
    <w:basedOn w:val="TableNormal"/>
    <w:uiPriority w:val="99"/>
    <w:rsid w:val="006D739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6D7393"/>
    <w:rPr>
      <w:rFonts w:cs="Times New Roman"/>
    </w:rPr>
  </w:style>
  <w:style w:type="paragraph" w:styleId="BalloonText">
    <w:name w:val="Balloon Text"/>
    <w:basedOn w:val="Normal"/>
    <w:link w:val="BalloonTextChar"/>
    <w:uiPriority w:val="99"/>
    <w:semiHidden/>
    <w:rsid w:val="005255D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025F3"/>
    <w:rPr>
      <w:rFonts w:cs="Times New Roman"/>
      <w:sz w:val="2"/>
      <w:lang w:val="da-DK"/>
    </w:rPr>
  </w:style>
  <w:style w:type="paragraph" w:styleId="NormalWeb">
    <w:name w:val="Normal (Web)"/>
    <w:basedOn w:val="Normal"/>
    <w:uiPriority w:val="99"/>
    <w:rsid w:val="00A52556"/>
    <w:pPr>
      <w:spacing w:line="288" w:lineRule="auto"/>
    </w:pPr>
    <w:rPr>
      <w:rFonts w:ascii="Verdana" w:hAnsi="Verdana"/>
    </w:rPr>
  </w:style>
  <w:style w:type="paragraph" w:styleId="DocumentMap">
    <w:name w:val="Document Map"/>
    <w:basedOn w:val="Normal"/>
    <w:link w:val="DocumentMapChar"/>
    <w:uiPriority w:val="99"/>
    <w:semiHidden/>
    <w:rsid w:val="00154CE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9025F3"/>
    <w:rPr>
      <w:rFonts w:cs="Times New Roman"/>
      <w:sz w:val="2"/>
      <w:lang w:val="da-DK"/>
    </w:rPr>
  </w:style>
  <w:style w:type="character" w:styleId="Hyperlink">
    <w:name w:val="Hyperlink"/>
    <w:basedOn w:val="DefaultParagraphFont"/>
    <w:uiPriority w:val="99"/>
    <w:rsid w:val="001744A4"/>
    <w:rPr>
      <w:rFonts w:cs="Times New Roman"/>
      <w:color w:val="000000"/>
      <w:u w:val="none"/>
      <w:effect w:val="none"/>
    </w:rPr>
  </w:style>
  <w:style w:type="paragraph" w:customStyle="1" w:styleId="Car">
    <w:name w:val="Car"/>
    <w:basedOn w:val="Normal"/>
    <w:uiPriority w:val="99"/>
    <w:rsid w:val="00BB1CC3"/>
    <w:rPr>
      <w:sz w:val="24"/>
      <w:szCs w:val="24"/>
      <w:lang w:eastAsia="pl-PL"/>
    </w:rPr>
  </w:style>
  <w:style w:type="paragraph" w:customStyle="1" w:styleId="parrafo1">
    <w:name w:val="parrafo1"/>
    <w:basedOn w:val="Normal"/>
    <w:uiPriority w:val="99"/>
    <w:rsid w:val="00B87820"/>
    <w:pPr>
      <w:spacing w:before="180" w:after="180"/>
      <w:ind w:firstLine="360"/>
      <w:jc w:val="both"/>
    </w:pPr>
    <w:rPr>
      <w:sz w:val="24"/>
      <w:szCs w:val="24"/>
    </w:rPr>
  </w:style>
  <w:style w:type="character" w:styleId="CommentReference">
    <w:name w:val="annotation reference"/>
    <w:basedOn w:val="DefaultParagraphFont"/>
    <w:uiPriority w:val="99"/>
    <w:rsid w:val="004B75AC"/>
    <w:rPr>
      <w:rFonts w:cs="Times New Roman"/>
      <w:sz w:val="16"/>
      <w:szCs w:val="16"/>
    </w:rPr>
  </w:style>
  <w:style w:type="paragraph" w:styleId="CommentText">
    <w:name w:val="annotation text"/>
    <w:basedOn w:val="Normal"/>
    <w:link w:val="CommentTextChar"/>
    <w:uiPriority w:val="99"/>
    <w:rsid w:val="004B75AC"/>
  </w:style>
  <w:style w:type="character" w:customStyle="1" w:styleId="CommentTextChar">
    <w:name w:val="Comment Text Char"/>
    <w:basedOn w:val="DefaultParagraphFont"/>
    <w:link w:val="CommentText"/>
    <w:uiPriority w:val="99"/>
    <w:locked/>
    <w:rsid w:val="009025F3"/>
    <w:rPr>
      <w:rFonts w:cs="Times New Roman"/>
      <w:sz w:val="20"/>
      <w:szCs w:val="20"/>
      <w:lang w:val="da-DK"/>
    </w:rPr>
  </w:style>
  <w:style w:type="paragraph" w:styleId="CommentSubject">
    <w:name w:val="annotation subject"/>
    <w:basedOn w:val="CommentText"/>
    <w:next w:val="CommentText"/>
    <w:link w:val="CommentSubjectChar"/>
    <w:uiPriority w:val="99"/>
    <w:semiHidden/>
    <w:rsid w:val="004B75AC"/>
    <w:rPr>
      <w:b/>
      <w:bCs/>
    </w:rPr>
  </w:style>
  <w:style w:type="character" w:customStyle="1" w:styleId="CommentSubjectChar">
    <w:name w:val="Comment Subject Char"/>
    <w:basedOn w:val="CommentTextChar"/>
    <w:link w:val="CommentSubject"/>
    <w:uiPriority w:val="99"/>
    <w:semiHidden/>
    <w:locked/>
    <w:rsid w:val="009025F3"/>
    <w:rPr>
      <w:rFonts w:cs="Times New Roman"/>
      <w:b/>
      <w:bCs/>
      <w:sz w:val="20"/>
      <w:szCs w:val="20"/>
      <w:lang w:val="da-DK"/>
    </w:rPr>
  </w:style>
  <w:style w:type="character" w:customStyle="1" w:styleId="b1">
    <w:name w:val="b1"/>
    <w:basedOn w:val="DefaultParagraphFont"/>
    <w:uiPriority w:val="99"/>
    <w:rsid w:val="00805945"/>
    <w:rPr>
      <w:rFonts w:cs="Times New Roman"/>
      <w:color w:val="000000"/>
    </w:rPr>
  </w:style>
  <w:style w:type="paragraph" w:customStyle="1" w:styleId="Default">
    <w:name w:val="Default"/>
    <w:uiPriority w:val="99"/>
    <w:rsid w:val="005C2330"/>
    <w:pPr>
      <w:autoSpaceDE w:val="0"/>
      <w:autoSpaceDN w:val="0"/>
      <w:adjustRightInd w:val="0"/>
    </w:pPr>
    <w:rPr>
      <w:rFonts w:ascii="EUAlbertina" w:hAnsi="EUAlbertina" w:cs="EUAlbertina"/>
      <w:color w:val="000000"/>
      <w:sz w:val="24"/>
      <w:szCs w:val="24"/>
      <w:lang w:eastAsia="es-ES"/>
    </w:rPr>
  </w:style>
  <w:style w:type="paragraph" w:customStyle="1" w:styleId="Pa11">
    <w:name w:val="Pa11"/>
    <w:basedOn w:val="Default"/>
    <w:next w:val="Default"/>
    <w:uiPriority w:val="99"/>
    <w:rsid w:val="004766DA"/>
    <w:pPr>
      <w:spacing w:line="201" w:lineRule="atLeast"/>
    </w:pPr>
    <w:rPr>
      <w:rFonts w:ascii="Arial" w:hAnsi="Arial" w:cs="Times New Roman"/>
      <w:color w:val="auto"/>
    </w:rPr>
  </w:style>
  <w:style w:type="paragraph" w:customStyle="1" w:styleId="Pa6">
    <w:name w:val="Pa6"/>
    <w:basedOn w:val="Default"/>
    <w:next w:val="Default"/>
    <w:uiPriority w:val="99"/>
    <w:rsid w:val="004766DA"/>
    <w:pPr>
      <w:spacing w:line="201" w:lineRule="atLeast"/>
    </w:pPr>
    <w:rPr>
      <w:rFonts w:ascii="Arial" w:hAnsi="Arial" w:cs="Times New Roman"/>
      <w:color w:val="auto"/>
    </w:rPr>
  </w:style>
  <w:style w:type="paragraph" w:customStyle="1" w:styleId="CM1">
    <w:name w:val="CM1"/>
    <w:basedOn w:val="Default"/>
    <w:next w:val="Default"/>
    <w:uiPriority w:val="99"/>
    <w:rsid w:val="008212B3"/>
    <w:rPr>
      <w:rFonts w:cs="Times New Roman"/>
      <w:color w:val="auto"/>
    </w:rPr>
  </w:style>
  <w:style w:type="paragraph" w:customStyle="1" w:styleId="CM3">
    <w:name w:val="CM3"/>
    <w:basedOn w:val="Default"/>
    <w:next w:val="Default"/>
    <w:uiPriority w:val="99"/>
    <w:rsid w:val="008212B3"/>
    <w:rPr>
      <w:rFonts w:cs="Times New Roman"/>
      <w:color w:val="auto"/>
    </w:rPr>
  </w:style>
  <w:style w:type="paragraph" w:customStyle="1" w:styleId="CM4">
    <w:name w:val="CM4"/>
    <w:basedOn w:val="Default"/>
    <w:next w:val="Default"/>
    <w:uiPriority w:val="99"/>
    <w:rsid w:val="008212B3"/>
    <w:rPr>
      <w:rFonts w:cs="Times New Roman"/>
      <w:color w:val="auto"/>
    </w:rPr>
  </w:style>
  <w:style w:type="paragraph" w:styleId="ListParagraph">
    <w:name w:val="List Paragraph"/>
    <w:basedOn w:val="Normal"/>
    <w:uiPriority w:val="34"/>
    <w:qFormat/>
    <w:rsid w:val="00DB3339"/>
    <w:pPr>
      <w:ind w:left="720"/>
      <w:contextualSpacing/>
    </w:pPr>
  </w:style>
  <w:style w:type="paragraph" w:styleId="FootnoteText">
    <w:name w:val="footnote text"/>
    <w:basedOn w:val="Normal"/>
    <w:link w:val="FootnoteTextChar"/>
    <w:uiPriority w:val="99"/>
    <w:semiHidden/>
    <w:rsid w:val="00501482"/>
  </w:style>
  <w:style w:type="character" w:customStyle="1" w:styleId="FootnoteTextChar">
    <w:name w:val="Footnote Text Char"/>
    <w:basedOn w:val="DefaultParagraphFont"/>
    <w:link w:val="FootnoteText"/>
    <w:uiPriority w:val="99"/>
    <w:semiHidden/>
    <w:locked/>
    <w:rsid w:val="00501482"/>
    <w:rPr>
      <w:rFonts w:cs="Times New Roman"/>
      <w:sz w:val="20"/>
      <w:szCs w:val="20"/>
      <w:lang w:val="da-DK"/>
    </w:rPr>
  </w:style>
  <w:style w:type="character" w:styleId="FootnoteReference">
    <w:name w:val="footnote reference"/>
    <w:basedOn w:val="DefaultParagraphFont"/>
    <w:uiPriority w:val="99"/>
    <w:semiHidden/>
    <w:rsid w:val="00501482"/>
    <w:rPr>
      <w:rFonts w:cs="Times New Roman"/>
      <w:vertAlign w:val="superscript"/>
    </w:rPr>
  </w:style>
  <w:style w:type="character" w:customStyle="1" w:styleId="super">
    <w:name w:val="super"/>
    <w:basedOn w:val="DefaultParagraphFont"/>
    <w:uiPriority w:val="99"/>
    <w:rsid w:val="00501482"/>
    <w:rPr>
      <w:rFonts w:cs="Times New Roman"/>
    </w:rPr>
  </w:style>
  <w:style w:type="paragraph" w:styleId="Revision">
    <w:name w:val="Revision"/>
    <w:hidden/>
    <w:uiPriority w:val="99"/>
    <w:semiHidden/>
    <w:rsid w:val="00B02531"/>
    <w:rPr>
      <w:sz w:val="20"/>
      <w:szCs w:val="20"/>
      <w:lang w:eastAsia="es-ES"/>
    </w:rPr>
  </w:style>
  <w:style w:type="paragraph" w:customStyle="1" w:styleId="cabezatabla">
    <w:name w:val="cabeza_tabla"/>
    <w:basedOn w:val="Normal"/>
    <w:uiPriority w:val="99"/>
    <w:rsid w:val="005F0C8A"/>
    <w:pPr>
      <w:spacing w:before="100" w:beforeAutospacing="1" w:after="100" w:afterAutospacing="1"/>
    </w:pPr>
    <w:rPr>
      <w:sz w:val="24"/>
      <w:szCs w:val="24"/>
    </w:rPr>
  </w:style>
  <w:style w:type="paragraph" w:customStyle="1" w:styleId="cuerpotablaizq">
    <w:name w:val="cuerpo_tabla_izq"/>
    <w:basedOn w:val="Normal"/>
    <w:uiPriority w:val="99"/>
    <w:rsid w:val="005F0C8A"/>
    <w:pPr>
      <w:spacing w:before="100" w:beforeAutospacing="1" w:after="100" w:afterAutospacing="1"/>
    </w:pPr>
    <w:rPr>
      <w:sz w:val="24"/>
      <w:szCs w:val="24"/>
    </w:rPr>
  </w:style>
  <w:style w:type="paragraph" w:customStyle="1" w:styleId="cuerpotablader">
    <w:name w:val="cuerpo_tabla_der"/>
    <w:basedOn w:val="Normal"/>
    <w:uiPriority w:val="99"/>
    <w:rsid w:val="005F0C8A"/>
    <w:pPr>
      <w:spacing w:before="100" w:beforeAutospacing="1" w:after="100" w:afterAutospacing="1"/>
    </w:pPr>
    <w:rPr>
      <w:sz w:val="24"/>
      <w:szCs w:val="24"/>
    </w:rPr>
  </w:style>
  <w:style w:type="character" w:styleId="Emphasis">
    <w:name w:val="Emphasis"/>
    <w:uiPriority w:val="20"/>
    <w:qFormat/>
    <w:locked/>
    <w:rsid w:val="00FD12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576731">
      <w:marLeft w:val="0"/>
      <w:marRight w:val="0"/>
      <w:marTop w:val="0"/>
      <w:marBottom w:val="0"/>
      <w:divBdr>
        <w:top w:val="none" w:sz="0" w:space="0" w:color="auto"/>
        <w:left w:val="none" w:sz="0" w:space="0" w:color="auto"/>
        <w:bottom w:val="none" w:sz="0" w:space="0" w:color="auto"/>
        <w:right w:val="none" w:sz="0" w:space="0" w:color="auto"/>
      </w:divBdr>
    </w:div>
    <w:div w:id="1339576732">
      <w:marLeft w:val="0"/>
      <w:marRight w:val="0"/>
      <w:marTop w:val="0"/>
      <w:marBottom w:val="0"/>
      <w:divBdr>
        <w:top w:val="none" w:sz="0" w:space="0" w:color="auto"/>
        <w:left w:val="none" w:sz="0" w:space="0" w:color="auto"/>
        <w:bottom w:val="none" w:sz="0" w:space="0" w:color="auto"/>
        <w:right w:val="none" w:sz="0" w:space="0" w:color="auto"/>
      </w:divBdr>
    </w:div>
    <w:div w:id="1339576733">
      <w:marLeft w:val="0"/>
      <w:marRight w:val="0"/>
      <w:marTop w:val="0"/>
      <w:marBottom w:val="0"/>
      <w:divBdr>
        <w:top w:val="none" w:sz="0" w:space="0" w:color="auto"/>
        <w:left w:val="none" w:sz="0" w:space="0" w:color="auto"/>
        <w:bottom w:val="none" w:sz="0" w:space="0" w:color="auto"/>
        <w:right w:val="none" w:sz="0" w:space="0" w:color="auto"/>
      </w:divBdr>
    </w:div>
    <w:div w:id="1339576734">
      <w:marLeft w:val="0"/>
      <w:marRight w:val="0"/>
      <w:marTop w:val="0"/>
      <w:marBottom w:val="0"/>
      <w:divBdr>
        <w:top w:val="none" w:sz="0" w:space="0" w:color="auto"/>
        <w:left w:val="none" w:sz="0" w:space="0" w:color="auto"/>
        <w:bottom w:val="none" w:sz="0" w:space="0" w:color="auto"/>
        <w:right w:val="none" w:sz="0" w:space="0" w:color="auto"/>
      </w:divBdr>
    </w:div>
    <w:div w:id="1339576735">
      <w:marLeft w:val="0"/>
      <w:marRight w:val="0"/>
      <w:marTop w:val="0"/>
      <w:marBottom w:val="0"/>
      <w:divBdr>
        <w:top w:val="none" w:sz="0" w:space="0" w:color="auto"/>
        <w:left w:val="none" w:sz="0" w:space="0" w:color="auto"/>
        <w:bottom w:val="none" w:sz="0" w:space="0" w:color="auto"/>
        <w:right w:val="none" w:sz="0" w:space="0" w:color="auto"/>
      </w:divBdr>
    </w:div>
    <w:div w:id="1339576736">
      <w:marLeft w:val="0"/>
      <w:marRight w:val="0"/>
      <w:marTop w:val="0"/>
      <w:marBottom w:val="0"/>
      <w:divBdr>
        <w:top w:val="none" w:sz="0" w:space="0" w:color="auto"/>
        <w:left w:val="none" w:sz="0" w:space="0" w:color="auto"/>
        <w:bottom w:val="none" w:sz="0" w:space="0" w:color="auto"/>
        <w:right w:val="none" w:sz="0" w:space="0" w:color="auto"/>
      </w:divBdr>
    </w:div>
    <w:div w:id="1339576737">
      <w:marLeft w:val="0"/>
      <w:marRight w:val="0"/>
      <w:marTop w:val="0"/>
      <w:marBottom w:val="0"/>
      <w:divBdr>
        <w:top w:val="none" w:sz="0" w:space="0" w:color="auto"/>
        <w:left w:val="none" w:sz="0" w:space="0" w:color="auto"/>
        <w:bottom w:val="none" w:sz="0" w:space="0" w:color="auto"/>
        <w:right w:val="none" w:sz="0" w:space="0" w:color="auto"/>
      </w:divBdr>
    </w:div>
    <w:div w:id="1339576738">
      <w:marLeft w:val="0"/>
      <w:marRight w:val="0"/>
      <w:marTop w:val="0"/>
      <w:marBottom w:val="0"/>
      <w:divBdr>
        <w:top w:val="none" w:sz="0" w:space="0" w:color="auto"/>
        <w:left w:val="none" w:sz="0" w:space="0" w:color="auto"/>
        <w:bottom w:val="none" w:sz="0" w:space="0" w:color="auto"/>
        <w:right w:val="none" w:sz="0" w:space="0" w:color="auto"/>
      </w:divBdr>
    </w:div>
    <w:div w:id="1339576739">
      <w:marLeft w:val="0"/>
      <w:marRight w:val="0"/>
      <w:marTop w:val="0"/>
      <w:marBottom w:val="0"/>
      <w:divBdr>
        <w:top w:val="none" w:sz="0" w:space="0" w:color="auto"/>
        <w:left w:val="none" w:sz="0" w:space="0" w:color="auto"/>
        <w:bottom w:val="none" w:sz="0" w:space="0" w:color="auto"/>
        <w:right w:val="none" w:sz="0" w:space="0" w:color="auto"/>
      </w:divBdr>
    </w:div>
    <w:div w:id="1339576741">
      <w:marLeft w:val="0"/>
      <w:marRight w:val="0"/>
      <w:marTop w:val="0"/>
      <w:marBottom w:val="0"/>
      <w:divBdr>
        <w:top w:val="none" w:sz="0" w:space="0" w:color="auto"/>
        <w:left w:val="none" w:sz="0" w:space="0" w:color="auto"/>
        <w:bottom w:val="none" w:sz="0" w:space="0" w:color="auto"/>
        <w:right w:val="none" w:sz="0" w:space="0" w:color="auto"/>
      </w:divBdr>
    </w:div>
    <w:div w:id="1339576742">
      <w:marLeft w:val="0"/>
      <w:marRight w:val="0"/>
      <w:marTop w:val="0"/>
      <w:marBottom w:val="0"/>
      <w:divBdr>
        <w:top w:val="none" w:sz="0" w:space="0" w:color="auto"/>
        <w:left w:val="none" w:sz="0" w:space="0" w:color="auto"/>
        <w:bottom w:val="none" w:sz="0" w:space="0" w:color="auto"/>
        <w:right w:val="none" w:sz="0" w:space="0" w:color="auto"/>
      </w:divBdr>
    </w:div>
    <w:div w:id="1339576746">
      <w:marLeft w:val="0"/>
      <w:marRight w:val="0"/>
      <w:marTop w:val="0"/>
      <w:marBottom w:val="0"/>
      <w:divBdr>
        <w:top w:val="none" w:sz="0" w:space="0" w:color="auto"/>
        <w:left w:val="none" w:sz="0" w:space="0" w:color="auto"/>
        <w:bottom w:val="none" w:sz="0" w:space="0" w:color="auto"/>
        <w:right w:val="none" w:sz="0" w:space="0" w:color="auto"/>
      </w:divBdr>
      <w:divsChild>
        <w:div w:id="1339576747">
          <w:marLeft w:val="0"/>
          <w:marRight w:val="0"/>
          <w:marTop w:val="0"/>
          <w:marBottom w:val="0"/>
          <w:divBdr>
            <w:top w:val="none" w:sz="0" w:space="0" w:color="auto"/>
            <w:left w:val="none" w:sz="0" w:space="0" w:color="auto"/>
            <w:bottom w:val="none" w:sz="0" w:space="0" w:color="auto"/>
            <w:right w:val="none" w:sz="0" w:space="0" w:color="auto"/>
          </w:divBdr>
          <w:divsChild>
            <w:div w:id="133957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576748">
      <w:marLeft w:val="0"/>
      <w:marRight w:val="0"/>
      <w:marTop w:val="0"/>
      <w:marBottom w:val="0"/>
      <w:divBdr>
        <w:top w:val="none" w:sz="0" w:space="0" w:color="auto"/>
        <w:left w:val="none" w:sz="0" w:space="0" w:color="auto"/>
        <w:bottom w:val="none" w:sz="0" w:space="0" w:color="auto"/>
        <w:right w:val="none" w:sz="0" w:space="0" w:color="auto"/>
      </w:divBdr>
    </w:div>
    <w:div w:id="1339576749">
      <w:marLeft w:val="0"/>
      <w:marRight w:val="0"/>
      <w:marTop w:val="0"/>
      <w:marBottom w:val="0"/>
      <w:divBdr>
        <w:top w:val="none" w:sz="0" w:space="0" w:color="auto"/>
        <w:left w:val="none" w:sz="0" w:space="0" w:color="auto"/>
        <w:bottom w:val="none" w:sz="0" w:space="0" w:color="auto"/>
        <w:right w:val="none" w:sz="0" w:space="0" w:color="auto"/>
      </w:divBdr>
    </w:div>
    <w:div w:id="1339576750">
      <w:marLeft w:val="0"/>
      <w:marRight w:val="0"/>
      <w:marTop w:val="0"/>
      <w:marBottom w:val="0"/>
      <w:divBdr>
        <w:top w:val="none" w:sz="0" w:space="0" w:color="auto"/>
        <w:left w:val="none" w:sz="0" w:space="0" w:color="auto"/>
        <w:bottom w:val="none" w:sz="0" w:space="0" w:color="auto"/>
        <w:right w:val="none" w:sz="0" w:space="0" w:color="auto"/>
      </w:divBdr>
      <w:divsChild>
        <w:div w:id="1339576743">
          <w:marLeft w:val="0"/>
          <w:marRight w:val="0"/>
          <w:marTop w:val="0"/>
          <w:marBottom w:val="0"/>
          <w:divBdr>
            <w:top w:val="none" w:sz="0" w:space="0" w:color="auto"/>
            <w:left w:val="none" w:sz="0" w:space="0" w:color="auto"/>
            <w:bottom w:val="none" w:sz="0" w:space="0" w:color="auto"/>
            <w:right w:val="none" w:sz="0" w:space="0" w:color="auto"/>
          </w:divBdr>
          <w:divsChild>
            <w:div w:id="133957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576751">
      <w:marLeft w:val="0"/>
      <w:marRight w:val="0"/>
      <w:marTop w:val="0"/>
      <w:marBottom w:val="0"/>
      <w:divBdr>
        <w:top w:val="none" w:sz="0" w:space="0" w:color="auto"/>
        <w:left w:val="none" w:sz="0" w:space="0" w:color="auto"/>
        <w:bottom w:val="none" w:sz="0" w:space="0" w:color="auto"/>
        <w:right w:val="none" w:sz="0" w:space="0" w:color="auto"/>
      </w:divBdr>
    </w:div>
    <w:div w:id="1339576752">
      <w:marLeft w:val="0"/>
      <w:marRight w:val="0"/>
      <w:marTop w:val="0"/>
      <w:marBottom w:val="0"/>
      <w:divBdr>
        <w:top w:val="none" w:sz="0" w:space="0" w:color="auto"/>
        <w:left w:val="none" w:sz="0" w:space="0" w:color="auto"/>
        <w:bottom w:val="none" w:sz="0" w:space="0" w:color="auto"/>
        <w:right w:val="none" w:sz="0" w:space="0" w:color="auto"/>
      </w:divBdr>
    </w:div>
    <w:div w:id="1339576754">
      <w:marLeft w:val="0"/>
      <w:marRight w:val="0"/>
      <w:marTop w:val="0"/>
      <w:marBottom w:val="0"/>
      <w:divBdr>
        <w:top w:val="none" w:sz="0" w:space="0" w:color="auto"/>
        <w:left w:val="none" w:sz="0" w:space="0" w:color="auto"/>
        <w:bottom w:val="none" w:sz="0" w:space="0" w:color="auto"/>
        <w:right w:val="none" w:sz="0" w:space="0" w:color="auto"/>
      </w:divBdr>
    </w:div>
    <w:div w:id="1339576756">
      <w:marLeft w:val="0"/>
      <w:marRight w:val="0"/>
      <w:marTop w:val="0"/>
      <w:marBottom w:val="0"/>
      <w:divBdr>
        <w:top w:val="none" w:sz="0" w:space="0" w:color="auto"/>
        <w:left w:val="none" w:sz="0" w:space="0" w:color="auto"/>
        <w:bottom w:val="none" w:sz="0" w:space="0" w:color="auto"/>
        <w:right w:val="none" w:sz="0" w:space="0" w:color="auto"/>
      </w:divBdr>
    </w:div>
    <w:div w:id="1339576757">
      <w:marLeft w:val="0"/>
      <w:marRight w:val="0"/>
      <w:marTop w:val="0"/>
      <w:marBottom w:val="0"/>
      <w:divBdr>
        <w:top w:val="none" w:sz="0" w:space="0" w:color="auto"/>
        <w:left w:val="none" w:sz="0" w:space="0" w:color="auto"/>
        <w:bottom w:val="none" w:sz="0" w:space="0" w:color="auto"/>
        <w:right w:val="none" w:sz="0" w:space="0" w:color="auto"/>
      </w:divBdr>
    </w:div>
    <w:div w:id="1339576758">
      <w:marLeft w:val="0"/>
      <w:marRight w:val="0"/>
      <w:marTop w:val="0"/>
      <w:marBottom w:val="0"/>
      <w:divBdr>
        <w:top w:val="none" w:sz="0" w:space="0" w:color="auto"/>
        <w:left w:val="none" w:sz="0" w:space="0" w:color="auto"/>
        <w:bottom w:val="none" w:sz="0" w:space="0" w:color="auto"/>
        <w:right w:val="none" w:sz="0" w:space="0" w:color="auto"/>
      </w:divBdr>
      <w:divsChild>
        <w:div w:id="1339576744">
          <w:marLeft w:val="0"/>
          <w:marRight w:val="0"/>
          <w:marTop w:val="720"/>
          <w:marBottom w:val="720"/>
          <w:divBdr>
            <w:top w:val="none" w:sz="0" w:space="0" w:color="auto"/>
            <w:left w:val="none" w:sz="0" w:space="0" w:color="auto"/>
            <w:bottom w:val="none" w:sz="0" w:space="0" w:color="auto"/>
            <w:right w:val="none" w:sz="0" w:space="0" w:color="auto"/>
          </w:divBdr>
          <w:divsChild>
            <w:div w:id="1339576740">
              <w:marLeft w:val="0"/>
              <w:marRight w:val="0"/>
              <w:marTop w:val="0"/>
              <w:marBottom w:val="0"/>
              <w:divBdr>
                <w:top w:val="none" w:sz="0" w:space="0" w:color="auto"/>
                <w:left w:val="none" w:sz="0" w:space="0" w:color="auto"/>
                <w:bottom w:val="none" w:sz="0" w:space="0" w:color="auto"/>
                <w:right w:val="none" w:sz="0" w:space="0" w:color="auto"/>
              </w:divBdr>
              <w:divsChild>
                <w:div w:id="1339576753">
                  <w:marLeft w:val="0"/>
                  <w:marRight w:val="0"/>
                  <w:marTop w:val="480"/>
                  <w:marBottom w:val="0"/>
                  <w:divBdr>
                    <w:top w:val="single" w:sz="4" w:space="0" w:color="AAAAAA"/>
                    <w:left w:val="single" w:sz="4" w:space="0" w:color="AAAAAA"/>
                    <w:bottom w:val="single" w:sz="4" w:space="0" w:color="AAAAAA"/>
                    <w:right w:val="single" w:sz="4" w:space="0" w:color="AAAAAA"/>
                  </w:divBdr>
                </w:div>
              </w:divsChild>
            </w:div>
          </w:divsChild>
        </w:div>
      </w:divsChild>
    </w:div>
    <w:div w:id="1339576759">
      <w:marLeft w:val="0"/>
      <w:marRight w:val="0"/>
      <w:marTop w:val="0"/>
      <w:marBottom w:val="0"/>
      <w:divBdr>
        <w:top w:val="none" w:sz="0" w:space="0" w:color="auto"/>
        <w:left w:val="none" w:sz="0" w:space="0" w:color="auto"/>
        <w:bottom w:val="none" w:sz="0" w:space="0" w:color="auto"/>
        <w:right w:val="none" w:sz="0" w:space="0" w:color="auto"/>
      </w:divBdr>
      <w:divsChild>
        <w:div w:id="1339576760">
          <w:marLeft w:val="0"/>
          <w:marRight w:val="0"/>
          <w:marTop w:val="0"/>
          <w:marBottom w:val="0"/>
          <w:divBdr>
            <w:top w:val="single" w:sz="8" w:space="1" w:color="auto"/>
            <w:left w:val="single" w:sz="8" w:space="4" w:color="auto"/>
            <w:bottom w:val="single" w:sz="8" w:space="1" w:color="auto"/>
            <w:right w:val="single" w:sz="8" w:space="4" w:color="auto"/>
          </w:divBdr>
        </w:div>
      </w:divsChild>
    </w:div>
    <w:div w:id="1339576761">
      <w:marLeft w:val="0"/>
      <w:marRight w:val="0"/>
      <w:marTop w:val="0"/>
      <w:marBottom w:val="0"/>
      <w:divBdr>
        <w:top w:val="none" w:sz="0" w:space="0" w:color="auto"/>
        <w:left w:val="none" w:sz="0" w:space="0" w:color="auto"/>
        <w:bottom w:val="none" w:sz="0" w:space="0" w:color="auto"/>
        <w:right w:val="none" w:sz="0" w:space="0" w:color="auto"/>
      </w:divBdr>
    </w:div>
    <w:div w:id="1339576762">
      <w:marLeft w:val="0"/>
      <w:marRight w:val="0"/>
      <w:marTop w:val="0"/>
      <w:marBottom w:val="0"/>
      <w:divBdr>
        <w:top w:val="none" w:sz="0" w:space="0" w:color="auto"/>
        <w:left w:val="none" w:sz="0" w:space="0" w:color="auto"/>
        <w:bottom w:val="none" w:sz="0" w:space="0" w:color="auto"/>
        <w:right w:val="none" w:sz="0" w:space="0" w:color="auto"/>
      </w:divBdr>
    </w:div>
    <w:div w:id="1339576763">
      <w:marLeft w:val="0"/>
      <w:marRight w:val="0"/>
      <w:marTop w:val="0"/>
      <w:marBottom w:val="0"/>
      <w:divBdr>
        <w:top w:val="none" w:sz="0" w:space="0" w:color="auto"/>
        <w:left w:val="none" w:sz="0" w:space="0" w:color="auto"/>
        <w:bottom w:val="none" w:sz="0" w:space="0" w:color="auto"/>
        <w:right w:val="none" w:sz="0" w:space="0" w:color="auto"/>
      </w:divBdr>
    </w:div>
    <w:div w:id="1339576764">
      <w:marLeft w:val="0"/>
      <w:marRight w:val="0"/>
      <w:marTop w:val="0"/>
      <w:marBottom w:val="0"/>
      <w:divBdr>
        <w:top w:val="none" w:sz="0" w:space="0" w:color="auto"/>
        <w:left w:val="none" w:sz="0" w:space="0" w:color="auto"/>
        <w:bottom w:val="none" w:sz="0" w:space="0" w:color="auto"/>
        <w:right w:val="none" w:sz="0" w:space="0" w:color="auto"/>
      </w:divBdr>
    </w:div>
    <w:div w:id="1339576765">
      <w:marLeft w:val="0"/>
      <w:marRight w:val="0"/>
      <w:marTop w:val="0"/>
      <w:marBottom w:val="0"/>
      <w:divBdr>
        <w:top w:val="none" w:sz="0" w:space="0" w:color="auto"/>
        <w:left w:val="none" w:sz="0" w:space="0" w:color="auto"/>
        <w:bottom w:val="none" w:sz="0" w:space="0" w:color="auto"/>
        <w:right w:val="none" w:sz="0" w:space="0" w:color="auto"/>
      </w:divBdr>
    </w:div>
    <w:div w:id="1339576766">
      <w:marLeft w:val="0"/>
      <w:marRight w:val="0"/>
      <w:marTop w:val="0"/>
      <w:marBottom w:val="0"/>
      <w:divBdr>
        <w:top w:val="none" w:sz="0" w:space="0" w:color="auto"/>
        <w:left w:val="none" w:sz="0" w:space="0" w:color="auto"/>
        <w:bottom w:val="none" w:sz="0" w:space="0" w:color="auto"/>
        <w:right w:val="none" w:sz="0" w:space="0" w:color="auto"/>
      </w:divBdr>
    </w:div>
    <w:div w:id="1339576767">
      <w:marLeft w:val="0"/>
      <w:marRight w:val="0"/>
      <w:marTop w:val="0"/>
      <w:marBottom w:val="0"/>
      <w:divBdr>
        <w:top w:val="none" w:sz="0" w:space="0" w:color="auto"/>
        <w:left w:val="none" w:sz="0" w:space="0" w:color="auto"/>
        <w:bottom w:val="none" w:sz="0" w:space="0" w:color="auto"/>
        <w:right w:val="none" w:sz="0" w:space="0" w:color="auto"/>
      </w:divBdr>
    </w:div>
    <w:div w:id="133957676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de.mapa.gob.es/portal/site/seMAPA/ficha-procedimiento?procedure_suborg_responsable=27&amp;procedure_id=675&amp;by=them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ED835-66F5-409A-ADF5-E5D55FD4A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6499</Words>
  <Characters>38770</Characters>
  <Application>Microsoft Office Word</Application>
  <DocSecurity>0</DocSecurity>
  <Lines>323</Lines>
  <Paragraphs>90</Paragraphs>
  <ScaleCrop>false</ScaleCrop>
  <HeadingPairs>
    <vt:vector size="2" baseType="variant">
      <vt:variant>
        <vt:lpstr>Título</vt:lpstr>
      </vt:variant>
      <vt:variant>
        <vt:i4>1</vt:i4>
      </vt:variant>
    </vt:vector>
  </HeadingPairs>
  <TitlesOfParts>
    <vt:vector size="1" baseType="lpstr">
      <vt:lpstr>ASUNTO 67</vt:lpstr>
    </vt:vector>
  </TitlesOfParts>
  <Company>IGSAP</Company>
  <LinksUpToDate>false</LinksUpToDate>
  <CharactersWithSpaces>45179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ASUNTO 67</dc:title>
  <dc:creator>i</dc:creator>
  <cp:lastModifiedBy>Liana Brili</cp:lastModifiedBy>
  <cp:revision>7</cp:revision>
  <cp:lastPrinted>2019-10-16T12:19:00Z</cp:lastPrinted>
  <dcterms:created xsi:type="dcterms:W3CDTF">2022-10-19T10:24:00Z</dcterms:created>
  <dcterms:modified xsi:type="dcterms:W3CDTF">2022-11-25T09:43:00Z</dcterms:modified>
</cp:coreProperties>
</file>