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E8A3" w14:textId="77777777" w:rsidR="008A3150" w:rsidRPr="004A066E" w:rsidRDefault="005E369F">
      <w:pPr>
        <w:pStyle w:val="BodyText"/>
        <w:spacing w:before="120" w:after="220"/>
        <w:jc w:val="center"/>
        <w:rPr>
          <w:sz w:val="24"/>
          <w:szCs w:val="24"/>
        </w:rPr>
      </w:pPr>
      <w:r>
        <w:rPr>
          <w:rStyle w:val="BodyTextChar"/>
          <w:i/>
          <w:sz w:val="24"/>
        </w:rPr>
        <w:t>Draft</w:t>
      </w:r>
    </w:p>
    <w:p w14:paraId="25617C19" w14:textId="77777777" w:rsidR="008A3150" w:rsidRPr="004A066E" w:rsidRDefault="005E369F">
      <w:pPr>
        <w:pStyle w:val="BodyText"/>
        <w:spacing w:after="220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ACT</w:t>
      </w:r>
    </w:p>
    <w:p w14:paraId="27E29E7B" w14:textId="77777777" w:rsidR="008A3150" w:rsidRPr="004A066E" w:rsidRDefault="005E369F">
      <w:pPr>
        <w:pStyle w:val="BodyText"/>
        <w:tabs>
          <w:tab w:val="right" w:leader="dot" w:pos="1594"/>
        </w:tabs>
        <w:spacing w:after="220"/>
        <w:jc w:val="center"/>
        <w:rPr>
          <w:sz w:val="24"/>
          <w:szCs w:val="24"/>
        </w:rPr>
      </w:pPr>
      <w:r>
        <w:rPr>
          <w:rStyle w:val="BodyTextChar"/>
          <w:sz w:val="24"/>
        </w:rPr>
        <w:t xml:space="preserve">of </w:t>
      </w:r>
      <w:r>
        <w:rPr>
          <w:rStyle w:val="BodyTextChar"/>
          <w:sz w:val="24"/>
        </w:rPr>
        <w:tab/>
        <w:t>2022,</w:t>
      </w:r>
    </w:p>
    <w:p w14:paraId="3BE68E87" w14:textId="68C60428" w:rsidR="008A3150" w:rsidRPr="004A066E" w:rsidRDefault="005E369F">
      <w:pPr>
        <w:pStyle w:val="BodyText"/>
        <w:spacing w:after="700" w:line="276" w:lineRule="auto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amending Act No 65/2017 on the protection of health against the harmful effects of addictive substances, as amended</w:t>
      </w:r>
    </w:p>
    <w:p w14:paraId="16F6B394" w14:textId="77777777" w:rsidR="008A3150" w:rsidRPr="004A066E" w:rsidRDefault="005E369F">
      <w:pPr>
        <w:pStyle w:val="BodyText"/>
        <w:spacing w:after="220"/>
        <w:ind w:firstLine="180"/>
        <w:jc w:val="both"/>
        <w:rPr>
          <w:sz w:val="24"/>
          <w:szCs w:val="24"/>
        </w:rPr>
      </w:pPr>
      <w:r>
        <w:rPr>
          <w:rStyle w:val="BodyTextChar"/>
          <w:sz w:val="24"/>
        </w:rPr>
        <w:t>Parliament has adopted the following Act of the Czech Republic:</w:t>
      </w:r>
    </w:p>
    <w:p w14:paraId="1153E2C6" w14:textId="77777777" w:rsidR="008A3150" w:rsidRPr="004A066E" w:rsidRDefault="005E369F">
      <w:pPr>
        <w:pStyle w:val="BodyText"/>
        <w:spacing w:after="220" w:line="276" w:lineRule="auto"/>
        <w:jc w:val="center"/>
        <w:rPr>
          <w:sz w:val="24"/>
          <w:szCs w:val="24"/>
        </w:rPr>
      </w:pPr>
      <w:r>
        <w:rPr>
          <w:rStyle w:val="BodyTextChar"/>
          <w:sz w:val="24"/>
        </w:rPr>
        <w:t>Article I</w:t>
      </w:r>
    </w:p>
    <w:p w14:paraId="5A2F8DA3" w14:textId="77777777" w:rsidR="008A3150" w:rsidRPr="004A066E" w:rsidRDefault="005E369F">
      <w:pPr>
        <w:pStyle w:val="BodyText"/>
        <w:spacing w:after="220" w:line="276" w:lineRule="auto"/>
        <w:ind w:left="180"/>
        <w:rPr>
          <w:sz w:val="24"/>
          <w:szCs w:val="24"/>
        </w:rPr>
      </w:pPr>
      <w:r>
        <w:rPr>
          <w:rStyle w:val="BodyTextChar"/>
          <w:sz w:val="24"/>
        </w:rPr>
        <w:t>Act No 65/2017 on the protection of health against the harmful effects of addictive substances, as amended by Act No 183/2017, Act No 81/2018 and Act No 220/2021, is amended as follo</w:t>
      </w:r>
      <w:r>
        <w:rPr>
          <w:rStyle w:val="BodyTextChar"/>
          <w:sz w:val="24"/>
        </w:rPr>
        <w:t>ws:</w:t>
      </w:r>
    </w:p>
    <w:p w14:paraId="6D597988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34"/>
        </w:tabs>
        <w:spacing w:after="220"/>
        <w:rPr>
          <w:sz w:val="24"/>
          <w:szCs w:val="24"/>
        </w:rPr>
      </w:pPr>
      <w:r>
        <w:rPr>
          <w:rStyle w:val="BodyTextChar"/>
          <w:sz w:val="24"/>
        </w:rPr>
        <w:t>In § 2(a), the word ‘nicotine,’ is inserted after the word ‘tobacco,’.</w:t>
      </w:r>
    </w:p>
    <w:p w14:paraId="1C985603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8"/>
        </w:tabs>
        <w:spacing w:after="220" w:line="288" w:lineRule="auto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In § 2, at the end of point (p), the full stop is replaced by a comma and the following point (q) is added, which, including footnote 13 reads:</w:t>
      </w:r>
    </w:p>
    <w:p w14:paraId="1B287175" w14:textId="77777777" w:rsidR="008A3150" w:rsidRPr="004A066E" w:rsidRDefault="005E369F">
      <w:pPr>
        <w:pStyle w:val="BodyText"/>
        <w:spacing w:after="220" w:line="276" w:lineRule="auto"/>
        <w:ind w:left="380"/>
        <w:rPr>
          <w:sz w:val="24"/>
          <w:szCs w:val="24"/>
        </w:rPr>
      </w:pPr>
      <w:r>
        <w:rPr>
          <w:rStyle w:val="BodyTextChar"/>
          <w:sz w:val="24"/>
        </w:rPr>
        <w:t>'q) a tobacco-free nicotine pouch mea</w:t>
      </w:r>
      <w:r>
        <w:rPr>
          <w:rStyle w:val="BodyTextChar"/>
          <w:sz w:val="24"/>
        </w:rPr>
        <w:t>ns a tobacco-free product containing nicotine for oral use, not covered by directly applicable European Union legislation</w:t>
      </w:r>
      <w:r>
        <w:rPr>
          <w:rStyle w:val="BodyTextChar"/>
          <w:sz w:val="24"/>
          <w:vertAlign w:val="superscript"/>
        </w:rPr>
        <w:t>13</w:t>
      </w:r>
      <w:r>
        <w:rPr>
          <w:rStyle w:val="BodyTextChar"/>
          <w:sz w:val="24"/>
        </w:rPr>
        <w:t>).</w:t>
      </w:r>
    </w:p>
    <w:p w14:paraId="79954A1A" w14:textId="77777777" w:rsidR="008A3150" w:rsidRPr="004A066E" w:rsidRDefault="005E369F">
      <w:pPr>
        <w:pStyle w:val="BodyText"/>
        <w:numPr>
          <w:ilvl w:val="0"/>
          <w:numId w:val="2"/>
        </w:numPr>
        <w:tabs>
          <w:tab w:val="left" w:pos="772"/>
        </w:tabs>
        <w:spacing w:after="480"/>
        <w:ind w:firstLine="380"/>
        <w:rPr>
          <w:sz w:val="24"/>
          <w:szCs w:val="24"/>
        </w:rPr>
      </w:pPr>
      <w:r>
        <w:rPr>
          <w:rStyle w:val="BodyTextChar"/>
          <w:sz w:val="24"/>
        </w:rPr>
        <w:t>Regulation (EC) No 178/2002 of the European Parliament and of the Council.'.</w:t>
      </w:r>
    </w:p>
    <w:p w14:paraId="6F48B4EA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4"/>
        </w:tabs>
        <w:spacing w:after="520" w:line="240" w:lineRule="auto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In the heading of Title II, the words ‘</w:t>
      </w:r>
      <w:r>
        <w:rPr>
          <w:rStyle w:val="BodyTextChar"/>
          <w:b/>
          <w:sz w:val="24"/>
        </w:rPr>
        <w:t>AND ELECTRONIC</w:t>
      </w:r>
      <w:r>
        <w:rPr>
          <w:rStyle w:val="BodyTextChar"/>
          <w:b/>
          <w:sz w:val="24"/>
        </w:rPr>
        <w:t xml:space="preserve"> CIGARETTES</w:t>
      </w:r>
      <w:r>
        <w:rPr>
          <w:rStyle w:val="BodyTextChar"/>
          <w:sz w:val="24"/>
        </w:rPr>
        <w:t>’ are replaced by the words ‘</w:t>
      </w:r>
      <w:r>
        <w:rPr>
          <w:rStyle w:val="BodyTextChar"/>
          <w:b/>
          <w:sz w:val="24"/>
        </w:rPr>
        <w:t>, ELECTRONIC CIGARETTES AND TOBACCO-FREE NICOTINE POUCHES</w:t>
      </w:r>
      <w:r>
        <w:rPr>
          <w:rStyle w:val="BodyTextChar"/>
          <w:sz w:val="24"/>
        </w:rPr>
        <w:t>’.</w:t>
      </w:r>
    </w:p>
    <w:p w14:paraId="53515D62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8"/>
        </w:tabs>
        <w:spacing w:after="260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In the heading of § 3, the words ‘</w:t>
      </w:r>
      <w:r>
        <w:rPr>
          <w:rStyle w:val="BodyTextChar"/>
          <w:b/>
          <w:sz w:val="24"/>
        </w:rPr>
        <w:t>and electronic cigarettes</w:t>
      </w:r>
      <w:r>
        <w:rPr>
          <w:rStyle w:val="BodyTextChar"/>
          <w:sz w:val="24"/>
        </w:rPr>
        <w:t>’ are replaced by the words ‘</w:t>
      </w:r>
      <w:r>
        <w:rPr>
          <w:rStyle w:val="BodyTextChar"/>
          <w:b/>
          <w:sz w:val="24"/>
        </w:rPr>
        <w:t>, electronic cigarettes and tobacco-free nicotine pouches</w:t>
      </w:r>
      <w:r>
        <w:rPr>
          <w:rStyle w:val="BodyTextChar"/>
          <w:sz w:val="24"/>
        </w:rPr>
        <w:t>’.</w:t>
      </w:r>
    </w:p>
    <w:p w14:paraId="7378537D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4"/>
        </w:tabs>
        <w:spacing w:after="260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In § 3(1), the words ‘and electronic cigarettes’ are replaced by the words ‘electronic cigarettes and tobacco-free nicotine pouches’.</w:t>
      </w:r>
    </w:p>
    <w:p w14:paraId="6A27C8E9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4"/>
        </w:tabs>
        <w:spacing w:after="220" w:line="266" w:lineRule="auto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 xml:space="preserve">In the introductory part of § 3(2), the words ‘and electronic </w:t>
      </w:r>
      <w:r>
        <w:rPr>
          <w:rStyle w:val="BodyTextChar"/>
          <w:sz w:val="24"/>
        </w:rPr>
        <w:t>cigarettes’ are replaced by the words ‘electronic cigarettes and tobacco-free nicotine pouches’.</w:t>
      </w:r>
    </w:p>
    <w:p w14:paraId="13537F12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54"/>
        </w:tabs>
        <w:spacing w:after="260" w:line="240" w:lineRule="auto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In § 3(3), the words ‘and electronic cigarettes’ are replaced by the words ‘electronic cigarettes and tobacco-free nicotine pouches’.</w:t>
      </w:r>
    </w:p>
    <w:p w14:paraId="053E82A6" w14:textId="77777777" w:rsidR="008A3150" w:rsidRPr="004A066E" w:rsidRDefault="005E369F">
      <w:pPr>
        <w:pStyle w:val="BodyText"/>
        <w:numPr>
          <w:ilvl w:val="0"/>
          <w:numId w:val="1"/>
        </w:numPr>
        <w:tabs>
          <w:tab w:val="left" w:pos="349"/>
        </w:tabs>
        <w:spacing w:after="220"/>
        <w:ind w:left="380" w:hanging="380"/>
        <w:rPr>
          <w:sz w:val="24"/>
          <w:szCs w:val="24"/>
        </w:rPr>
      </w:pPr>
      <w:r>
        <w:rPr>
          <w:rStyle w:val="BodyTextChar"/>
          <w:sz w:val="24"/>
        </w:rPr>
        <w:t>In § 3(4), the words ‘and</w:t>
      </w:r>
      <w:r>
        <w:rPr>
          <w:rStyle w:val="BodyTextChar"/>
          <w:sz w:val="24"/>
        </w:rPr>
        <w:t xml:space="preserve"> electronic cigarettes’ are replaced by the words ‘electronic cigarettes and tobacco-free nicotine pouches’.</w:t>
      </w:r>
    </w:p>
    <w:p w14:paraId="4A26DB1E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326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lastRenderedPageBreak/>
        <w:t>In the heading of § 5, the words ‘</w:t>
      </w:r>
      <w:r>
        <w:rPr>
          <w:rStyle w:val="BodyTextChar"/>
          <w:b/>
          <w:sz w:val="24"/>
        </w:rPr>
        <w:t>and electronic cigarettes</w:t>
      </w:r>
      <w:r>
        <w:rPr>
          <w:rStyle w:val="BodyTextChar"/>
          <w:sz w:val="24"/>
        </w:rPr>
        <w:t>’ are replaced by the words ‘</w:t>
      </w:r>
      <w:r>
        <w:rPr>
          <w:rStyle w:val="BodyTextChar"/>
          <w:b/>
          <w:sz w:val="24"/>
        </w:rPr>
        <w:t>, electronic cigarettes and tobacco-free nicotine pouches</w:t>
      </w:r>
      <w:r>
        <w:rPr>
          <w:rStyle w:val="BodyTextChar"/>
          <w:sz w:val="24"/>
        </w:rPr>
        <w:t>’.</w:t>
      </w:r>
    </w:p>
    <w:p w14:paraId="4FB0EC4F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5(1), the words ‘or electronic cigarettes’ are replaced by the words ‘, electronic cigarettes or tobacco-free nicotine pouches’.</w:t>
      </w:r>
    </w:p>
    <w:p w14:paraId="51666771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spacing w:line="259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5(2), the words ‘and electronic cigarettes’ are replaced by the words ‘, electronic cigarettes and tobacco-free nico</w:t>
      </w:r>
      <w:r>
        <w:rPr>
          <w:rStyle w:val="BodyTextChar"/>
          <w:sz w:val="24"/>
        </w:rPr>
        <w:t>tine pouches’.</w:t>
      </w:r>
    </w:p>
    <w:p w14:paraId="609B4499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spacing w:line="259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5(3), the words ‘or electronic cigarettes’ are replaced by the words ‘, electronic cigarettes or tobacco-free nicotine pouches’.</w:t>
      </w:r>
    </w:p>
    <w:p w14:paraId="3FA386A9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the heading of § 6, the words ‘</w:t>
      </w:r>
      <w:r>
        <w:rPr>
          <w:rStyle w:val="BodyTextChar"/>
          <w:b/>
          <w:sz w:val="24"/>
        </w:rPr>
        <w:t>and electronic cigarettes</w:t>
      </w:r>
      <w:r>
        <w:rPr>
          <w:rStyle w:val="BodyTextChar"/>
          <w:sz w:val="24"/>
        </w:rPr>
        <w:t>’ are replaced by the words ‘</w:t>
      </w:r>
      <w:r>
        <w:rPr>
          <w:rStyle w:val="BodyTextChar"/>
          <w:b/>
          <w:sz w:val="24"/>
        </w:rPr>
        <w:t>, electronic cigare</w:t>
      </w:r>
      <w:r>
        <w:rPr>
          <w:rStyle w:val="BodyTextChar"/>
          <w:b/>
          <w:sz w:val="24"/>
        </w:rPr>
        <w:t>ttes and tobacco-free nicotine pouches</w:t>
      </w:r>
      <w:r>
        <w:rPr>
          <w:rStyle w:val="BodyTextChar"/>
          <w:sz w:val="24"/>
        </w:rPr>
        <w:t>’.</w:t>
      </w:r>
    </w:p>
    <w:p w14:paraId="7F71DC81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6(1), the words ‘and electronic cigarettes’ are replaced by the words ‘electronic cigarettes and tobacco-free nicotine pouches’.</w:t>
      </w:r>
    </w:p>
    <w:p w14:paraId="4E253C45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6(2), the words ‘and electronic cigarettes’ are replaced by the words ‘, electronic cigarettes and tobacco-free nicot</w:t>
      </w:r>
      <w:r>
        <w:rPr>
          <w:rStyle w:val="BodyTextChar"/>
          <w:sz w:val="24"/>
        </w:rPr>
        <w:t>ine pouches’.</w:t>
      </w:r>
    </w:p>
    <w:p w14:paraId="05860334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6(3), the words ‘and electronic cigarettes’ are replaced by the words ‘, electronic cigarettes and tobacco-free nicotine pouches’.</w:t>
      </w:r>
    </w:p>
    <w:p w14:paraId="01359718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spacing w:after="420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the introductory part of § 6(4), the words ‘and electronic cigarettes’ are replaced by the words ‘, ele</w:t>
      </w:r>
      <w:r>
        <w:rPr>
          <w:rStyle w:val="BodyTextChar"/>
          <w:sz w:val="24"/>
        </w:rPr>
        <w:t>ctronic cigarettes and tobacco-free nicotine pouches’.</w:t>
      </w:r>
    </w:p>
    <w:p w14:paraId="7FF225D8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  <w:tab w:val="left" w:pos="931"/>
        </w:tabs>
        <w:spacing w:after="0"/>
        <w:jc w:val="both"/>
        <w:rPr>
          <w:sz w:val="24"/>
          <w:szCs w:val="24"/>
        </w:rPr>
      </w:pPr>
      <w:r>
        <w:rPr>
          <w:rStyle w:val="BodyTextChar"/>
          <w:sz w:val="24"/>
        </w:rPr>
        <w:t>In § 6(4)(b), the words ‘and electronic cigarettes’ are replaced by the words</w:t>
      </w:r>
    </w:p>
    <w:p w14:paraId="07A2BD2B" w14:textId="77777777" w:rsidR="008A3150" w:rsidRPr="004A066E" w:rsidRDefault="005E369F">
      <w:pPr>
        <w:pStyle w:val="BodyText"/>
        <w:ind w:firstLine="400"/>
        <w:jc w:val="both"/>
        <w:rPr>
          <w:sz w:val="24"/>
          <w:szCs w:val="24"/>
        </w:rPr>
      </w:pPr>
      <w:r>
        <w:rPr>
          <w:rStyle w:val="BodyTextChar"/>
          <w:sz w:val="24"/>
        </w:rPr>
        <w:t>', electronic cigarettes and tobacco-free nicotine pouches'.</w:t>
      </w:r>
    </w:p>
    <w:p w14:paraId="093FD6A4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27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 xml:space="preserve">In § 6(7), the words ‘and electronic cigarettes’ are replaced </w:t>
      </w:r>
      <w:r>
        <w:rPr>
          <w:rStyle w:val="BodyTextChar"/>
          <w:sz w:val="24"/>
        </w:rPr>
        <w:t>by the words ‘, electronic cigarettes and tobacco-free nicotine pouches’.</w:t>
      </w:r>
    </w:p>
    <w:p w14:paraId="711A1802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51"/>
        </w:tabs>
        <w:spacing w:line="264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7(1), the words ‘and electronic cigarettes’ are replaced by the words ‘, electronic cigarettes’ and the words 'and tobacco-free nicotine pouches' are inserted after the word 'ni</w:t>
      </w:r>
      <w:r>
        <w:rPr>
          <w:rStyle w:val="BodyTextChar"/>
          <w:sz w:val="24"/>
        </w:rPr>
        <w:t>cotine'.</w:t>
      </w:r>
    </w:p>
    <w:p w14:paraId="1117FB0B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51"/>
        </w:tabs>
        <w:spacing w:line="266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7(2), the words ‘and electronic cigarettes’ are replaced by the words ‘, electronic cigarettes’ and the words 'and tobacco-free nicotine pouches' are inserted after the word 'nicotine'.</w:t>
      </w:r>
    </w:p>
    <w:p w14:paraId="60068147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51"/>
        </w:tabs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7(3), the words ‘and electronic cigarettes’ are rep</w:t>
      </w:r>
      <w:r>
        <w:rPr>
          <w:rStyle w:val="BodyTextChar"/>
          <w:sz w:val="24"/>
        </w:rPr>
        <w:t>laced by the words ‘, electronic cigarettes and tobacco-free nicotine pouches’.</w:t>
      </w:r>
    </w:p>
    <w:p w14:paraId="749A680B" w14:textId="77777777" w:rsidR="008A3150" w:rsidRPr="004A066E" w:rsidRDefault="005E369F">
      <w:pPr>
        <w:pStyle w:val="BodyText"/>
        <w:numPr>
          <w:ilvl w:val="0"/>
          <w:numId w:val="3"/>
        </w:numPr>
        <w:tabs>
          <w:tab w:val="left" w:pos="451"/>
        </w:tabs>
        <w:spacing w:line="240" w:lineRule="auto"/>
        <w:ind w:left="400" w:hanging="400"/>
        <w:jc w:val="both"/>
        <w:rPr>
          <w:sz w:val="24"/>
          <w:szCs w:val="24"/>
        </w:rPr>
      </w:pPr>
      <w:r>
        <w:rPr>
          <w:rStyle w:val="BodyTextChar"/>
          <w:sz w:val="24"/>
        </w:rPr>
        <w:t>In § 25, the words ‘electronic cigarettes and herbal products intended for smoking’ are replaced by the words ‘herbal products intended for smoking, electronic cigarettes and t</w:t>
      </w:r>
      <w:r>
        <w:rPr>
          <w:rStyle w:val="BodyTextChar"/>
          <w:sz w:val="24"/>
        </w:rPr>
        <w:t>obacco-free nicotine pouches’.</w:t>
      </w:r>
    </w:p>
    <w:p w14:paraId="6296535F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spacing w:line="240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 xml:space="preserve">In § 30(5), the words ‘and tobacco-free nicotine pouches’ are inserted after the words </w:t>
      </w:r>
      <w:r>
        <w:rPr>
          <w:rStyle w:val="BodyTextChar"/>
          <w:sz w:val="24"/>
        </w:rPr>
        <w:lastRenderedPageBreak/>
        <w:t>‘tobacco products’.</w:t>
      </w:r>
    </w:p>
    <w:p w14:paraId="3C095A93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31(3), the words ‘, tobacco-free nicotine pouches’ are inserted after the words ‘electronic cigarettes’.</w:t>
      </w:r>
    </w:p>
    <w:p w14:paraId="4DE484EE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spacing w:line="240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33(5), the words ‘, tobacco-free nicotine pouches’ are inserted after the words ‘electronic cigarettes’.</w:t>
      </w:r>
    </w:p>
    <w:p w14:paraId="52CC7BE5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spacing w:line="264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35(1)(a), the words ‘, tobacco-free nicotine pouch’ are inserted after the words ‘electronic cigarette’.</w:t>
      </w:r>
    </w:p>
    <w:p w14:paraId="09B9ED71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spacing w:line="259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35(1)(b), the words ‘or electronic cigarette’ are replaced by the words ‘, electronic cigarette or tobacco-free nicotine pouch’.</w:t>
      </w:r>
    </w:p>
    <w:p w14:paraId="3CD6B515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72"/>
        </w:tabs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35(2)(e</w:t>
      </w:r>
      <w:r>
        <w:rPr>
          <w:rStyle w:val="BodyTextChar"/>
          <w:sz w:val="24"/>
        </w:rPr>
        <w:t>), the words ‘, tobacco-free nicotine pouches’ are inserted after the words ‘electronic cigarettes’.</w:t>
      </w:r>
    </w:p>
    <w:p w14:paraId="13EDC6D7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</w:tabs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36(1)(a), the words ‘or electronic cigarette’ are replaced by the words ‘, electronic cigarette or tobacco-free nicotine pouch’.</w:t>
      </w:r>
    </w:p>
    <w:p w14:paraId="23F1E246" w14:textId="6276F4D1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  <w:tab w:val="left" w:pos="794"/>
          <w:tab w:val="left" w:pos="947"/>
          <w:tab w:val="left" w:pos="1316"/>
          <w:tab w:val="left" w:pos="1897"/>
          <w:tab w:val="left" w:pos="2132"/>
          <w:tab w:val="left" w:pos="2756"/>
          <w:tab w:val="left" w:pos="3083"/>
          <w:tab w:val="left" w:pos="6150"/>
          <w:tab w:val="left" w:pos="8022"/>
          <w:tab w:val="left" w:pos="8670"/>
        </w:tabs>
        <w:spacing w:after="0"/>
        <w:jc w:val="both"/>
        <w:rPr>
          <w:sz w:val="24"/>
          <w:szCs w:val="24"/>
        </w:rPr>
      </w:pPr>
      <w:r>
        <w:rPr>
          <w:rStyle w:val="BodyTextChar"/>
          <w:sz w:val="24"/>
        </w:rPr>
        <w:t>In § 36(1)(b), the wo</w:t>
      </w:r>
      <w:r>
        <w:rPr>
          <w:rStyle w:val="BodyTextChar"/>
          <w:sz w:val="24"/>
        </w:rPr>
        <w:t>rds ‘or electronic cigarette’ are replaced by the words ‘,</w:t>
      </w:r>
    </w:p>
    <w:p w14:paraId="11826BCD" w14:textId="77777777" w:rsidR="008A3150" w:rsidRPr="004A066E" w:rsidRDefault="005E369F">
      <w:pPr>
        <w:pStyle w:val="BodyText"/>
        <w:ind w:firstLine="380"/>
        <w:jc w:val="both"/>
        <w:rPr>
          <w:sz w:val="24"/>
          <w:szCs w:val="24"/>
        </w:rPr>
      </w:pPr>
      <w:r>
        <w:rPr>
          <w:rStyle w:val="BodyTextChar"/>
          <w:sz w:val="24"/>
        </w:rPr>
        <w:t>electronic cigarette or tobacco-free nicotine pouch’.</w:t>
      </w:r>
    </w:p>
    <w:p w14:paraId="536E5F2E" w14:textId="2321FCD5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  <w:tab w:val="left" w:pos="794"/>
          <w:tab w:val="left" w:pos="947"/>
          <w:tab w:val="left" w:pos="1316"/>
          <w:tab w:val="left" w:pos="1897"/>
          <w:tab w:val="left" w:pos="2132"/>
          <w:tab w:val="left" w:pos="2761"/>
          <w:tab w:val="left" w:pos="3073"/>
          <w:tab w:val="left" w:pos="6145"/>
          <w:tab w:val="left" w:pos="8017"/>
          <w:tab w:val="left" w:pos="8665"/>
        </w:tabs>
        <w:spacing w:after="0"/>
        <w:jc w:val="both"/>
        <w:rPr>
          <w:sz w:val="24"/>
          <w:szCs w:val="24"/>
        </w:rPr>
      </w:pPr>
      <w:r>
        <w:rPr>
          <w:rStyle w:val="BodyTextChar"/>
          <w:sz w:val="24"/>
        </w:rPr>
        <w:t xml:space="preserve">In § 36(1) </w:t>
      </w:r>
      <w:r>
        <w:rPr>
          <w:rStyle w:val="BodyTextChar"/>
          <w:sz w:val="24"/>
        </w:rPr>
        <w:t xml:space="preserve">(c) the words ‘or electronic cigarette’ are replaced by the words ', </w:t>
      </w:r>
    </w:p>
    <w:p w14:paraId="4C463B08" w14:textId="77777777" w:rsidR="008A3150" w:rsidRPr="004A066E" w:rsidRDefault="005E369F">
      <w:pPr>
        <w:pStyle w:val="BodyText"/>
        <w:ind w:firstLine="380"/>
        <w:jc w:val="both"/>
        <w:rPr>
          <w:sz w:val="24"/>
          <w:szCs w:val="24"/>
        </w:rPr>
      </w:pPr>
      <w:r>
        <w:rPr>
          <w:rStyle w:val="BodyTextChar"/>
          <w:sz w:val="24"/>
        </w:rPr>
        <w:t>electronic cigarette or tobacco-free nicotine pouches’.</w:t>
      </w:r>
    </w:p>
    <w:p w14:paraId="3D537B25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</w:tabs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36(1)(f), the words ‘or electronic cigarette’ are replaced by the words ‘, electronic cigarette or tobacco-free nicotine pouc</w:t>
      </w:r>
      <w:r>
        <w:rPr>
          <w:rStyle w:val="BodyTextChar"/>
          <w:sz w:val="24"/>
        </w:rPr>
        <w:t>h’.</w:t>
      </w:r>
    </w:p>
    <w:p w14:paraId="46A82118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</w:tabs>
        <w:spacing w:line="266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36(1)(h), the words ‘, tobacco-free nicotine pouches’ are inserted after the words ‘electronic cigarettes’.</w:t>
      </w:r>
    </w:p>
    <w:p w14:paraId="3B0A69B7" w14:textId="77777777" w:rsidR="008A3150" w:rsidRPr="004A066E" w:rsidRDefault="005E369F">
      <w:pPr>
        <w:pStyle w:val="BodyText"/>
        <w:numPr>
          <w:ilvl w:val="0"/>
          <w:numId w:val="4"/>
        </w:numPr>
        <w:tabs>
          <w:tab w:val="left" w:pos="467"/>
        </w:tabs>
        <w:spacing w:after="900" w:line="266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In § 36(1)(i), the words ‘, tobacco-free nicotine pouches’ are inserted after the words ‘electronic cigarettes’.</w:t>
      </w:r>
    </w:p>
    <w:p w14:paraId="19865CB6" w14:textId="77777777" w:rsidR="008A3150" w:rsidRPr="004A066E" w:rsidRDefault="005E369F">
      <w:pPr>
        <w:pStyle w:val="BodyText"/>
        <w:jc w:val="center"/>
        <w:rPr>
          <w:sz w:val="24"/>
          <w:szCs w:val="24"/>
        </w:rPr>
      </w:pPr>
      <w:r>
        <w:rPr>
          <w:rStyle w:val="BodyTextChar"/>
          <w:sz w:val="24"/>
        </w:rPr>
        <w:t>Article II</w:t>
      </w:r>
    </w:p>
    <w:p w14:paraId="529F73AE" w14:textId="77777777" w:rsidR="008A3150" w:rsidRPr="004A066E" w:rsidRDefault="005E369F">
      <w:pPr>
        <w:pStyle w:val="BodyText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Transitional pr</w:t>
      </w:r>
      <w:r>
        <w:rPr>
          <w:rStyle w:val="BodyTextChar"/>
          <w:b/>
          <w:sz w:val="24"/>
        </w:rPr>
        <w:t>ovisions</w:t>
      </w:r>
    </w:p>
    <w:p w14:paraId="4A25B194" w14:textId="77777777" w:rsidR="008A3150" w:rsidRPr="004A066E" w:rsidRDefault="005E369F">
      <w:pPr>
        <w:pStyle w:val="BodyText"/>
        <w:numPr>
          <w:ilvl w:val="0"/>
          <w:numId w:val="5"/>
        </w:numPr>
        <w:tabs>
          <w:tab w:val="left" w:pos="341"/>
        </w:tabs>
        <w:spacing w:after="320" w:line="240" w:lineRule="auto"/>
        <w:ind w:left="38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seller or other store operator must adapt its activities to the conditions laid down in Act No 65/2017, as amended by this Act, within 90 days from the date of entry into force of this Act.</w:t>
      </w:r>
    </w:p>
    <w:p w14:paraId="42FBDDB0" w14:textId="6B8E0C0D" w:rsidR="008A3150" w:rsidRPr="004A066E" w:rsidRDefault="005E369F" w:rsidP="00BC34CE">
      <w:pPr>
        <w:pStyle w:val="BodyText"/>
        <w:numPr>
          <w:ilvl w:val="0"/>
          <w:numId w:val="5"/>
        </w:numPr>
        <w:tabs>
          <w:tab w:val="left" w:pos="352"/>
        </w:tabs>
        <w:spacing w:after="540" w:line="240" w:lineRule="auto"/>
        <w:ind w:left="360" w:hanging="380"/>
        <w:jc w:val="both"/>
        <w:rPr>
          <w:sz w:val="24"/>
          <w:szCs w:val="24"/>
        </w:rPr>
      </w:pPr>
      <w:r>
        <w:rPr>
          <w:rStyle w:val="BodyTextChar"/>
          <w:sz w:val="24"/>
        </w:rPr>
        <w:t>A seller who has been selling nicotine pouches by means</w:t>
      </w:r>
      <w:r>
        <w:rPr>
          <w:rStyle w:val="BodyTextChar"/>
          <w:sz w:val="24"/>
        </w:rPr>
        <w:t xml:space="preserve"> of remote communication before the effective date of this Act must report information on the age verification system and its functioning pursuant to § 6(4) of Act No 65/2017 to the Ministry of Health within 90 days of the effective date of this Act.</w:t>
      </w:r>
    </w:p>
    <w:p w14:paraId="53749129" w14:textId="77777777" w:rsidR="008A3150" w:rsidRPr="004A066E" w:rsidRDefault="005E369F">
      <w:pPr>
        <w:pStyle w:val="BodyText"/>
        <w:spacing w:after="0" w:line="262" w:lineRule="auto"/>
        <w:jc w:val="center"/>
        <w:rPr>
          <w:sz w:val="24"/>
          <w:szCs w:val="24"/>
        </w:rPr>
      </w:pPr>
      <w:r>
        <w:rPr>
          <w:rStyle w:val="BodyTextChar"/>
          <w:sz w:val="24"/>
        </w:rPr>
        <w:lastRenderedPageBreak/>
        <w:t>Article III</w:t>
      </w:r>
    </w:p>
    <w:p w14:paraId="39F1C523" w14:textId="77777777" w:rsidR="008A3150" w:rsidRPr="004A066E" w:rsidRDefault="005E369F">
      <w:pPr>
        <w:pStyle w:val="BodyText"/>
        <w:spacing w:after="280" w:line="240" w:lineRule="auto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Technical regulation</w:t>
      </w:r>
    </w:p>
    <w:p w14:paraId="0B249121" w14:textId="77777777" w:rsidR="008A3150" w:rsidRPr="004A066E" w:rsidRDefault="005E369F">
      <w:pPr>
        <w:pStyle w:val="BodyText"/>
        <w:spacing w:after="540" w:line="240" w:lineRule="auto"/>
        <w:ind w:firstLine="740"/>
        <w:jc w:val="both"/>
        <w:rPr>
          <w:sz w:val="24"/>
          <w:szCs w:val="24"/>
        </w:rPr>
      </w:pPr>
      <w:r>
        <w:rPr>
          <w:rStyle w:val="BodyTextChar"/>
          <w:sz w:val="24"/>
        </w:rPr>
        <w:t>This Act was notified in accordance with Directive (EU) 2015/1535 of the European Parliament and of the Council of 9 September 2015 laying down a procedure for the provision of information in the field of technical regulati</w:t>
      </w:r>
      <w:r>
        <w:rPr>
          <w:rStyle w:val="BodyTextChar"/>
          <w:sz w:val="24"/>
        </w:rPr>
        <w:t>ons and of rules on Information Society services.</w:t>
      </w:r>
    </w:p>
    <w:p w14:paraId="14E0686C" w14:textId="77777777" w:rsidR="008A3150" w:rsidRPr="004A066E" w:rsidRDefault="005E369F">
      <w:pPr>
        <w:pStyle w:val="BodyText"/>
        <w:spacing w:after="0" w:line="262" w:lineRule="auto"/>
        <w:jc w:val="center"/>
        <w:rPr>
          <w:sz w:val="24"/>
          <w:szCs w:val="24"/>
        </w:rPr>
      </w:pPr>
      <w:r>
        <w:rPr>
          <w:rStyle w:val="BodyTextChar"/>
          <w:sz w:val="24"/>
        </w:rPr>
        <w:t>Article IV</w:t>
      </w:r>
    </w:p>
    <w:p w14:paraId="0012AB04" w14:textId="77777777" w:rsidR="008A3150" w:rsidRPr="004A066E" w:rsidRDefault="005E369F">
      <w:pPr>
        <w:pStyle w:val="BodyText"/>
        <w:spacing w:after="280" w:line="240" w:lineRule="auto"/>
        <w:jc w:val="center"/>
        <w:rPr>
          <w:sz w:val="24"/>
          <w:szCs w:val="24"/>
        </w:rPr>
      </w:pPr>
      <w:r>
        <w:rPr>
          <w:rStyle w:val="BodyTextChar"/>
          <w:b/>
          <w:sz w:val="24"/>
        </w:rPr>
        <w:t>Effective date</w:t>
      </w:r>
    </w:p>
    <w:p w14:paraId="67375945" w14:textId="77777777" w:rsidR="008A3150" w:rsidRPr="00770B66" w:rsidRDefault="005E369F">
      <w:pPr>
        <w:pStyle w:val="BodyText"/>
        <w:spacing w:after="420" w:line="240" w:lineRule="auto"/>
        <w:jc w:val="center"/>
      </w:pPr>
      <w:r>
        <w:rPr>
          <w:rStyle w:val="BodyTextChar"/>
          <w:sz w:val="24"/>
        </w:rPr>
        <w:t>This Act shall come into effect on the fifteenth day following its promulgation.</w:t>
      </w:r>
    </w:p>
    <w:sectPr w:rsidR="008A3150" w:rsidRPr="00770B66">
      <w:pgSz w:w="11900" w:h="16840"/>
      <w:pgMar w:top="1581" w:right="1223" w:bottom="1369" w:left="1504" w:header="1153" w:footer="9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4123" w14:textId="77777777" w:rsidR="005718BF" w:rsidRDefault="005718BF">
      <w:r>
        <w:separator/>
      </w:r>
    </w:p>
  </w:endnote>
  <w:endnote w:type="continuationSeparator" w:id="0">
    <w:p w14:paraId="14366417" w14:textId="77777777" w:rsidR="005718BF" w:rsidRDefault="0057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7EC3" w14:textId="77777777" w:rsidR="005718BF" w:rsidRDefault="005718BF"/>
  </w:footnote>
  <w:footnote w:type="continuationSeparator" w:id="0">
    <w:p w14:paraId="52389F27" w14:textId="77777777" w:rsidR="005718BF" w:rsidRDefault="00571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AAE"/>
    <w:multiLevelType w:val="multilevel"/>
    <w:tmpl w:val="9ABA74F0"/>
    <w:lvl w:ilvl="0">
      <w:start w:val="1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785C03"/>
    <w:multiLevelType w:val="multilevel"/>
    <w:tmpl w:val="610C5E2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E5757"/>
    <w:multiLevelType w:val="multilevel"/>
    <w:tmpl w:val="FD88E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F7AF4"/>
    <w:multiLevelType w:val="multilevel"/>
    <w:tmpl w:val="88FA8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D47B7A"/>
    <w:multiLevelType w:val="multilevel"/>
    <w:tmpl w:val="8C26F77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0625870">
    <w:abstractNumId w:val="3"/>
  </w:num>
  <w:num w:numId="2" w16cid:durableId="929966028">
    <w:abstractNumId w:val="0"/>
  </w:num>
  <w:num w:numId="3" w16cid:durableId="696198065">
    <w:abstractNumId w:val="1"/>
  </w:num>
  <w:num w:numId="4" w16cid:durableId="907883066">
    <w:abstractNumId w:val="4"/>
  </w:num>
  <w:num w:numId="5" w16cid:durableId="2131121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50"/>
    <w:rsid w:val="00303D18"/>
    <w:rsid w:val="003B1D45"/>
    <w:rsid w:val="004A066E"/>
    <w:rsid w:val="005718BF"/>
    <w:rsid w:val="005E369F"/>
    <w:rsid w:val="00725B67"/>
    <w:rsid w:val="00770B66"/>
    <w:rsid w:val="008A3150"/>
    <w:rsid w:val="00BC34CE"/>
    <w:rsid w:val="00CA0286"/>
    <w:rsid w:val="00D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A399"/>
  <w15:docId w15:val="{57558191-8530-43A3-AD26-EC83A706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240" w:line="25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Vyznalová Hana, Mgr.</dc:creator>
  <cp:keywords/>
  <cp:lastModifiedBy>Dimitris Dimitriadis</cp:lastModifiedBy>
  <cp:revision>8</cp:revision>
  <dcterms:created xsi:type="dcterms:W3CDTF">2022-12-07T11:40:00Z</dcterms:created>
  <dcterms:modified xsi:type="dcterms:W3CDTF">2022-12-08T13:51:00Z</dcterms:modified>
</cp:coreProperties>
</file>