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PRANTSUSE VABARIIK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Ökoloogilise ülemineku ministeerium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Korraldus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ühekordselt kasutatavate plasttopside suurima lubatud plastisisalduse kohta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NOR:</w:t>
      </w:r>
      <w:r>
        <w:t xml:space="preserve"> </w:t>
      </w:r>
      <w:r>
        <w:t xml:space="preserve">TREP2112058A,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Sihtrühmad</w:t>
      </w:r>
      <w:r>
        <w:rPr>
          <w:i/>
          <w:sz w:val="24"/>
          <w:rFonts w:ascii="Times New Roman" w:hAnsi="Times New Roman"/>
        </w:rPr>
        <w:t xml:space="preserve">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füüsilised või juriidilised isikud, kes tarnivad, kasutavad, levitavad või teevad majandustegevuse eesmärgil tasu eest või tasuta kättesaadavaks ühekordselt kasutatavaid topse, mis koosnevad täielikult või osaliselt plastmaterjalist.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Eesmärk</w:t>
      </w:r>
      <w:r>
        <w:rPr>
          <w:i/>
          <w:sz w:val="24"/>
          <w:rFonts w:ascii="Times New Roman" w:hAnsi="Times New Roman"/>
        </w:rPr>
        <w:t xml:space="preserve">: ühekordselt kasutatavates plasttopsides lubatud suurima plastisisalduse järkjärguline vähendamine.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Jõustumine</w:t>
      </w:r>
      <w:r>
        <w:rPr>
          <w:i/>
          <w:sz w:val="24"/>
          <w:rFonts w:ascii="Times New Roman" w:hAnsi="Times New Roman"/>
        </w:rPr>
        <w:t xml:space="preserve">: päev pärast määruse avaldamist Euroopa Liidu Teatajas.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Märkus.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Käesoleva korraldusega määratakse kindlaks ühekordselt kasutatavates plasttopsides alates 3. juulist 2021 lubatud suurim plastisisaldus.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Lubatud piirmäära vähendatakse järk-järgult nullini kuni 1.</w:t>
      </w:r>
      <w:r>
        <w:rPr>
          <w:i/>
          <w:sz w:val="24"/>
          <w:vertAlign w:val="superscript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jaanuarini 2026.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2024. aastal koostatakse eduaruanne, et jälgida edusamme ühekordselt kasutatavatele topsidele alternatiivsete lahenduste leidmisel.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Kehtestatud tähtaegadest varem toodetud või imporditud topside puhul on ette nähtud varude realiseerimise tähtaeg.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Viited:</w:t>
      </w:r>
      <w:r>
        <w:rPr>
          <w:i/>
        </w:rPr>
        <w:t xml:space="preserve"> korraldus tehakse vastavalt artiklile D. 541-330, mida on muudetud 31. detsembri 2020. aasta dekreediga nr 2020-1828 teatavate ühekordselt kasutatavate plasttoodete keelustamise kohta.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</w:rPr>
        <w:t xml:space="preserve">See korraldus on kättesaadav Légifrance’i veebilehel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Ökoloogilise ülemineku minister ning majanduse, rahanduse ja majanduse elavdamise minister,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Euroopa Parlamendi ja nõukogu 9. septembri 2015. aasta direktiivi (EL) 2015/1535, millega nähakse ette tehnilistest eeskirjadest ning infoühiskonna teenuste eeskirjadest teatamise kord ja teatis nr xx Euroopa Komisjonile xx,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Euroopa Parlamendi ja nõukogu 5. juuni 2019. aasta direktiivi (EL) 2019/904 teatavate plasttoodete keskkonnamõju vähendamise kohta, eriti selle artiklit 4,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keskkonnaseadustikku, eriti selle artikleid L. 541-15-10 ja D. 541-330 (7°),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võttes arvesse 31. detsembri 2020. aasta dekreeti nr 2020-1828 teatavate ühekordselt kasutatavate plasttoodete keelustamise kohta, eriti selle artiklit 3,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tähelepanekuid, mis tehti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ja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vahel vastavalt keskkonnaseadustiku artiklile L123-19-1 toimunud avaliku arutelu käigus;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sätestavad käesolevaga järgmist.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Artikkel 1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Keskkonnaseadustiku artikli D. 541-330 punkti 7° kohaldamisel tähendab „suurim plastisisaldus“ plasti suurimat massiprotsenti.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Artikkel 2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– Suurim lubatud plastisisaldus artikli D. 541-330 punkti 7° alapunktis b mainitud topsides on järgmine: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15 % alates 3. juulist 2021,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8 % alates 1. jaanuarist 2024,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vastavalt II punktis nimetatud eduaruande järeldustele on alates 1. jaanuarist 2026 lubatud topsid, mis ei sisalda plasti ega mikrokomponente.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Seda tähtaega võib muuta vastavalt eduaruande järeldustele.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– 2024. aastal tuleb sidusrühmadega konsulteerides koostada eduaruanne ühekordselt kasutatavate plasttopside alternatiivsete lahenduste kohta, et hinnata alates 1. jaanuarist 2026 lubatud topsides plasti puudumise tehnilist teostatavust.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– Topsidele, mis on toodetud või imporditud enne iga I lõikes nimetatud tähtaega ja mis vastavad suurimale lubatud plastisisaldusele enne neid tähtaegu, antakse varude realiseerimiseks kuus kuud alates kõnealustest tähtaegadest.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Artikkel 3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Riskiennetuse peadirektor ja ettevõtete peadirektor vastutavad mõlemad käesoleva korralduse rakendamise eest, mis avaldatakse Prantsuse Vabariigi Teatajas.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Kuupäev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Ökoloogilise ülemineku minister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Ministri poolt ja nimel: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Riskiennetuse peadirektor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Majanduse, rahanduse ja majanduse elavdamise minister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Ministri poolt ja nimel: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Ettevõtluse peadirektor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