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Layout w:type="fixed"/>
        <w:tblCellMar>
          <w:left w:w="10" w:type="dxa"/>
          <w:right w:w="10" w:type="dxa"/>
        </w:tblCellMar>
        <w:tblLook w:val="04A0" w:firstRow="1" w:lastRow="0" w:firstColumn="1" w:lastColumn="0" w:noHBand="0" w:noVBand="1"/>
      </w:tblPr>
      <w:tblGrid>
        <w:gridCol w:w="1527"/>
        <w:gridCol w:w="968"/>
        <w:gridCol w:w="1487"/>
      </w:tblGrid>
      <w:tr w:rsidR="003221AE" w14:paraId="16EB613D" w14:textId="77777777" w:rsidTr="0075398C">
        <w:tc>
          <w:tcPr>
            <w:tcW w:w="3982" w:type="dxa"/>
            <w:gridSpan w:val="3"/>
            <w:tcMar>
              <w:top w:w="57" w:type="dxa"/>
              <w:left w:w="57" w:type="dxa"/>
              <w:bottom w:w="57" w:type="dxa"/>
              <w:right w:w="57" w:type="dxa"/>
            </w:tcMar>
          </w:tcPr>
          <w:p w14:paraId="5A0BEF62" w14:textId="77777777" w:rsidR="003221AE" w:rsidRDefault="003221AE" w:rsidP="00AE4D15">
            <w:pPr>
              <w:pStyle w:val="SNREPUBLIQUE"/>
              <w:snapToGrid w:val="0"/>
            </w:pPr>
            <w:r>
              <w:t>REPÚBLICA FRANCESA</w:t>
            </w:r>
          </w:p>
        </w:tc>
      </w:tr>
      <w:tr w:rsidR="003221AE" w14:paraId="0F821592" w14:textId="77777777" w:rsidTr="0075398C">
        <w:trPr>
          <w:trHeight w:hRule="exact" w:val="113"/>
        </w:trPr>
        <w:tc>
          <w:tcPr>
            <w:tcW w:w="1527" w:type="dxa"/>
            <w:tcMar>
              <w:top w:w="57" w:type="dxa"/>
              <w:left w:w="57" w:type="dxa"/>
              <w:bottom w:w="57" w:type="dxa"/>
              <w:right w:w="57" w:type="dxa"/>
            </w:tcMar>
          </w:tcPr>
          <w:p w14:paraId="5EFE2472" w14:textId="77777777" w:rsidR="003221AE" w:rsidRDefault="003221AE" w:rsidP="00AE4D15">
            <w:pPr>
              <w:pStyle w:val="Standard"/>
              <w:snapToGrid w:val="0"/>
              <w:rPr>
                <w:rFonts w:cs="Tahoma"/>
              </w:rPr>
            </w:pPr>
          </w:p>
        </w:tc>
        <w:tc>
          <w:tcPr>
            <w:tcW w:w="968" w:type="dxa"/>
            <w:tcBorders>
              <w:bottom w:val="single" w:sz="2" w:space="0" w:color="000000"/>
            </w:tcBorders>
            <w:tcMar>
              <w:top w:w="57" w:type="dxa"/>
              <w:left w:w="57" w:type="dxa"/>
              <w:bottom w:w="57" w:type="dxa"/>
              <w:right w:w="57" w:type="dxa"/>
            </w:tcMar>
          </w:tcPr>
          <w:p w14:paraId="56C90799" w14:textId="77777777" w:rsidR="003221AE" w:rsidRDefault="003221AE" w:rsidP="00AE4D15">
            <w:pPr>
              <w:pStyle w:val="Standard"/>
              <w:snapToGrid w:val="0"/>
            </w:pPr>
          </w:p>
        </w:tc>
        <w:tc>
          <w:tcPr>
            <w:tcW w:w="1487" w:type="dxa"/>
            <w:tcMar>
              <w:top w:w="57" w:type="dxa"/>
              <w:left w:w="57" w:type="dxa"/>
              <w:bottom w:w="57" w:type="dxa"/>
              <w:right w:w="57" w:type="dxa"/>
            </w:tcMar>
          </w:tcPr>
          <w:p w14:paraId="79355EC8" w14:textId="77777777" w:rsidR="003221AE" w:rsidRDefault="003221AE" w:rsidP="00AE4D15">
            <w:pPr>
              <w:pStyle w:val="Standard"/>
              <w:snapToGrid w:val="0"/>
            </w:pPr>
          </w:p>
        </w:tc>
      </w:tr>
      <w:tr w:rsidR="003221AE" w14:paraId="7BD2C909" w14:textId="77777777" w:rsidTr="0075398C">
        <w:tc>
          <w:tcPr>
            <w:tcW w:w="3982" w:type="dxa"/>
            <w:gridSpan w:val="3"/>
            <w:tcMar>
              <w:top w:w="57" w:type="dxa"/>
              <w:left w:w="57" w:type="dxa"/>
              <w:bottom w:w="57" w:type="dxa"/>
              <w:right w:w="57" w:type="dxa"/>
            </w:tcMar>
          </w:tcPr>
          <w:p w14:paraId="0C823FB5" w14:textId="25B19FC2" w:rsidR="003221AE" w:rsidRDefault="003221AE" w:rsidP="00E25026">
            <w:pPr>
              <w:pStyle w:val="SNTimbre"/>
            </w:pPr>
            <w:r>
              <w:t xml:space="preserve">Ministério da Transição Ecológica </w:t>
            </w:r>
          </w:p>
        </w:tc>
      </w:tr>
      <w:tr w:rsidR="003221AE" w14:paraId="59866560" w14:textId="77777777" w:rsidTr="0075398C">
        <w:trPr>
          <w:trHeight w:hRule="exact" w:val="227"/>
        </w:trPr>
        <w:tc>
          <w:tcPr>
            <w:tcW w:w="1527" w:type="dxa"/>
            <w:tcMar>
              <w:top w:w="57" w:type="dxa"/>
              <w:left w:w="57" w:type="dxa"/>
              <w:bottom w:w="57" w:type="dxa"/>
              <w:right w:w="57" w:type="dxa"/>
            </w:tcMar>
          </w:tcPr>
          <w:p w14:paraId="607746A5" w14:textId="77777777" w:rsidR="003221AE" w:rsidRDefault="003221AE" w:rsidP="00AE4D15">
            <w:pPr>
              <w:pStyle w:val="Standard"/>
              <w:snapToGrid w:val="0"/>
            </w:pPr>
          </w:p>
        </w:tc>
        <w:tc>
          <w:tcPr>
            <w:tcW w:w="968" w:type="dxa"/>
            <w:tcBorders>
              <w:bottom w:val="single" w:sz="2" w:space="0" w:color="000000"/>
            </w:tcBorders>
            <w:tcMar>
              <w:top w:w="57" w:type="dxa"/>
              <w:left w:w="57" w:type="dxa"/>
              <w:bottom w:w="57" w:type="dxa"/>
              <w:right w:w="57" w:type="dxa"/>
            </w:tcMar>
          </w:tcPr>
          <w:p w14:paraId="5ADE02D4" w14:textId="77777777" w:rsidR="003221AE" w:rsidRDefault="003221AE" w:rsidP="00AE4D15">
            <w:pPr>
              <w:pStyle w:val="Standard"/>
              <w:snapToGrid w:val="0"/>
            </w:pPr>
          </w:p>
        </w:tc>
        <w:tc>
          <w:tcPr>
            <w:tcW w:w="1487" w:type="dxa"/>
            <w:tcMar>
              <w:top w:w="57" w:type="dxa"/>
              <w:left w:w="57" w:type="dxa"/>
              <w:bottom w:w="57" w:type="dxa"/>
              <w:right w:w="57" w:type="dxa"/>
            </w:tcMar>
          </w:tcPr>
          <w:p w14:paraId="121F6585" w14:textId="77777777" w:rsidR="003221AE" w:rsidRDefault="003221AE" w:rsidP="00AE4D15">
            <w:pPr>
              <w:pStyle w:val="Standard"/>
              <w:snapToGrid w:val="0"/>
            </w:pPr>
          </w:p>
        </w:tc>
      </w:tr>
      <w:tr w:rsidR="003221AE" w14:paraId="74FE36F0" w14:textId="77777777" w:rsidTr="0075398C">
        <w:trPr>
          <w:trHeight w:hRule="exact" w:val="227"/>
        </w:trPr>
        <w:tc>
          <w:tcPr>
            <w:tcW w:w="1527" w:type="dxa"/>
            <w:tcMar>
              <w:top w:w="57" w:type="dxa"/>
              <w:left w:w="57" w:type="dxa"/>
              <w:bottom w:w="57" w:type="dxa"/>
              <w:right w:w="57" w:type="dxa"/>
            </w:tcMar>
          </w:tcPr>
          <w:p w14:paraId="13EBE759" w14:textId="77777777" w:rsidR="003221AE" w:rsidRDefault="003221AE" w:rsidP="00AE4D15">
            <w:pPr>
              <w:pStyle w:val="Standard"/>
              <w:snapToGrid w:val="0"/>
            </w:pPr>
          </w:p>
        </w:tc>
        <w:tc>
          <w:tcPr>
            <w:tcW w:w="968" w:type="dxa"/>
            <w:tcMar>
              <w:top w:w="57" w:type="dxa"/>
              <w:left w:w="57" w:type="dxa"/>
              <w:bottom w:w="57" w:type="dxa"/>
              <w:right w:w="57" w:type="dxa"/>
            </w:tcMar>
          </w:tcPr>
          <w:p w14:paraId="5C170225" w14:textId="77777777" w:rsidR="003221AE" w:rsidRDefault="003221AE" w:rsidP="00AE4D15">
            <w:pPr>
              <w:pStyle w:val="Standard"/>
              <w:snapToGrid w:val="0"/>
            </w:pPr>
          </w:p>
        </w:tc>
        <w:tc>
          <w:tcPr>
            <w:tcW w:w="1487" w:type="dxa"/>
            <w:tcMar>
              <w:top w:w="57" w:type="dxa"/>
              <w:left w:w="57" w:type="dxa"/>
              <w:bottom w:w="57" w:type="dxa"/>
              <w:right w:w="57" w:type="dxa"/>
            </w:tcMar>
          </w:tcPr>
          <w:p w14:paraId="79BA23D9" w14:textId="77777777" w:rsidR="003221AE" w:rsidRDefault="003221AE" w:rsidP="00AE4D15">
            <w:pPr>
              <w:pStyle w:val="Standard"/>
              <w:snapToGrid w:val="0"/>
            </w:pPr>
          </w:p>
        </w:tc>
      </w:tr>
    </w:tbl>
    <w:p w14:paraId="578E7FCF" w14:textId="77777777" w:rsidR="003221AE" w:rsidRDefault="003221AE" w:rsidP="00AE4D15">
      <w:pPr>
        <w:pStyle w:val="SNNature"/>
      </w:pPr>
      <w:r>
        <w:t xml:space="preserve">Ordem de </w:t>
      </w:r>
    </w:p>
    <w:p w14:paraId="10CA1453" w14:textId="2A9E372B" w:rsidR="003221AE" w:rsidRDefault="003221AE" w:rsidP="00AE4D15">
      <w:pPr>
        <w:pStyle w:val="NormalWeb"/>
        <w:spacing w:after="284"/>
        <w:jc w:val="center"/>
        <w:rPr>
          <w:rStyle w:val="StrongEmphasis"/>
          <w:rFonts w:ascii="Times New Roman" w:hAnsi="Times New Roman" w:cs="Times New Roman"/>
        </w:rPr>
      </w:pPr>
      <w:r>
        <w:rPr>
          <w:rStyle w:val="StrongEmphasis"/>
          <w:rFonts w:ascii="Times New Roman" w:hAnsi="Times New Roman"/>
        </w:rPr>
        <w:t xml:space="preserve"> Sobre o teor máximo de plástico permitido em copos de plástico de utilização única</w:t>
      </w:r>
    </w:p>
    <w:p w14:paraId="337A6BC0" w14:textId="47338536" w:rsidR="003221AE" w:rsidRDefault="003221AE" w:rsidP="00AE4D15">
      <w:pPr>
        <w:spacing w:line="240" w:lineRule="auto"/>
        <w:jc w:val="center"/>
        <w:rPr>
          <w:b/>
        </w:rPr>
      </w:pPr>
      <w:r>
        <w:t>NOR: TREP2112058A</w:t>
      </w:r>
    </w:p>
    <w:p w14:paraId="7A84760B" w14:textId="77777777" w:rsidR="003D00E7" w:rsidRDefault="003D00E7" w:rsidP="00AE4D15">
      <w:pPr>
        <w:spacing w:line="240" w:lineRule="auto"/>
      </w:pPr>
    </w:p>
    <w:p w14:paraId="46B18745" w14:textId="4B5D19CF" w:rsidR="00763273" w:rsidRPr="003221AE" w:rsidRDefault="00763273" w:rsidP="00AE4D15">
      <w:pPr>
        <w:spacing w:line="240" w:lineRule="auto"/>
        <w:jc w:val="both"/>
        <w:rPr>
          <w:rFonts w:ascii="Times New Roman" w:hAnsi="Times New Roman" w:cs="Times New Roman"/>
          <w:i/>
          <w:sz w:val="24"/>
          <w:szCs w:val="24"/>
        </w:rPr>
      </w:pPr>
      <w:r>
        <w:rPr>
          <w:rFonts w:ascii="Times New Roman" w:hAnsi="Times New Roman"/>
          <w:b/>
          <w:bCs/>
          <w:i/>
          <w:sz w:val="24"/>
        </w:rPr>
        <w:t>Grupos em causa:</w:t>
      </w:r>
      <w:r>
        <w:t xml:space="preserve"> </w:t>
      </w:r>
      <w:r>
        <w:rPr>
          <w:rFonts w:ascii="Times New Roman" w:hAnsi="Times New Roman"/>
          <w:i/>
          <w:sz w:val="24"/>
        </w:rPr>
        <w:t xml:space="preserve">pessoas singulares ou coletivas que forneçam, utilizem, distribuam ou disponibilizem, a título oneroso ou gratuito, para efeitos da sua atividade económica, copos de uso único constituídos, total ou parcialmente, por matérias plásticas. </w:t>
      </w:r>
    </w:p>
    <w:p w14:paraId="239F44E6" w14:textId="17F5440F" w:rsidR="009D19F3" w:rsidRDefault="00763273" w:rsidP="00AE4D15">
      <w:pPr>
        <w:spacing w:line="240" w:lineRule="auto"/>
        <w:jc w:val="both"/>
        <w:rPr>
          <w:rFonts w:ascii="Times New Roman" w:hAnsi="Times New Roman" w:cs="Times New Roman"/>
          <w:i/>
          <w:sz w:val="24"/>
          <w:szCs w:val="24"/>
        </w:rPr>
      </w:pPr>
      <w:r>
        <w:rPr>
          <w:rFonts w:ascii="Times New Roman" w:hAnsi="Times New Roman"/>
          <w:b/>
          <w:i/>
          <w:sz w:val="24"/>
        </w:rPr>
        <w:t>Objeto</w:t>
      </w:r>
      <w:r>
        <w:rPr>
          <w:rFonts w:ascii="Times New Roman" w:hAnsi="Times New Roman"/>
          <w:i/>
          <w:sz w:val="24"/>
        </w:rPr>
        <w:t>: trajetória de redução progressiva do teor máximo de plástico permitido em copos plásticos de utilização única.</w:t>
      </w:r>
    </w:p>
    <w:p w14:paraId="3022F56F" w14:textId="0D90C636" w:rsidR="00763273" w:rsidRPr="003221AE" w:rsidRDefault="00763273" w:rsidP="00AE4D15">
      <w:pPr>
        <w:spacing w:line="240" w:lineRule="auto"/>
        <w:jc w:val="both"/>
        <w:rPr>
          <w:rFonts w:ascii="Times New Roman" w:hAnsi="Times New Roman" w:cs="Times New Roman"/>
          <w:i/>
          <w:sz w:val="24"/>
          <w:szCs w:val="24"/>
        </w:rPr>
      </w:pPr>
      <w:r>
        <w:rPr>
          <w:rFonts w:ascii="Times New Roman" w:hAnsi="Times New Roman"/>
          <w:b/>
          <w:i/>
          <w:sz w:val="24"/>
        </w:rPr>
        <w:t xml:space="preserve"> Entrar em vigor </w:t>
      </w:r>
      <w:r>
        <w:rPr>
          <w:rFonts w:ascii="Times New Roman" w:hAnsi="Times New Roman"/>
          <w:i/>
          <w:sz w:val="24"/>
        </w:rPr>
        <w:t>: o dia seguinte à data de publicação do despacho no Jornal Oficial.</w:t>
      </w:r>
    </w:p>
    <w:p w14:paraId="482E80E9" w14:textId="41C732EF" w:rsidR="003D00E7" w:rsidRPr="003221AE" w:rsidRDefault="00763273" w:rsidP="00AE4D15">
      <w:pPr>
        <w:spacing w:line="240" w:lineRule="auto"/>
        <w:jc w:val="both"/>
        <w:rPr>
          <w:rFonts w:ascii="Times New Roman" w:hAnsi="Times New Roman" w:cs="Times New Roman"/>
          <w:i/>
          <w:sz w:val="24"/>
          <w:szCs w:val="24"/>
        </w:rPr>
      </w:pPr>
      <w:r>
        <w:rPr>
          <w:rFonts w:ascii="Times New Roman" w:hAnsi="Times New Roman"/>
          <w:b/>
          <w:i/>
          <w:sz w:val="24"/>
        </w:rPr>
        <w:t>Nota</w:t>
      </w:r>
      <w:r w:rsidR="00E7622A">
        <w:rPr>
          <w:rFonts w:ascii="Times New Roman" w:hAnsi="Times New Roman"/>
          <w:b/>
          <w:i/>
          <w:sz w:val="24"/>
        </w:rPr>
        <w:t>:</w:t>
      </w:r>
      <w:r>
        <w:rPr>
          <w:rFonts w:ascii="Times New Roman" w:hAnsi="Times New Roman"/>
          <w:i/>
          <w:sz w:val="24"/>
        </w:rPr>
        <w:t xml:space="preserve"> Esta Ordem define o teor máximo de plástico permitido em copos de plástico de uso único a partir de 3 de julho de 2021. O nível máximo permitido deve ser progressivamente reduzido para um valor zero a partir de 1</w:t>
      </w:r>
      <w:r>
        <w:rPr>
          <w:rFonts w:ascii="Times New Roman" w:hAnsi="Times New Roman"/>
          <w:i/>
          <w:sz w:val="24"/>
          <w:vertAlign w:val="superscript"/>
        </w:rPr>
        <w:t xml:space="preserve"> </w:t>
      </w:r>
      <w:r>
        <w:rPr>
          <w:rFonts w:ascii="Times New Roman" w:hAnsi="Times New Roman"/>
          <w:i/>
          <w:sz w:val="24"/>
        </w:rPr>
        <w:t>janeiro de 2026. Em 2024, deverá ser elaborado um relatório de progresso para acompanhar os progressos realizados em matéria de soluções alternativas para os copos de utilização única.  Está previsto um prazo para o escoamento das existências para os copos fabricados ou importados a partir dos prazos fixados.</w:t>
      </w:r>
    </w:p>
    <w:p w14:paraId="3B143F77" w14:textId="1EE9F5B5" w:rsidR="003221AE" w:rsidRPr="00AE4D15" w:rsidRDefault="003221AE" w:rsidP="00AE4D15">
      <w:pPr>
        <w:pStyle w:val="Standard"/>
        <w:autoSpaceDE w:val="0"/>
        <w:jc w:val="both"/>
        <w:rPr>
          <w:rFonts w:eastAsiaTheme="minorHAnsi"/>
          <w:i/>
          <w:kern w:val="0"/>
        </w:rPr>
      </w:pPr>
      <w:r>
        <w:rPr>
          <w:b/>
          <w:i/>
        </w:rPr>
        <w:t>Referências:</w:t>
      </w:r>
      <w:r>
        <w:rPr>
          <w:i/>
        </w:rPr>
        <w:t xml:space="preserve"> a Ordem é feita nos termos do artigo D. 541-330, com a redação que lhe foi dada pelo Decreto n.º 2020-1828, de 31 de dezembro de 2020, relativo à proibição de determinados produtos plásticos de uso único.</w:t>
      </w:r>
    </w:p>
    <w:p w14:paraId="12D38363" w14:textId="77777777" w:rsidR="002B354A" w:rsidRPr="00AE4D15" w:rsidRDefault="002B354A" w:rsidP="00AE4D15">
      <w:pPr>
        <w:pStyle w:val="Standard"/>
        <w:autoSpaceDE w:val="0"/>
        <w:jc w:val="both"/>
        <w:rPr>
          <w:rFonts w:eastAsiaTheme="minorHAnsi"/>
          <w:i/>
          <w:kern w:val="0"/>
          <w:lang w:eastAsia="en-US"/>
        </w:rPr>
      </w:pPr>
    </w:p>
    <w:p w14:paraId="384E7470" w14:textId="3647BEE2" w:rsidR="00106A26" w:rsidRPr="00AE4D15" w:rsidRDefault="002B354A" w:rsidP="00AE4D15">
      <w:pPr>
        <w:pStyle w:val="Standard"/>
        <w:autoSpaceDE w:val="0"/>
        <w:jc w:val="both"/>
        <w:rPr>
          <w:rFonts w:eastAsiaTheme="minorHAnsi"/>
          <w:i/>
          <w:kern w:val="0"/>
        </w:rPr>
      </w:pPr>
      <w:r>
        <w:t>Esta Ordem está disponível na página Web do Légifrance (</w:t>
      </w:r>
      <w:hyperlink r:id="rId5" w:history="1">
        <w:r>
          <w:rPr>
            <w:i/>
          </w:rPr>
          <w:t>https://www.legifrance.gouv.fr</w:t>
        </w:r>
      </w:hyperlink>
      <w:r>
        <w:t>).</w:t>
      </w:r>
      <w:r>
        <w:rPr>
          <w:i/>
        </w:rPr>
        <w:t xml:space="preserve"> </w:t>
      </w:r>
    </w:p>
    <w:p w14:paraId="34D5BE36" w14:textId="77777777" w:rsidR="003221AE" w:rsidRPr="00AE4D15" w:rsidRDefault="003221AE" w:rsidP="00AE4D15">
      <w:pPr>
        <w:spacing w:line="240" w:lineRule="auto"/>
        <w:jc w:val="both"/>
        <w:rPr>
          <w:rFonts w:ascii="Times New Roman" w:hAnsi="Times New Roman" w:cs="Times New Roman"/>
          <w:i/>
          <w:sz w:val="24"/>
          <w:szCs w:val="24"/>
        </w:rPr>
      </w:pPr>
    </w:p>
    <w:p w14:paraId="06EEE913" w14:textId="7701491E" w:rsidR="00763273" w:rsidRDefault="00763273" w:rsidP="007B4BDD">
      <w:pPr>
        <w:spacing w:line="240" w:lineRule="auto"/>
        <w:jc w:val="both"/>
        <w:rPr>
          <w:rFonts w:ascii="Times New Roman" w:hAnsi="Times New Roman" w:cs="Times New Roman"/>
          <w:sz w:val="24"/>
          <w:szCs w:val="24"/>
        </w:rPr>
      </w:pPr>
      <w:r>
        <w:rPr>
          <w:rFonts w:ascii="Times New Roman" w:hAnsi="Times New Roman"/>
          <w:sz w:val="24"/>
        </w:rPr>
        <w:t>O Ministro da Transição Ecológica e o Ministro da Economia, Finanças e Recuperação;</w:t>
      </w:r>
    </w:p>
    <w:p w14:paraId="723E0A3D" w14:textId="6366A89B" w:rsidR="007B4BDD" w:rsidRDefault="007B4BDD" w:rsidP="00AE4D15">
      <w:pPr>
        <w:spacing w:line="240" w:lineRule="auto"/>
        <w:jc w:val="both"/>
        <w:rPr>
          <w:rFonts w:ascii="Times New Roman" w:hAnsi="Times New Roman" w:cs="Times New Roman"/>
          <w:sz w:val="24"/>
          <w:szCs w:val="24"/>
        </w:rPr>
      </w:pPr>
      <w:r>
        <w:rPr>
          <w:rFonts w:ascii="Times New Roman" w:hAnsi="Times New Roman"/>
          <w:sz w:val="24"/>
        </w:rPr>
        <w:t>Tendo em conta a Diretiva (UE) 2015/1535 do Parlamento Europeu e do Conselho, de 9 de setembro de 2015, que estabelece um procedimento de informação no domínio das regulamentações técnicas e das regras relativas aos serviços da sociedade da informação e à notificação n.º xx à Comissão Europeia xx</w:t>
      </w:r>
    </w:p>
    <w:p w14:paraId="4F350E60" w14:textId="12FEDB29" w:rsidR="007B4BDD" w:rsidRPr="00AE4D15" w:rsidRDefault="007B4BDD" w:rsidP="00AE4D15">
      <w:pPr>
        <w:spacing w:line="240" w:lineRule="auto"/>
        <w:jc w:val="both"/>
        <w:rPr>
          <w:rFonts w:ascii="Times New Roman" w:hAnsi="Times New Roman" w:cs="Times New Roman"/>
          <w:sz w:val="24"/>
          <w:szCs w:val="24"/>
        </w:rPr>
      </w:pPr>
      <w:r>
        <w:rPr>
          <w:rFonts w:ascii="Times New Roman" w:hAnsi="Times New Roman"/>
          <w:sz w:val="24"/>
        </w:rPr>
        <w:t>Tendo em conta a Diretiva (UE) 2019/904 do Parlamento Europeu e do Conselho, de 5 de junho de 2019, relativa à redução do impacto de determinados produtos plásticos no ambiente, nomeadamente o artigo 4.º;</w:t>
      </w:r>
    </w:p>
    <w:p w14:paraId="16702E02" w14:textId="6FC60A7A" w:rsidR="00763273" w:rsidRPr="00733AFF" w:rsidRDefault="00763273" w:rsidP="00AE4D15">
      <w:pPr>
        <w:spacing w:line="240" w:lineRule="auto"/>
        <w:jc w:val="both"/>
        <w:rPr>
          <w:rFonts w:ascii="Times New Roman" w:hAnsi="Times New Roman" w:cs="Times New Roman"/>
          <w:sz w:val="24"/>
          <w:szCs w:val="24"/>
        </w:rPr>
      </w:pPr>
      <w:r>
        <w:rPr>
          <w:rFonts w:ascii="Times New Roman" w:hAnsi="Times New Roman"/>
          <w:sz w:val="24"/>
        </w:rPr>
        <w:t xml:space="preserve">Tendo em conta o Código do Ambiente, nomeadamente o artigo L. 541-15-10 e o artigo D. 541-330 (7.º); </w:t>
      </w:r>
    </w:p>
    <w:p w14:paraId="177AE15F" w14:textId="68514660" w:rsidR="00EE18AF" w:rsidRDefault="00763273" w:rsidP="008C49D1">
      <w:pPr>
        <w:spacing w:line="240" w:lineRule="auto"/>
        <w:jc w:val="both"/>
      </w:pPr>
      <w:r>
        <w:rPr>
          <w:rFonts w:ascii="Times New Roman" w:hAnsi="Times New Roman"/>
          <w:sz w:val="24"/>
        </w:rPr>
        <w:lastRenderedPageBreak/>
        <w:t xml:space="preserve">Tendo em conta o Decreto n.º 2020-1828, de 31 de dezembro de 2020, relativo à proibição de determinados produtos plásticos de utilização única e, nomeadamente, o seu artigo 3.º, </w:t>
      </w:r>
    </w:p>
    <w:p w14:paraId="55A5E3C4" w14:textId="0B8B113B" w:rsidR="00F17B54" w:rsidRPr="00AB2D96" w:rsidRDefault="007B4BDD" w:rsidP="00F17B54">
      <w:pPr>
        <w:spacing w:line="240" w:lineRule="auto"/>
        <w:jc w:val="both"/>
        <w:rPr>
          <w:rFonts w:ascii="Times New Roman" w:hAnsi="Times New Roman" w:cs="Times New Roman"/>
          <w:sz w:val="24"/>
          <w:szCs w:val="24"/>
          <w:highlight w:val="yellow"/>
        </w:rPr>
      </w:pPr>
      <w:r>
        <w:rPr>
          <w:rFonts w:ascii="Times New Roman" w:hAnsi="Times New Roman"/>
          <w:sz w:val="24"/>
        </w:rPr>
        <w:t xml:space="preserve">Tendo em conta as observações feitas durante a consulta pública realizada entre </w:t>
      </w:r>
      <w:r>
        <w:rPr>
          <w:rFonts w:ascii="Times New Roman" w:hAnsi="Times New Roman"/>
          <w:sz w:val="24"/>
          <w:highlight w:val="yellow"/>
        </w:rPr>
        <w:t>xx</w:t>
      </w:r>
      <w:r>
        <w:rPr>
          <w:rFonts w:ascii="Times New Roman" w:hAnsi="Times New Roman"/>
          <w:sz w:val="24"/>
        </w:rPr>
        <w:t xml:space="preserve"> e </w:t>
      </w:r>
      <w:r>
        <w:rPr>
          <w:rFonts w:ascii="Times New Roman" w:hAnsi="Times New Roman"/>
          <w:sz w:val="24"/>
          <w:highlight w:val="yellow"/>
        </w:rPr>
        <w:t>xx</w:t>
      </w:r>
      <w:r>
        <w:rPr>
          <w:rFonts w:ascii="Times New Roman" w:hAnsi="Times New Roman"/>
          <w:sz w:val="24"/>
        </w:rPr>
        <w:t>, nos termos do artigo L123-19-1 do Código Ambiental;</w:t>
      </w:r>
    </w:p>
    <w:p w14:paraId="581FC3D2" w14:textId="77777777" w:rsidR="00AE4D15" w:rsidRPr="00733AFF" w:rsidRDefault="00AE4D15" w:rsidP="00AE4D15">
      <w:pPr>
        <w:spacing w:line="240" w:lineRule="auto"/>
        <w:jc w:val="both"/>
        <w:rPr>
          <w:rFonts w:ascii="Times New Roman" w:hAnsi="Times New Roman" w:cs="Times New Roman"/>
          <w:sz w:val="24"/>
          <w:szCs w:val="24"/>
        </w:rPr>
      </w:pPr>
    </w:p>
    <w:p w14:paraId="55A84586" w14:textId="1BD79584" w:rsidR="00763273" w:rsidRDefault="00763273" w:rsidP="00AE4D15">
      <w:pPr>
        <w:spacing w:line="240" w:lineRule="auto"/>
        <w:jc w:val="center"/>
        <w:rPr>
          <w:rFonts w:ascii="Times New Roman" w:hAnsi="Times New Roman" w:cs="Times New Roman"/>
          <w:b/>
          <w:sz w:val="24"/>
          <w:szCs w:val="24"/>
        </w:rPr>
      </w:pPr>
      <w:r>
        <w:rPr>
          <w:rFonts w:ascii="Times New Roman" w:hAnsi="Times New Roman"/>
          <w:b/>
          <w:sz w:val="24"/>
        </w:rPr>
        <w:t>Decreta:</w:t>
      </w:r>
    </w:p>
    <w:p w14:paraId="338017A6" w14:textId="77777777" w:rsidR="00AE4D15" w:rsidRPr="00AE4D15" w:rsidRDefault="00AE4D15" w:rsidP="00AE4D15">
      <w:pPr>
        <w:spacing w:line="240" w:lineRule="auto"/>
        <w:jc w:val="center"/>
        <w:rPr>
          <w:rFonts w:ascii="Times New Roman" w:hAnsi="Times New Roman" w:cs="Times New Roman"/>
          <w:b/>
          <w:sz w:val="24"/>
          <w:szCs w:val="24"/>
        </w:rPr>
      </w:pPr>
    </w:p>
    <w:p w14:paraId="5417F958" w14:textId="77777777" w:rsidR="009A22DE" w:rsidRPr="00733AFF" w:rsidRDefault="009A22DE" w:rsidP="00AE4D15">
      <w:pPr>
        <w:spacing w:line="240" w:lineRule="auto"/>
        <w:jc w:val="center"/>
        <w:rPr>
          <w:rFonts w:ascii="Times New Roman" w:hAnsi="Times New Roman" w:cs="Times New Roman"/>
          <w:b/>
          <w:sz w:val="24"/>
          <w:szCs w:val="24"/>
        </w:rPr>
      </w:pPr>
      <w:r>
        <w:rPr>
          <w:rFonts w:ascii="Times New Roman" w:hAnsi="Times New Roman"/>
          <w:b/>
          <w:sz w:val="24"/>
        </w:rPr>
        <w:t>Artigo 1.º</w:t>
      </w:r>
    </w:p>
    <w:p w14:paraId="18A02092" w14:textId="415925EE" w:rsidR="00D1255D" w:rsidRDefault="002B1AAC" w:rsidP="00AE4D15">
      <w:pPr>
        <w:spacing w:line="240" w:lineRule="auto"/>
        <w:jc w:val="both"/>
        <w:rPr>
          <w:rFonts w:ascii="Times New Roman" w:hAnsi="Times New Roman" w:cs="Times New Roman"/>
          <w:sz w:val="24"/>
          <w:szCs w:val="24"/>
        </w:rPr>
      </w:pPr>
      <w:r>
        <w:rPr>
          <w:rFonts w:ascii="Times New Roman" w:hAnsi="Times New Roman"/>
          <w:sz w:val="24"/>
        </w:rPr>
        <w:t xml:space="preserve">Para efeitos da aplicação do artigo D. 541-330 do Código do Ambiente 7.º, entende-se por «teor máximo de matéria plástica» a percentagem de massa máxima de plástico.  </w:t>
      </w:r>
    </w:p>
    <w:p w14:paraId="07F42030" w14:textId="77777777" w:rsidR="00D1255D" w:rsidRDefault="00D1255D" w:rsidP="00AE4D15">
      <w:pPr>
        <w:spacing w:line="240" w:lineRule="auto"/>
        <w:jc w:val="both"/>
        <w:rPr>
          <w:rFonts w:ascii="Times New Roman" w:hAnsi="Times New Roman" w:cs="Times New Roman"/>
          <w:sz w:val="24"/>
          <w:szCs w:val="24"/>
        </w:rPr>
      </w:pPr>
    </w:p>
    <w:p w14:paraId="2D115219" w14:textId="77777777" w:rsidR="006B27B9" w:rsidRPr="00AE4D15" w:rsidRDefault="006B27B9" w:rsidP="00AE4D15">
      <w:pPr>
        <w:spacing w:line="240" w:lineRule="auto"/>
        <w:jc w:val="center"/>
        <w:rPr>
          <w:rFonts w:ascii="Times New Roman" w:hAnsi="Times New Roman" w:cs="Times New Roman"/>
          <w:b/>
          <w:sz w:val="24"/>
          <w:szCs w:val="24"/>
        </w:rPr>
      </w:pPr>
      <w:r>
        <w:rPr>
          <w:rFonts w:ascii="Times New Roman" w:hAnsi="Times New Roman"/>
          <w:b/>
          <w:sz w:val="24"/>
        </w:rPr>
        <w:t>Artigo 2.º</w:t>
      </w:r>
    </w:p>
    <w:p w14:paraId="42BB73FD" w14:textId="3BBAD050" w:rsidR="00D61223" w:rsidRDefault="00D70EFE" w:rsidP="00AE4D15">
      <w:pPr>
        <w:spacing w:line="240" w:lineRule="auto"/>
        <w:jc w:val="both"/>
        <w:rPr>
          <w:rFonts w:ascii="Times New Roman" w:hAnsi="Times New Roman" w:cs="Times New Roman"/>
          <w:sz w:val="24"/>
          <w:szCs w:val="24"/>
        </w:rPr>
      </w:pPr>
      <w:r>
        <w:rPr>
          <w:rFonts w:ascii="Times New Roman" w:hAnsi="Times New Roman"/>
          <w:sz w:val="24"/>
        </w:rPr>
        <w:t>I. - O teor máximo de plástico permitido nos copos referidos na alínea b) do ponto 7.º de D. 541-330 deve ser:</w:t>
      </w:r>
    </w:p>
    <w:p w14:paraId="3E115AD9" w14:textId="35646C56" w:rsidR="007E2794" w:rsidRDefault="007E2794" w:rsidP="007E2794">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sz w:val="24"/>
        </w:rPr>
        <w:t>15 % a partir de 3 de julho de 2021;</w:t>
      </w:r>
    </w:p>
    <w:p w14:paraId="23F6E32F" w14:textId="0D6E8369" w:rsidR="005260E4" w:rsidRDefault="00BD68E9" w:rsidP="007E2794">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sz w:val="24"/>
        </w:rPr>
        <w:t>8 % a partir de 1 de janeiro de 2024;</w:t>
      </w:r>
    </w:p>
    <w:p w14:paraId="0C81AF8F" w14:textId="35CB6EF0" w:rsidR="006B27B9" w:rsidRDefault="00AE012F" w:rsidP="00206988">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sz w:val="24"/>
        </w:rPr>
        <w:t>Sob reserva das conclusões do relatório de progresso mencionado no ponto II, a partir de 1 de janeiro de 2026, as chávenas que continuam a ser permitidas são as que não contêm componentes de plástico ou vestígios. Este prazo pode ser revisto em conformidade com as conclusões do relatório intercalar.</w:t>
      </w:r>
    </w:p>
    <w:p w14:paraId="73A2C6A4" w14:textId="71C39E8F" w:rsidR="00DD2217" w:rsidRDefault="00D70EFE" w:rsidP="002B5FC6">
      <w:pPr>
        <w:spacing w:line="240" w:lineRule="auto"/>
        <w:jc w:val="both"/>
        <w:rPr>
          <w:rFonts w:ascii="Times New Roman" w:hAnsi="Times New Roman" w:cs="Times New Roman"/>
          <w:sz w:val="24"/>
          <w:szCs w:val="24"/>
        </w:rPr>
      </w:pPr>
      <w:r>
        <w:rPr>
          <w:rFonts w:ascii="Times New Roman" w:hAnsi="Times New Roman"/>
          <w:sz w:val="24"/>
        </w:rPr>
        <w:t xml:space="preserve">II. —Em 2024, deverá ser elaborado um relatório de progresso, em consulta com as partes interessadas, sobre os progressos realizados em soluções alternativas para copos de plástico de utilização única, a fim de avaliar a viabilidade técnica da ausência de plástico nos copos ainda autorizados a partir de 1 de janeiro de 2026. </w:t>
      </w:r>
    </w:p>
    <w:p w14:paraId="6F380BA2" w14:textId="417EA6CD" w:rsidR="00F311C2" w:rsidRPr="00F311C2" w:rsidRDefault="00FB6B46" w:rsidP="00F311C2">
      <w:pPr>
        <w:spacing w:line="240" w:lineRule="auto"/>
        <w:jc w:val="both"/>
        <w:rPr>
          <w:rFonts w:ascii="Times New Roman" w:hAnsi="Times New Roman" w:cs="Times New Roman"/>
          <w:sz w:val="24"/>
          <w:szCs w:val="24"/>
        </w:rPr>
      </w:pPr>
      <w:r>
        <w:rPr>
          <w:rFonts w:ascii="Times New Roman" w:hAnsi="Times New Roman"/>
          <w:sz w:val="24"/>
        </w:rPr>
        <w:t>III. — As taças fabricadas ou importadas antes de cada um dos prazos mencionados em I e que respeitem o teor máximo de matéria plástica permitido antes desses prazos terão um prazo de 6 meses para o escoamento das existências a partir desses prazos.</w:t>
      </w:r>
    </w:p>
    <w:p w14:paraId="6638B9F8" w14:textId="48B576AE" w:rsidR="006B27B9" w:rsidRPr="00733AFF" w:rsidRDefault="006B27B9" w:rsidP="00AE4D15">
      <w:pPr>
        <w:spacing w:line="240" w:lineRule="auto"/>
        <w:jc w:val="center"/>
        <w:rPr>
          <w:rFonts w:ascii="Times New Roman" w:hAnsi="Times New Roman" w:cs="Times New Roman"/>
          <w:b/>
          <w:sz w:val="24"/>
          <w:szCs w:val="24"/>
        </w:rPr>
      </w:pPr>
      <w:r>
        <w:rPr>
          <w:rFonts w:ascii="Times New Roman" w:hAnsi="Times New Roman"/>
          <w:b/>
          <w:sz w:val="24"/>
        </w:rPr>
        <w:t>Artigo 3.º</w:t>
      </w:r>
    </w:p>
    <w:p w14:paraId="294341B3" w14:textId="39CAC495" w:rsidR="006B27B9" w:rsidRDefault="006B27B9" w:rsidP="00AE4D15">
      <w:pPr>
        <w:spacing w:line="240" w:lineRule="auto"/>
        <w:jc w:val="both"/>
        <w:rPr>
          <w:rFonts w:ascii="Times New Roman" w:hAnsi="Times New Roman" w:cs="Times New Roman"/>
          <w:sz w:val="24"/>
          <w:szCs w:val="24"/>
        </w:rPr>
      </w:pPr>
      <w:r>
        <w:rPr>
          <w:rFonts w:ascii="Times New Roman" w:hAnsi="Times New Roman"/>
          <w:sz w:val="24"/>
        </w:rPr>
        <w:t>O Diretor-Geral da Prevenção de Riscos e o Diretor-Geral das Empresas são responsáveis pela aplicação do presente decreto, que será publicado no Jornal Oficial da República Francesa.</w:t>
      </w:r>
    </w:p>
    <w:p w14:paraId="143C4B5E" w14:textId="77777777" w:rsidR="006B27B9" w:rsidRDefault="006B27B9" w:rsidP="00AE4D15">
      <w:pPr>
        <w:spacing w:line="240" w:lineRule="auto"/>
        <w:jc w:val="both"/>
        <w:rPr>
          <w:rFonts w:ascii="Times New Roman" w:hAnsi="Times New Roman" w:cs="Times New Roman"/>
          <w:sz w:val="24"/>
          <w:szCs w:val="24"/>
        </w:rPr>
      </w:pPr>
    </w:p>
    <w:p w14:paraId="682418BB" w14:textId="77777777" w:rsidR="006B27B9" w:rsidRDefault="006B27B9" w:rsidP="00AE4D15">
      <w:pPr>
        <w:spacing w:line="240" w:lineRule="auto"/>
        <w:jc w:val="both"/>
        <w:rPr>
          <w:rFonts w:ascii="Times New Roman" w:hAnsi="Times New Roman" w:cs="Times New Roman"/>
          <w:sz w:val="24"/>
          <w:szCs w:val="24"/>
        </w:rPr>
      </w:pPr>
      <w:r>
        <w:rPr>
          <w:rFonts w:ascii="Times New Roman" w:hAnsi="Times New Roman"/>
          <w:sz w:val="24"/>
        </w:rPr>
        <w:t xml:space="preserve">Datado de </w:t>
      </w:r>
    </w:p>
    <w:p w14:paraId="4BD5B7FE" w14:textId="77777777" w:rsidR="005F2B32" w:rsidRDefault="005F2B32" w:rsidP="005F2B32">
      <w:pPr>
        <w:spacing w:line="240" w:lineRule="auto"/>
        <w:rPr>
          <w:rFonts w:ascii="Times New Roman" w:hAnsi="Times New Roman" w:cs="Times New Roman"/>
          <w:sz w:val="24"/>
          <w:szCs w:val="24"/>
        </w:rPr>
      </w:pPr>
      <w:r>
        <w:rPr>
          <w:rFonts w:ascii="Times New Roman" w:hAnsi="Times New Roman"/>
          <w:sz w:val="24"/>
        </w:rPr>
        <w:t>O Ministro da Transição Ecológica,</w:t>
      </w:r>
    </w:p>
    <w:p w14:paraId="610060FD" w14:textId="77777777" w:rsidR="005F2B32" w:rsidRPr="005F2B32" w:rsidRDefault="005F2B32" w:rsidP="005F2B32">
      <w:pPr>
        <w:spacing w:line="240" w:lineRule="auto"/>
        <w:rPr>
          <w:rFonts w:ascii="Times New Roman" w:hAnsi="Times New Roman" w:cs="Times New Roman"/>
          <w:sz w:val="24"/>
          <w:szCs w:val="24"/>
        </w:rPr>
      </w:pPr>
      <w:r>
        <w:rPr>
          <w:rFonts w:ascii="Times New Roman" w:hAnsi="Times New Roman"/>
          <w:sz w:val="24"/>
        </w:rPr>
        <w:t>Por e em nome do Ministro:</w:t>
      </w:r>
    </w:p>
    <w:p w14:paraId="6695C251" w14:textId="77777777" w:rsidR="005F2B32" w:rsidRDefault="005F2B32" w:rsidP="005F2B32">
      <w:pPr>
        <w:spacing w:line="240" w:lineRule="auto"/>
        <w:rPr>
          <w:rFonts w:ascii="Times New Roman" w:hAnsi="Times New Roman" w:cs="Times New Roman"/>
          <w:sz w:val="24"/>
          <w:szCs w:val="24"/>
        </w:rPr>
      </w:pPr>
      <w:r>
        <w:rPr>
          <w:rFonts w:ascii="Times New Roman" w:hAnsi="Times New Roman"/>
          <w:sz w:val="24"/>
        </w:rPr>
        <w:t xml:space="preserve">O Diretor-Geral da Prevenção de Riscos </w:t>
      </w:r>
    </w:p>
    <w:p w14:paraId="1A4C99A9" w14:textId="77777777" w:rsidR="005F2B32" w:rsidRDefault="005F2B32" w:rsidP="005F2B32">
      <w:pPr>
        <w:spacing w:line="240" w:lineRule="auto"/>
        <w:rPr>
          <w:rFonts w:ascii="Times New Roman" w:hAnsi="Times New Roman" w:cs="Times New Roman"/>
          <w:sz w:val="24"/>
          <w:szCs w:val="24"/>
        </w:rPr>
      </w:pPr>
    </w:p>
    <w:p w14:paraId="07AFA205" w14:textId="77777777" w:rsidR="00F6699E" w:rsidRDefault="00F6699E" w:rsidP="005F2B32">
      <w:pPr>
        <w:spacing w:line="240" w:lineRule="auto"/>
        <w:rPr>
          <w:rFonts w:ascii="Times New Roman" w:hAnsi="Times New Roman" w:cs="Times New Roman"/>
          <w:sz w:val="24"/>
          <w:szCs w:val="24"/>
        </w:rPr>
      </w:pPr>
    </w:p>
    <w:p w14:paraId="3991007D" w14:textId="6872ADF5" w:rsidR="007B4BDD" w:rsidRPr="007B4BDD" w:rsidRDefault="007B4BDD" w:rsidP="00AB2D96">
      <w:pPr>
        <w:spacing w:line="240" w:lineRule="auto"/>
        <w:ind w:left="4248"/>
        <w:rPr>
          <w:rFonts w:ascii="Times New Roman" w:hAnsi="Times New Roman" w:cs="Times New Roman"/>
          <w:sz w:val="24"/>
          <w:szCs w:val="24"/>
        </w:rPr>
      </w:pPr>
      <w:r>
        <w:rPr>
          <w:rFonts w:ascii="Times New Roman" w:hAnsi="Times New Roman"/>
          <w:sz w:val="24"/>
        </w:rPr>
        <w:lastRenderedPageBreak/>
        <w:t>O Ministro da Economia e Finanças e Recuperação</w:t>
      </w:r>
    </w:p>
    <w:p w14:paraId="0ACC9840" w14:textId="77777777" w:rsidR="007B4BDD" w:rsidRPr="007B4BDD" w:rsidRDefault="007B4BDD" w:rsidP="00AB2D96">
      <w:pPr>
        <w:spacing w:line="240" w:lineRule="auto"/>
        <w:ind w:left="3540" w:firstLine="708"/>
        <w:rPr>
          <w:rFonts w:ascii="Times New Roman" w:hAnsi="Times New Roman" w:cs="Times New Roman"/>
          <w:sz w:val="24"/>
          <w:szCs w:val="24"/>
        </w:rPr>
      </w:pPr>
      <w:r>
        <w:rPr>
          <w:rFonts w:ascii="Times New Roman" w:hAnsi="Times New Roman"/>
          <w:sz w:val="24"/>
        </w:rPr>
        <w:t>Por e em nome do Ministro:</w:t>
      </w:r>
    </w:p>
    <w:p w14:paraId="77E74113" w14:textId="65F984BF" w:rsidR="00F6699E" w:rsidRDefault="007B4BDD" w:rsidP="00AB2D96">
      <w:pPr>
        <w:spacing w:line="240" w:lineRule="auto"/>
        <w:ind w:left="3540" w:firstLine="708"/>
        <w:rPr>
          <w:rFonts w:ascii="Times New Roman" w:hAnsi="Times New Roman" w:cs="Times New Roman"/>
          <w:sz w:val="24"/>
          <w:szCs w:val="24"/>
        </w:rPr>
      </w:pPr>
      <w:r>
        <w:rPr>
          <w:rFonts w:ascii="Times New Roman" w:hAnsi="Times New Roman"/>
          <w:sz w:val="24"/>
        </w:rPr>
        <w:t>O Diretor-Geral das Empresas</w:t>
      </w:r>
    </w:p>
    <w:p w14:paraId="7DB87CFF" w14:textId="77777777" w:rsidR="00F6699E" w:rsidRDefault="00F6699E" w:rsidP="005F2B32">
      <w:pPr>
        <w:spacing w:line="240" w:lineRule="auto"/>
        <w:rPr>
          <w:rFonts w:ascii="Times New Roman" w:hAnsi="Times New Roman" w:cs="Times New Roman"/>
          <w:sz w:val="24"/>
          <w:szCs w:val="24"/>
        </w:rPr>
      </w:pPr>
    </w:p>
    <w:p w14:paraId="357FB061" w14:textId="17A63B86" w:rsidR="00BF637F" w:rsidRPr="00733AFF" w:rsidRDefault="00E7622A" w:rsidP="00AB2D96">
      <w:pPr>
        <w:rPr>
          <w:rFonts w:ascii="Times New Roman" w:hAnsi="Times New Roman" w:cs="Times New Roman"/>
          <w:sz w:val="24"/>
          <w:szCs w:val="24"/>
        </w:rPr>
      </w:pPr>
    </w:p>
    <w:sectPr w:rsidR="00BF637F" w:rsidRPr="00733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3A6"/>
    <w:multiLevelType w:val="hybridMultilevel"/>
    <w:tmpl w:val="34F6495C"/>
    <w:lvl w:ilvl="0" w:tplc="020254B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604BA1"/>
    <w:multiLevelType w:val="hybridMultilevel"/>
    <w:tmpl w:val="5CF6D830"/>
    <w:lvl w:ilvl="0" w:tplc="901AA7A8">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D14EBC"/>
    <w:multiLevelType w:val="hybridMultilevel"/>
    <w:tmpl w:val="3EF46994"/>
    <w:lvl w:ilvl="0" w:tplc="4E78E7C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73"/>
    <w:rsid w:val="00000EC1"/>
    <w:rsid w:val="000077F1"/>
    <w:rsid w:val="0004588F"/>
    <w:rsid w:val="000A6EB2"/>
    <w:rsid w:val="000F5F9F"/>
    <w:rsid w:val="00106A26"/>
    <w:rsid w:val="00117C37"/>
    <w:rsid w:val="00121371"/>
    <w:rsid w:val="00122D87"/>
    <w:rsid w:val="00141A34"/>
    <w:rsid w:val="00162611"/>
    <w:rsid w:val="0018140A"/>
    <w:rsid w:val="0018241B"/>
    <w:rsid w:val="001B237F"/>
    <w:rsid w:val="00215ADA"/>
    <w:rsid w:val="002273B6"/>
    <w:rsid w:val="002678E0"/>
    <w:rsid w:val="00283922"/>
    <w:rsid w:val="002A01C4"/>
    <w:rsid w:val="002B1AAC"/>
    <w:rsid w:val="002B1CA6"/>
    <w:rsid w:val="002B354A"/>
    <w:rsid w:val="002B5FC6"/>
    <w:rsid w:val="002D74EA"/>
    <w:rsid w:val="002E6B39"/>
    <w:rsid w:val="003221AE"/>
    <w:rsid w:val="00342219"/>
    <w:rsid w:val="00363F2D"/>
    <w:rsid w:val="00370790"/>
    <w:rsid w:val="003723F8"/>
    <w:rsid w:val="00387990"/>
    <w:rsid w:val="00387BAA"/>
    <w:rsid w:val="003D00E7"/>
    <w:rsid w:val="003D5107"/>
    <w:rsid w:val="003E4344"/>
    <w:rsid w:val="003F12A6"/>
    <w:rsid w:val="00401482"/>
    <w:rsid w:val="0040286F"/>
    <w:rsid w:val="00423474"/>
    <w:rsid w:val="004354EB"/>
    <w:rsid w:val="00482B59"/>
    <w:rsid w:val="004B6799"/>
    <w:rsid w:val="004F292D"/>
    <w:rsid w:val="004F6DBE"/>
    <w:rsid w:val="00513845"/>
    <w:rsid w:val="00524256"/>
    <w:rsid w:val="005260E4"/>
    <w:rsid w:val="0055159D"/>
    <w:rsid w:val="0059117B"/>
    <w:rsid w:val="005C6909"/>
    <w:rsid w:val="005C6D5F"/>
    <w:rsid w:val="005E274E"/>
    <w:rsid w:val="005E3324"/>
    <w:rsid w:val="005F110E"/>
    <w:rsid w:val="005F2B32"/>
    <w:rsid w:val="0064736D"/>
    <w:rsid w:val="006722D5"/>
    <w:rsid w:val="006919E7"/>
    <w:rsid w:val="00694BF3"/>
    <w:rsid w:val="006A52C5"/>
    <w:rsid w:val="006B24DB"/>
    <w:rsid w:val="006B2699"/>
    <w:rsid w:val="006B27B9"/>
    <w:rsid w:val="006B2E1F"/>
    <w:rsid w:val="006C2446"/>
    <w:rsid w:val="006D1241"/>
    <w:rsid w:val="007066BD"/>
    <w:rsid w:val="00733AFF"/>
    <w:rsid w:val="00742BBE"/>
    <w:rsid w:val="00762BB1"/>
    <w:rsid w:val="00763273"/>
    <w:rsid w:val="00774498"/>
    <w:rsid w:val="007A654B"/>
    <w:rsid w:val="007B4BDD"/>
    <w:rsid w:val="007D66FD"/>
    <w:rsid w:val="007E2794"/>
    <w:rsid w:val="007E6DA3"/>
    <w:rsid w:val="008048BC"/>
    <w:rsid w:val="0080503C"/>
    <w:rsid w:val="00805A4E"/>
    <w:rsid w:val="00822DAC"/>
    <w:rsid w:val="00823A6B"/>
    <w:rsid w:val="00853577"/>
    <w:rsid w:val="00861DF6"/>
    <w:rsid w:val="00866C7A"/>
    <w:rsid w:val="0088162F"/>
    <w:rsid w:val="008A2977"/>
    <w:rsid w:val="008C49D1"/>
    <w:rsid w:val="008C7286"/>
    <w:rsid w:val="008D0D3B"/>
    <w:rsid w:val="008E73A1"/>
    <w:rsid w:val="008F57A1"/>
    <w:rsid w:val="00911E42"/>
    <w:rsid w:val="009477DF"/>
    <w:rsid w:val="00952CB3"/>
    <w:rsid w:val="009838D9"/>
    <w:rsid w:val="009A22DE"/>
    <w:rsid w:val="009A7FB3"/>
    <w:rsid w:val="009B665B"/>
    <w:rsid w:val="009D19F3"/>
    <w:rsid w:val="00A14D1B"/>
    <w:rsid w:val="00A20387"/>
    <w:rsid w:val="00A22D8F"/>
    <w:rsid w:val="00A36DEC"/>
    <w:rsid w:val="00A659BB"/>
    <w:rsid w:val="00A75B5E"/>
    <w:rsid w:val="00AA45AC"/>
    <w:rsid w:val="00AB2D96"/>
    <w:rsid w:val="00AE012F"/>
    <w:rsid w:val="00AE4D15"/>
    <w:rsid w:val="00AF321C"/>
    <w:rsid w:val="00B143B7"/>
    <w:rsid w:val="00B30F08"/>
    <w:rsid w:val="00B44787"/>
    <w:rsid w:val="00B506B2"/>
    <w:rsid w:val="00B738C5"/>
    <w:rsid w:val="00B74B3E"/>
    <w:rsid w:val="00BD68E9"/>
    <w:rsid w:val="00C22CF3"/>
    <w:rsid w:val="00C2576F"/>
    <w:rsid w:val="00C33C40"/>
    <w:rsid w:val="00C92B4A"/>
    <w:rsid w:val="00CC06F9"/>
    <w:rsid w:val="00CC6E54"/>
    <w:rsid w:val="00CD723B"/>
    <w:rsid w:val="00CE5CDB"/>
    <w:rsid w:val="00CE6194"/>
    <w:rsid w:val="00D11BF2"/>
    <w:rsid w:val="00D1255D"/>
    <w:rsid w:val="00D15AED"/>
    <w:rsid w:val="00D61223"/>
    <w:rsid w:val="00D70EFE"/>
    <w:rsid w:val="00D816DF"/>
    <w:rsid w:val="00DA4A7C"/>
    <w:rsid w:val="00DD2217"/>
    <w:rsid w:val="00DE1B9A"/>
    <w:rsid w:val="00E11BA6"/>
    <w:rsid w:val="00E20959"/>
    <w:rsid w:val="00E25026"/>
    <w:rsid w:val="00E45DCE"/>
    <w:rsid w:val="00E6194F"/>
    <w:rsid w:val="00E7622A"/>
    <w:rsid w:val="00E91183"/>
    <w:rsid w:val="00E96C41"/>
    <w:rsid w:val="00EA477A"/>
    <w:rsid w:val="00EB3F63"/>
    <w:rsid w:val="00EC0E2C"/>
    <w:rsid w:val="00ED674D"/>
    <w:rsid w:val="00EE1824"/>
    <w:rsid w:val="00EE18AF"/>
    <w:rsid w:val="00EE5A5D"/>
    <w:rsid w:val="00F17B54"/>
    <w:rsid w:val="00F27F08"/>
    <w:rsid w:val="00F311C2"/>
    <w:rsid w:val="00F6699E"/>
    <w:rsid w:val="00FB34D8"/>
    <w:rsid w:val="00FB69AD"/>
    <w:rsid w:val="00FB6B46"/>
    <w:rsid w:val="00FD17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D5D6"/>
  <w15:chartTrackingRefBased/>
  <w15:docId w15:val="{E401B12C-71C5-4C58-9F5F-84CE2690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221A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NREPUBLIQUE">
    <w:name w:val="SNREPUBLIQUE"/>
    <w:basedOn w:val="Standard"/>
    <w:rsid w:val="003221AE"/>
    <w:pPr>
      <w:jc w:val="center"/>
    </w:pPr>
    <w:rPr>
      <w:b/>
      <w:bCs/>
      <w:szCs w:val="20"/>
    </w:rPr>
  </w:style>
  <w:style w:type="paragraph" w:customStyle="1" w:styleId="SNTimbre">
    <w:name w:val="SNTimbre"/>
    <w:basedOn w:val="Standard"/>
    <w:rsid w:val="003221AE"/>
    <w:pPr>
      <w:widowControl w:val="0"/>
      <w:snapToGrid w:val="0"/>
      <w:spacing w:before="120"/>
      <w:jc w:val="center"/>
    </w:pPr>
    <w:rPr>
      <w:rFonts w:eastAsia="Lucida Sans Unicode"/>
    </w:rPr>
  </w:style>
  <w:style w:type="paragraph" w:customStyle="1" w:styleId="SNNature">
    <w:name w:val="SNNature"/>
    <w:basedOn w:val="Standard"/>
    <w:next w:val="Normal"/>
    <w:rsid w:val="003221AE"/>
    <w:pPr>
      <w:widowControl w:val="0"/>
      <w:suppressLineNumbers/>
      <w:spacing w:before="720" w:after="120"/>
      <w:jc w:val="center"/>
    </w:pPr>
    <w:rPr>
      <w:rFonts w:eastAsia="Lucida Sans Unicode"/>
      <w:b/>
      <w:bCs/>
    </w:rPr>
  </w:style>
  <w:style w:type="paragraph" w:styleId="NormalWeb">
    <w:name w:val="Normal (Web)"/>
    <w:basedOn w:val="Standard"/>
    <w:rsid w:val="003221AE"/>
    <w:pPr>
      <w:spacing w:before="280" w:after="119"/>
    </w:pPr>
    <w:rPr>
      <w:rFonts w:ascii="Arial Unicode MS" w:eastAsia="Arial Unicode MS" w:hAnsi="Arial Unicode MS" w:cs="Arial Unicode MS"/>
    </w:rPr>
  </w:style>
  <w:style w:type="character" w:customStyle="1" w:styleId="StrongEmphasis">
    <w:name w:val="Strong Emphasis"/>
    <w:basedOn w:val="DefaultParagraphFont"/>
    <w:rsid w:val="003221AE"/>
    <w:rPr>
      <w:b/>
      <w:bCs/>
    </w:rPr>
  </w:style>
  <w:style w:type="character" w:customStyle="1" w:styleId="Internetlink">
    <w:name w:val="Internet link"/>
    <w:basedOn w:val="DefaultParagraphFont"/>
    <w:rsid w:val="003221AE"/>
    <w:rPr>
      <w:color w:val="0000FF"/>
      <w:u w:val="single"/>
    </w:rPr>
  </w:style>
  <w:style w:type="paragraph" w:styleId="BalloonText">
    <w:name w:val="Balloon Text"/>
    <w:basedOn w:val="Normal"/>
    <w:link w:val="BalloonTextChar"/>
    <w:uiPriority w:val="99"/>
    <w:semiHidden/>
    <w:unhideWhenUsed/>
    <w:rsid w:val="00B14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3B7"/>
    <w:rPr>
      <w:rFonts w:ascii="Segoe UI" w:hAnsi="Segoe UI" w:cs="Segoe UI"/>
      <w:sz w:val="18"/>
      <w:szCs w:val="18"/>
    </w:rPr>
  </w:style>
  <w:style w:type="paragraph" w:styleId="ListParagraph">
    <w:name w:val="List Paragraph"/>
    <w:basedOn w:val="Normal"/>
    <w:uiPriority w:val="34"/>
    <w:qFormat/>
    <w:rsid w:val="00866C7A"/>
    <w:pPr>
      <w:ind w:left="720"/>
      <w:contextualSpacing/>
    </w:pPr>
  </w:style>
  <w:style w:type="paragraph" w:customStyle="1" w:styleId="Default">
    <w:name w:val="Default"/>
    <w:rsid w:val="00EE18A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B354A"/>
    <w:rPr>
      <w:color w:val="0563C1" w:themeColor="hyperlink"/>
      <w:u w:val="single"/>
    </w:rPr>
  </w:style>
  <w:style w:type="character" w:styleId="CommentReference">
    <w:name w:val="annotation reference"/>
    <w:basedOn w:val="DefaultParagraphFont"/>
    <w:uiPriority w:val="99"/>
    <w:semiHidden/>
    <w:unhideWhenUsed/>
    <w:rsid w:val="004F292D"/>
    <w:rPr>
      <w:sz w:val="16"/>
      <w:szCs w:val="16"/>
    </w:rPr>
  </w:style>
  <w:style w:type="paragraph" w:styleId="CommentText">
    <w:name w:val="annotation text"/>
    <w:basedOn w:val="Normal"/>
    <w:link w:val="CommentTextChar"/>
    <w:uiPriority w:val="99"/>
    <w:semiHidden/>
    <w:unhideWhenUsed/>
    <w:rsid w:val="004F292D"/>
    <w:pPr>
      <w:spacing w:line="240" w:lineRule="auto"/>
    </w:pPr>
    <w:rPr>
      <w:sz w:val="20"/>
      <w:szCs w:val="20"/>
    </w:rPr>
  </w:style>
  <w:style w:type="character" w:customStyle="1" w:styleId="CommentTextChar">
    <w:name w:val="Comment Text Char"/>
    <w:basedOn w:val="DefaultParagraphFont"/>
    <w:link w:val="CommentText"/>
    <w:uiPriority w:val="99"/>
    <w:semiHidden/>
    <w:rsid w:val="004F292D"/>
    <w:rPr>
      <w:sz w:val="20"/>
      <w:szCs w:val="20"/>
    </w:rPr>
  </w:style>
  <w:style w:type="paragraph" w:styleId="CommentSubject">
    <w:name w:val="annotation subject"/>
    <w:basedOn w:val="CommentText"/>
    <w:next w:val="CommentText"/>
    <w:link w:val="CommentSubjectChar"/>
    <w:uiPriority w:val="99"/>
    <w:semiHidden/>
    <w:unhideWhenUsed/>
    <w:rsid w:val="004F292D"/>
    <w:rPr>
      <w:b/>
      <w:bCs/>
    </w:rPr>
  </w:style>
  <w:style w:type="character" w:customStyle="1" w:styleId="CommentSubjectChar">
    <w:name w:val="Comment Subject Char"/>
    <w:basedOn w:val="CommentTextChar"/>
    <w:link w:val="CommentSubject"/>
    <w:uiPriority w:val="99"/>
    <w:semiHidden/>
    <w:rsid w:val="004F292D"/>
    <w:rPr>
      <w:b/>
      <w:bCs/>
      <w:sz w:val="20"/>
      <w:szCs w:val="20"/>
    </w:rPr>
  </w:style>
  <w:style w:type="paragraph" w:styleId="Revision">
    <w:name w:val="Revision"/>
    <w:hidden/>
    <w:uiPriority w:val="99"/>
    <w:semiHidden/>
    <w:rsid w:val="008C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92083">
      <w:bodyDiv w:val="1"/>
      <w:marLeft w:val="0"/>
      <w:marRight w:val="0"/>
      <w:marTop w:val="0"/>
      <w:marBottom w:val="0"/>
      <w:divBdr>
        <w:top w:val="none" w:sz="0" w:space="0" w:color="auto"/>
        <w:left w:val="none" w:sz="0" w:space="0" w:color="auto"/>
        <w:bottom w:val="none" w:sz="0" w:space="0" w:color="auto"/>
        <w:right w:val="none" w:sz="0" w:space="0" w:color="auto"/>
      </w:divBdr>
    </w:div>
    <w:div w:id="470564562">
      <w:bodyDiv w:val="1"/>
      <w:marLeft w:val="0"/>
      <w:marRight w:val="0"/>
      <w:marTop w:val="0"/>
      <w:marBottom w:val="0"/>
      <w:divBdr>
        <w:top w:val="none" w:sz="0" w:space="0" w:color="auto"/>
        <w:left w:val="none" w:sz="0" w:space="0" w:color="auto"/>
        <w:bottom w:val="none" w:sz="0" w:space="0" w:color="auto"/>
        <w:right w:val="none" w:sz="0" w:space="0" w:color="auto"/>
      </w:divBdr>
      <w:divsChild>
        <w:div w:id="83691809">
          <w:marLeft w:val="0"/>
          <w:marRight w:val="0"/>
          <w:marTop w:val="0"/>
          <w:marBottom w:val="0"/>
          <w:divBdr>
            <w:top w:val="none" w:sz="0" w:space="0" w:color="auto"/>
            <w:left w:val="none" w:sz="0" w:space="0" w:color="auto"/>
            <w:bottom w:val="none" w:sz="0" w:space="0" w:color="auto"/>
            <w:right w:val="none" w:sz="0" w:space="0" w:color="auto"/>
          </w:divBdr>
        </w:div>
        <w:div w:id="1245409056">
          <w:marLeft w:val="0"/>
          <w:marRight w:val="0"/>
          <w:marTop w:val="0"/>
          <w:marBottom w:val="0"/>
          <w:divBdr>
            <w:top w:val="none" w:sz="0" w:space="0" w:color="auto"/>
            <w:left w:val="none" w:sz="0" w:space="0" w:color="auto"/>
            <w:bottom w:val="none" w:sz="0" w:space="0" w:color="auto"/>
            <w:right w:val="none" w:sz="0" w:space="0" w:color="auto"/>
          </w:divBdr>
        </w:div>
        <w:div w:id="1243639165">
          <w:marLeft w:val="0"/>
          <w:marRight w:val="0"/>
          <w:marTop w:val="0"/>
          <w:marBottom w:val="0"/>
          <w:divBdr>
            <w:top w:val="none" w:sz="0" w:space="0" w:color="auto"/>
            <w:left w:val="none" w:sz="0" w:space="0" w:color="auto"/>
            <w:bottom w:val="none" w:sz="0" w:space="0" w:color="auto"/>
            <w:right w:val="none" w:sz="0" w:space="0" w:color="auto"/>
          </w:divBdr>
        </w:div>
        <w:div w:id="2057001583">
          <w:marLeft w:val="0"/>
          <w:marRight w:val="0"/>
          <w:marTop w:val="0"/>
          <w:marBottom w:val="0"/>
          <w:divBdr>
            <w:top w:val="none" w:sz="0" w:space="0" w:color="auto"/>
            <w:left w:val="none" w:sz="0" w:space="0" w:color="auto"/>
            <w:bottom w:val="none" w:sz="0" w:space="0" w:color="auto"/>
            <w:right w:val="none" w:sz="0" w:space="0" w:color="auto"/>
          </w:divBdr>
        </w:div>
        <w:div w:id="156073837">
          <w:marLeft w:val="0"/>
          <w:marRight w:val="0"/>
          <w:marTop w:val="0"/>
          <w:marBottom w:val="0"/>
          <w:divBdr>
            <w:top w:val="none" w:sz="0" w:space="0" w:color="auto"/>
            <w:left w:val="none" w:sz="0" w:space="0" w:color="auto"/>
            <w:bottom w:val="none" w:sz="0" w:space="0" w:color="auto"/>
            <w:right w:val="none" w:sz="0" w:space="0" w:color="auto"/>
          </w:divBdr>
        </w:div>
      </w:divsChild>
    </w:div>
    <w:div w:id="856384575">
      <w:bodyDiv w:val="1"/>
      <w:marLeft w:val="0"/>
      <w:marRight w:val="0"/>
      <w:marTop w:val="0"/>
      <w:marBottom w:val="0"/>
      <w:divBdr>
        <w:top w:val="none" w:sz="0" w:space="0" w:color="auto"/>
        <w:left w:val="none" w:sz="0" w:space="0" w:color="auto"/>
        <w:bottom w:val="none" w:sz="0" w:space="0" w:color="auto"/>
        <w:right w:val="none" w:sz="0" w:space="0" w:color="auto"/>
      </w:divBdr>
    </w:div>
    <w:div w:id="987709881">
      <w:bodyDiv w:val="1"/>
      <w:marLeft w:val="0"/>
      <w:marRight w:val="0"/>
      <w:marTop w:val="0"/>
      <w:marBottom w:val="0"/>
      <w:divBdr>
        <w:top w:val="none" w:sz="0" w:space="0" w:color="auto"/>
        <w:left w:val="none" w:sz="0" w:space="0" w:color="auto"/>
        <w:bottom w:val="none" w:sz="0" w:space="0" w:color="auto"/>
        <w:right w:val="none" w:sz="0" w:space="0" w:color="auto"/>
      </w:divBdr>
    </w:div>
    <w:div w:id="1027409159">
      <w:bodyDiv w:val="1"/>
      <w:marLeft w:val="0"/>
      <w:marRight w:val="0"/>
      <w:marTop w:val="0"/>
      <w:marBottom w:val="0"/>
      <w:divBdr>
        <w:top w:val="none" w:sz="0" w:space="0" w:color="auto"/>
        <w:left w:val="none" w:sz="0" w:space="0" w:color="auto"/>
        <w:bottom w:val="none" w:sz="0" w:space="0" w:color="auto"/>
        <w:right w:val="none" w:sz="0" w:space="0" w:color="auto"/>
      </w:divBdr>
    </w:div>
    <w:div w:id="1216240748">
      <w:bodyDiv w:val="1"/>
      <w:marLeft w:val="0"/>
      <w:marRight w:val="0"/>
      <w:marTop w:val="0"/>
      <w:marBottom w:val="0"/>
      <w:divBdr>
        <w:top w:val="none" w:sz="0" w:space="0" w:color="auto"/>
        <w:left w:val="none" w:sz="0" w:space="0" w:color="auto"/>
        <w:bottom w:val="none" w:sz="0" w:space="0" w:color="auto"/>
        <w:right w:val="none" w:sz="0" w:space="0" w:color="auto"/>
      </w:divBdr>
    </w:div>
    <w:div w:id="17323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3591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Dimitra Loupi</cp:lastModifiedBy>
  <cp:revision>5</cp:revision>
  <cp:lastPrinted>2020-07-07T16:39:00Z</cp:lastPrinted>
  <dcterms:created xsi:type="dcterms:W3CDTF">2021-04-28T09:13:00Z</dcterms:created>
  <dcterms:modified xsi:type="dcterms:W3CDTF">2021-05-05T12:27:00Z</dcterms:modified>
</cp:coreProperties>
</file>