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219AB" w14:textId="77777777" w:rsidR="00D00167" w:rsidRPr="006A673E" w:rsidRDefault="00D00167" w:rsidP="001307A3">
      <w:pPr>
        <w:pStyle w:val="02BDGesBlatt"/>
        <w:rPr>
          <w:sz w:val="64"/>
          <w:szCs w:val="64"/>
        </w:rPr>
      </w:pPr>
      <w:r w:rsidRPr="006A673E">
        <w:rPr>
          <w:sz w:val="64"/>
        </w:rPr>
        <w:t>JOURNAL OFFICIEL</w:t>
      </w:r>
    </w:p>
    <w:p w14:paraId="76FF9F97" w14:textId="77777777" w:rsidR="00D00167" w:rsidRPr="006A673E" w:rsidRDefault="00D00167" w:rsidP="001307A3">
      <w:pPr>
        <w:pStyle w:val="03RepOesterr"/>
      </w:pPr>
      <w:r w:rsidRPr="006A673E">
        <w:t>DE LA RÉPUBLIQUE D’AUTRICHE</w:t>
      </w:r>
    </w:p>
    <w:p w14:paraId="479A6854" w14:textId="77777777" w:rsidR="00D00167" w:rsidRPr="006A673E" w:rsidRDefault="00D00167" w:rsidP="001307A3">
      <w:pPr>
        <w:pStyle w:val="04AusgabeDaten"/>
      </w:pPr>
      <w:r w:rsidRPr="006A673E">
        <w:t>Année 2021</w:t>
      </w:r>
      <w:r w:rsidRPr="006A673E">
        <w:tab/>
        <w:t>Publié le 10 décembre 2021</w:t>
      </w:r>
      <w:r w:rsidRPr="006A673E">
        <w:tab/>
        <w:t>Première partie</w:t>
      </w:r>
    </w:p>
    <w:p w14:paraId="09A13DC1" w14:textId="77777777" w:rsidR="00D00167" w:rsidRPr="006A673E" w:rsidRDefault="00D00167" w:rsidP="001307A3">
      <w:pPr>
        <w:pStyle w:val="05Kurztitel"/>
      </w:pPr>
      <w:r w:rsidRPr="006A673E">
        <w:t>200e loi fédérale:</w:t>
      </w:r>
      <w:r w:rsidRPr="006A673E">
        <w:tab/>
        <w:t>Modification de la loi sur la gestion des déchets dans le contexte de l’ensemble de mesures sur l’économie circulaire [AWG-Novelle Kreislaufwirtschaftspaket]</w:t>
      </w:r>
    </w:p>
    <w:p w14:paraId="09CAC36C" w14:textId="77777777" w:rsidR="00D00167" w:rsidRPr="006A673E" w:rsidRDefault="00D00167" w:rsidP="001307A3">
      <w:pPr>
        <w:pStyle w:val="05Kurztitel"/>
        <w:rPr>
          <w:lang w:val="de-DE"/>
        </w:rPr>
      </w:pPr>
      <w:r w:rsidRPr="006A673E">
        <w:tab/>
      </w:r>
      <w:r w:rsidRPr="006A673E">
        <w:rPr>
          <w:lang w:val="de-DE"/>
        </w:rPr>
        <w:t>(N°: GP XXVII RV 1104 AB 1123 S. 131. BR: AB 10787 S. 934.)</w:t>
      </w:r>
    </w:p>
    <w:p w14:paraId="42B7C373" w14:textId="77777777" w:rsidR="00D00167" w:rsidRPr="006A673E" w:rsidRDefault="00D00167" w:rsidP="001307A3">
      <w:pPr>
        <w:pStyle w:val="05Kurztitel"/>
        <w:rPr>
          <w:lang w:val="de-DE"/>
        </w:rPr>
      </w:pPr>
      <w:r w:rsidRPr="006A673E">
        <w:rPr>
          <w:lang w:val="de-DE"/>
        </w:rPr>
        <w:tab/>
        <w:t>[CELEX n°: 32018L0851, 32018L0852, 32019L0904]</w:t>
      </w:r>
    </w:p>
    <w:p w14:paraId="1ED1FBFB" w14:textId="77777777" w:rsidR="00D00167" w:rsidRPr="006A673E" w:rsidRDefault="00D00167" w:rsidP="001307A3">
      <w:pPr>
        <w:pStyle w:val="11Titel"/>
      </w:pPr>
      <w:r w:rsidRPr="006A673E">
        <w:t>200e loi fédérale modifiant la loi de 2002 sur la gestion des déchets (AWG-Novelle Kreislaufwirtschaftspaket)</w:t>
      </w:r>
    </w:p>
    <w:p w14:paraId="78BC808E" w14:textId="77777777" w:rsidR="00D00167" w:rsidRPr="006A673E" w:rsidRDefault="00D00167" w:rsidP="001307A3">
      <w:pPr>
        <w:pStyle w:val="12PromKlEinlSatz"/>
      </w:pPr>
      <w:r w:rsidRPr="006A673E">
        <w:t>Le Nationalrat a décrété ce qui suit :</w:t>
      </w:r>
    </w:p>
    <w:p w14:paraId="729CC683" w14:textId="77777777" w:rsidR="00D00167" w:rsidRPr="006A673E" w:rsidRDefault="00D00167" w:rsidP="001307A3">
      <w:pPr>
        <w:pStyle w:val="12PromKlEinlSatz"/>
      </w:pPr>
      <w:r w:rsidRPr="006A673E">
        <w:t>La Loi de 2002 sur la Gestion des déchets (AWG 2002) Journal officiel fédéral (BGBl.) I n° 102/2002, modifiée en dernier lieu par la Loi fédérale promulguée en BGBl. I n° 8/2021, est modifiée comme suit :</w:t>
      </w:r>
    </w:p>
    <w:p w14:paraId="03788468" w14:textId="77777777" w:rsidR="00D00167" w:rsidRPr="006A673E" w:rsidRDefault="00D00167" w:rsidP="001307A3">
      <w:pPr>
        <w:pStyle w:val="21NovAo1"/>
      </w:pPr>
      <w:r w:rsidRPr="006A673E">
        <w:t>1. Dans la table des matières, la rubrique relative à l’article 9 est formulée comme suit :</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19266DA3" w14:textId="77777777" w:rsidTr="001307A3">
        <w:tc>
          <w:tcPr>
            <w:tcW w:w="2267" w:type="dxa"/>
          </w:tcPr>
          <w:p w14:paraId="417C4427" w14:textId="77777777" w:rsidR="00D00167" w:rsidRPr="006A673E" w:rsidRDefault="00D00167" w:rsidP="001307A3">
            <w:pPr>
              <w:pStyle w:val="32InhaltEintrag"/>
            </w:pPr>
            <w:r w:rsidRPr="006A673E">
              <w:t>« Article 9.</w:t>
            </w:r>
          </w:p>
        </w:tc>
        <w:tc>
          <w:tcPr>
            <w:tcW w:w="6217" w:type="dxa"/>
          </w:tcPr>
          <w:p w14:paraId="574F52C0" w14:textId="77777777" w:rsidR="00D00167" w:rsidRPr="006A673E" w:rsidRDefault="00D00167" w:rsidP="001307A3">
            <w:pPr>
              <w:pStyle w:val="32InhaltEintrag"/>
            </w:pPr>
            <w:r w:rsidRPr="006A673E">
              <w:t>Objectifs minimaux pour les mesures de prévention des déchets »</w:t>
            </w:r>
          </w:p>
        </w:tc>
      </w:tr>
    </w:tbl>
    <w:p w14:paraId="7248D08A" w14:textId="77777777" w:rsidR="00D00167" w:rsidRPr="006A673E" w:rsidRDefault="00D00167" w:rsidP="001307A3">
      <w:pPr>
        <w:pStyle w:val="21NovAo1"/>
      </w:pPr>
      <w:r w:rsidRPr="006A673E">
        <w:t>2. Dans la table des matières, les mentions suivantes pour les articles 12 bis à 12 quater sont insérées après la mention de l’article 12:</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297C91D9" w14:textId="77777777" w:rsidTr="001307A3">
        <w:tc>
          <w:tcPr>
            <w:tcW w:w="2267" w:type="dxa"/>
          </w:tcPr>
          <w:p w14:paraId="6E754587" w14:textId="77777777" w:rsidR="00D00167" w:rsidRPr="006A673E" w:rsidRDefault="00D00167" w:rsidP="001307A3">
            <w:pPr>
              <w:pStyle w:val="32InhaltEintrag"/>
            </w:pPr>
            <w:r w:rsidRPr="006A673E">
              <w:t>« Article 12a.</w:t>
            </w:r>
          </w:p>
        </w:tc>
        <w:tc>
          <w:tcPr>
            <w:tcW w:w="6217" w:type="dxa"/>
          </w:tcPr>
          <w:p w14:paraId="23F92E93" w14:textId="77777777" w:rsidR="00D00167" w:rsidRPr="006A673E" w:rsidRDefault="00D00167" w:rsidP="001307A3">
            <w:pPr>
              <w:pStyle w:val="32InhaltEintrag"/>
            </w:pPr>
            <w:r w:rsidRPr="006A673E">
              <w:t>Producteurs de certains produits</w:t>
            </w:r>
          </w:p>
        </w:tc>
      </w:tr>
      <w:tr w:rsidR="00D00167" w:rsidRPr="006A673E" w14:paraId="1E681137" w14:textId="77777777" w:rsidTr="001307A3">
        <w:tc>
          <w:tcPr>
            <w:tcW w:w="2267" w:type="dxa"/>
          </w:tcPr>
          <w:p w14:paraId="2AF40082" w14:textId="77777777" w:rsidR="00D00167" w:rsidRPr="006A673E" w:rsidRDefault="00D00167" w:rsidP="001307A3">
            <w:pPr>
              <w:pStyle w:val="32InhaltEintrag"/>
            </w:pPr>
            <w:r w:rsidRPr="006A673E">
              <w:t>Article 12 b.</w:t>
            </w:r>
          </w:p>
        </w:tc>
        <w:tc>
          <w:tcPr>
            <w:tcW w:w="6217" w:type="dxa"/>
          </w:tcPr>
          <w:p w14:paraId="6DC44A6C" w14:textId="77777777" w:rsidR="00D00167" w:rsidRPr="006A673E" w:rsidRDefault="00D00167" w:rsidP="001307A3">
            <w:pPr>
              <w:pStyle w:val="32InhaltEintrag"/>
            </w:pPr>
            <w:r w:rsidRPr="006A673E">
              <w:t>Représentant autorisé »</w:t>
            </w:r>
          </w:p>
        </w:tc>
      </w:tr>
      <w:tr w:rsidR="00D00167" w:rsidRPr="006A673E" w14:paraId="5140222E" w14:textId="77777777" w:rsidTr="001307A3">
        <w:tc>
          <w:tcPr>
            <w:tcW w:w="2267" w:type="dxa"/>
          </w:tcPr>
          <w:p w14:paraId="196927C0" w14:textId="77777777" w:rsidR="00D00167" w:rsidRPr="006A673E" w:rsidRDefault="00D00167" w:rsidP="001307A3">
            <w:pPr>
              <w:pStyle w:val="32InhaltEintrag"/>
            </w:pPr>
            <w:r w:rsidRPr="006A673E">
              <w:t>Article 12 quater.</w:t>
            </w:r>
          </w:p>
        </w:tc>
        <w:tc>
          <w:tcPr>
            <w:tcW w:w="6217" w:type="dxa"/>
          </w:tcPr>
          <w:p w14:paraId="7226B023" w14:textId="77777777" w:rsidR="00D00167" w:rsidRPr="006A673E" w:rsidRDefault="00D00167" w:rsidP="001307A3">
            <w:pPr>
              <w:pStyle w:val="32InhaltEintrag"/>
            </w:pPr>
            <w:r w:rsidRPr="006A673E">
              <w:t>Obligations pour les marchés électroniques et les prestataires de services d’exécution»</w:t>
            </w:r>
          </w:p>
        </w:tc>
      </w:tr>
    </w:tbl>
    <w:p w14:paraId="246C151B" w14:textId="77777777" w:rsidR="00D00167" w:rsidRPr="006A673E" w:rsidRDefault="00D00167" w:rsidP="001307A3">
      <w:pPr>
        <w:pStyle w:val="21NovAo1"/>
      </w:pPr>
      <w:r w:rsidRPr="006A673E">
        <w:t>3. Dans la table des matières, l'entrée de l'article 13a est formulée comme suit :</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3FF87507" w14:textId="77777777" w:rsidTr="001307A3">
        <w:tc>
          <w:tcPr>
            <w:tcW w:w="2267" w:type="dxa"/>
          </w:tcPr>
          <w:p w14:paraId="617270D7" w14:textId="77777777" w:rsidR="00D00167" w:rsidRPr="006A673E" w:rsidRDefault="00D00167" w:rsidP="001307A3">
            <w:pPr>
              <w:pStyle w:val="32InhaltEintrag"/>
            </w:pPr>
            <w:r w:rsidRPr="006A673E">
              <w:t>« Article 13a.</w:t>
            </w:r>
          </w:p>
        </w:tc>
        <w:tc>
          <w:tcPr>
            <w:tcW w:w="6217" w:type="dxa"/>
          </w:tcPr>
          <w:p w14:paraId="7E5FE59B" w14:textId="77777777" w:rsidR="00D00167" w:rsidRPr="006A673E" w:rsidRDefault="00D00167" w:rsidP="001307A3">
            <w:pPr>
              <w:pStyle w:val="32InhaltEintrag"/>
            </w:pPr>
            <w:r w:rsidRPr="006A673E">
              <w:t>Obligations pour les producteurs de certains produits »</w:t>
            </w:r>
          </w:p>
        </w:tc>
      </w:tr>
    </w:tbl>
    <w:p w14:paraId="39AE61FD" w14:textId="77777777" w:rsidR="00D00167" w:rsidRPr="006A673E" w:rsidRDefault="00D00167" w:rsidP="001307A3">
      <w:pPr>
        <w:pStyle w:val="21NovAo1"/>
      </w:pPr>
      <w:r w:rsidRPr="006A673E">
        <w:t>4. Dans la table des matières, les rubriques suivantes pour les articles 13n à 13q sont insérées après la mention de l’article 13 m :</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17A941FE" w14:textId="77777777" w:rsidTr="001307A3">
        <w:tc>
          <w:tcPr>
            <w:tcW w:w="2267" w:type="dxa"/>
          </w:tcPr>
          <w:p w14:paraId="71F1F595" w14:textId="517ED00F" w:rsidR="00D00167" w:rsidRPr="006A673E" w:rsidRDefault="00D00167" w:rsidP="001307A3">
            <w:pPr>
              <w:pStyle w:val="32InhaltEintrag"/>
            </w:pPr>
            <w:r w:rsidRPr="006A673E">
              <w:t>« Article 13n</w:t>
            </w:r>
            <w:r w:rsidR="00B83F01" w:rsidRPr="006A673E">
              <w:t>.</w:t>
            </w:r>
          </w:p>
        </w:tc>
        <w:tc>
          <w:tcPr>
            <w:tcW w:w="6217" w:type="dxa"/>
          </w:tcPr>
          <w:p w14:paraId="6A674AB0" w14:textId="77777777" w:rsidR="00D00167" w:rsidRPr="006A673E" w:rsidRDefault="00D00167" w:rsidP="001307A3">
            <w:pPr>
              <w:pStyle w:val="32InhaltEintrag"/>
            </w:pPr>
            <w:r w:rsidRPr="006A673E">
              <w:t>Interdiction des produits plastiques à usage unique</w:t>
            </w:r>
          </w:p>
        </w:tc>
      </w:tr>
      <w:tr w:rsidR="00D00167" w:rsidRPr="006A673E" w14:paraId="353B05E6" w14:textId="77777777" w:rsidTr="001307A3">
        <w:tc>
          <w:tcPr>
            <w:tcW w:w="2267" w:type="dxa"/>
          </w:tcPr>
          <w:p w14:paraId="53557102" w14:textId="0900B787" w:rsidR="00D00167" w:rsidRPr="006A673E" w:rsidRDefault="00D00167" w:rsidP="001307A3">
            <w:pPr>
              <w:pStyle w:val="32InhaltEintrag"/>
            </w:pPr>
            <w:r w:rsidRPr="006A673E">
              <w:t>Article 13o</w:t>
            </w:r>
            <w:r w:rsidR="00B83F01" w:rsidRPr="006A673E">
              <w:t>.</w:t>
            </w:r>
          </w:p>
        </w:tc>
        <w:tc>
          <w:tcPr>
            <w:tcW w:w="6217" w:type="dxa"/>
          </w:tcPr>
          <w:p w14:paraId="0FDD3B5D" w14:textId="77777777" w:rsidR="00D00167" w:rsidRPr="006A673E" w:rsidRDefault="00D00167" w:rsidP="001307A3">
            <w:pPr>
              <w:pStyle w:val="32InhaltEintrag"/>
            </w:pPr>
            <w:r w:rsidRPr="006A673E">
              <w:t>Interdiction des produits plastiques oxo-dégradables</w:t>
            </w:r>
          </w:p>
        </w:tc>
      </w:tr>
      <w:tr w:rsidR="00D00167" w:rsidRPr="006A673E" w14:paraId="17A23D74" w14:textId="77777777" w:rsidTr="001307A3">
        <w:tc>
          <w:tcPr>
            <w:tcW w:w="2267" w:type="dxa"/>
          </w:tcPr>
          <w:p w14:paraId="345E1B5A" w14:textId="7B8D74FB" w:rsidR="00D00167" w:rsidRPr="006A673E" w:rsidRDefault="00D00167" w:rsidP="001307A3">
            <w:pPr>
              <w:pStyle w:val="32InhaltEintrag"/>
            </w:pPr>
            <w:r w:rsidRPr="006A673E">
              <w:t>Article 13p</w:t>
            </w:r>
            <w:r w:rsidR="00B83F01" w:rsidRPr="006A673E">
              <w:t>.</w:t>
            </w:r>
          </w:p>
        </w:tc>
        <w:tc>
          <w:tcPr>
            <w:tcW w:w="6217" w:type="dxa"/>
          </w:tcPr>
          <w:p w14:paraId="194C1A86" w14:textId="77777777" w:rsidR="00D00167" w:rsidRPr="006A673E" w:rsidRDefault="00D00167" w:rsidP="001307A3">
            <w:pPr>
              <w:pStyle w:val="32InhaltEintrag"/>
            </w:pPr>
            <w:r w:rsidRPr="006A673E">
              <w:t>Prescriptions relatives au marquage de certains produits plastiques à usage unique</w:t>
            </w:r>
          </w:p>
        </w:tc>
      </w:tr>
      <w:tr w:rsidR="00D00167" w:rsidRPr="006A673E" w14:paraId="69DD674D" w14:textId="77777777" w:rsidTr="001307A3">
        <w:tc>
          <w:tcPr>
            <w:tcW w:w="2267" w:type="dxa"/>
          </w:tcPr>
          <w:p w14:paraId="461C5C83" w14:textId="77777777" w:rsidR="00D00167" w:rsidRPr="006A673E" w:rsidRDefault="00D00167" w:rsidP="001307A3">
            <w:pPr>
              <w:pStyle w:val="32InhaltEintrag"/>
            </w:pPr>
            <w:r w:rsidRPr="006A673E">
              <w:t>Article 13q</w:t>
            </w:r>
          </w:p>
        </w:tc>
        <w:tc>
          <w:tcPr>
            <w:tcW w:w="6217" w:type="dxa"/>
          </w:tcPr>
          <w:p w14:paraId="4915F178" w14:textId="77777777" w:rsidR="00D00167" w:rsidRPr="006A673E" w:rsidRDefault="00D00167" w:rsidP="001307A3">
            <w:pPr>
              <w:pStyle w:val="32InhaltEintrag"/>
            </w:pPr>
            <w:r w:rsidRPr="006A673E">
              <w:t>Étiquetage des emballages à usage unique et des boissons réutilisables »</w:t>
            </w:r>
          </w:p>
        </w:tc>
      </w:tr>
    </w:tbl>
    <w:p w14:paraId="6DD0E596" w14:textId="77777777" w:rsidR="00D00167" w:rsidRPr="006A673E" w:rsidRDefault="00D00167" w:rsidP="001307A3">
      <w:pPr>
        <w:pStyle w:val="21NovAo1"/>
      </w:pPr>
      <w:r w:rsidRPr="006A673E">
        <w:t>5. Dans la table des matières, les mentions suivantes pour les articles 14 bis , 14 ter et 14 quater sont insérées après la mention de l’article 14:</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3CE8C30C" w14:textId="77777777" w:rsidTr="001307A3">
        <w:tc>
          <w:tcPr>
            <w:tcW w:w="2267" w:type="dxa"/>
          </w:tcPr>
          <w:p w14:paraId="0204ABEC" w14:textId="77777777" w:rsidR="00D00167" w:rsidRPr="006A673E" w:rsidRDefault="00D00167" w:rsidP="001307A3">
            <w:pPr>
              <w:pStyle w:val="32InhaltEintrag"/>
            </w:pPr>
            <w:r w:rsidRPr="006A673E">
              <w:t>« Article 14a.</w:t>
            </w:r>
          </w:p>
        </w:tc>
        <w:tc>
          <w:tcPr>
            <w:tcW w:w="6217" w:type="dxa"/>
          </w:tcPr>
          <w:p w14:paraId="08443D1A" w14:textId="77777777" w:rsidR="00D00167" w:rsidRPr="006A673E" w:rsidRDefault="00D00167" w:rsidP="001307A3">
            <w:pPr>
              <w:pStyle w:val="32InhaltEintrag"/>
            </w:pPr>
            <w:r w:rsidRPr="006A673E">
              <w:t>Mesures visant à réduire les emballages plastiques à usage unique</w:t>
            </w:r>
          </w:p>
        </w:tc>
      </w:tr>
      <w:tr w:rsidR="00D00167" w:rsidRPr="006A673E" w14:paraId="25DD3380" w14:textId="77777777" w:rsidTr="001307A3">
        <w:tc>
          <w:tcPr>
            <w:tcW w:w="2267" w:type="dxa"/>
          </w:tcPr>
          <w:p w14:paraId="488F8176" w14:textId="77777777" w:rsidR="00D00167" w:rsidRPr="006A673E" w:rsidRDefault="00D00167" w:rsidP="001307A3">
            <w:pPr>
              <w:pStyle w:val="32InhaltEintrag"/>
            </w:pPr>
            <w:r w:rsidRPr="006A673E">
              <w:t>Article 14b</w:t>
            </w:r>
          </w:p>
        </w:tc>
        <w:tc>
          <w:tcPr>
            <w:tcW w:w="6217" w:type="dxa"/>
          </w:tcPr>
          <w:p w14:paraId="44665BD1" w14:textId="77777777" w:rsidR="00D00167" w:rsidRPr="006A673E" w:rsidRDefault="00D00167" w:rsidP="001307A3">
            <w:pPr>
              <w:pStyle w:val="61TabText"/>
            </w:pPr>
            <w:r w:rsidRPr="006A673E">
              <w:t>Conditions-cadres et objectifs spécifiques pour l’extension des systèmes d’emballage des boissons réutilisables »</w:t>
            </w:r>
          </w:p>
        </w:tc>
      </w:tr>
      <w:tr w:rsidR="00D00167" w:rsidRPr="006A673E" w14:paraId="490A1DC2" w14:textId="77777777" w:rsidTr="001307A3">
        <w:tc>
          <w:tcPr>
            <w:tcW w:w="2267" w:type="dxa"/>
          </w:tcPr>
          <w:p w14:paraId="320D6F6C" w14:textId="77777777" w:rsidR="00D00167" w:rsidRPr="006A673E" w:rsidRDefault="00D00167" w:rsidP="001307A3">
            <w:pPr>
              <w:pStyle w:val="32InhaltEintrag"/>
            </w:pPr>
            <w:r w:rsidRPr="006A673E">
              <w:t>Article 14 quater.</w:t>
            </w:r>
          </w:p>
        </w:tc>
        <w:tc>
          <w:tcPr>
            <w:tcW w:w="6217" w:type="dxa"/>
          </w:tcPr>
          <w:p w14:paraId="4878455F" w14:textId="77777777" w:rsidR="00D00167" w:rsidRPr="006A673E" w:rsidRDefault="00D00167" w:rsidP="001307A3">
            <w:pPr>
              <w:pStyle w:val="61TabText"/>
            </w:pPr>
            <w:r w:rsidRPr="006A673E">
              <w:t>Consigne pour l’emballage de boissons à usage unique»</w:t>
            </w:r>
          </w:p>
        </w:tc>
      </w:tr>
    </w:tbl>
    <w:p w14:paraId="242489EC" w14:textId="77777777" w:rsidR="00D00167" w:rsidRPr="006A673E" w:rsidRDefault="00D00167" w:rsidP="001307A3">
      <w:pPr>
        <w:pStyle w:val="21NovAo1"/>
      </w:pPr>
      <w:r w:rsidRPr="006A673E">
        <w:t>6. Dans la table des matières, la rubrique relative à l’article 18 est formulée comme suit :</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0F47F5F2" w14:textId="77777777" w:rsidTr="001307A3">
        <w:tc>
          <w:tcPr>
            <w:tcW w:w="2267" w:type="dxa"/>
          </w:tcPr>
          <w:p w14:paraId="28CBF289" w14:textId="77777777" w:rsidR="00D00167" w:rsidRPr="006A673E" w:rsidRDefault="00D00167" w:rsidP="001307A3">
            <w:pPr>
              <w:pStyle w:val="32InhaltEintrag"/>
            </w:pPr>
            <w:r w:rsidRPr="006A673E">
              <w:t>« Article 18.</w:t>
            </w:r>
          </w:p>
        </w:tc>
        <w:tc>
          <w:tcPr>
            <w:tcW w:w="6217" w:type="dxa"/>
          </w:tcPr>
          <w:p w14:paraId="33243668" w14:textId="77777777" w:rsidR="00D00167" w:rsidRPr="006A673E" w:rsidRDefault="00D00167" w:rsidP="001307A3">
            <w:pPr>
              <w:pStyle w:val="32InhaltEintrag"/>
            </w:pPr>
            <w:r w:rsidRPr="006A673E">
              <w:t>Transfert de déchets dangereux et de déchets contenant des POP »</w:t>
            </w:r>
          </w:p>
        </w:tc>
      </w:tr>
    </w:tbl>
    <w:p w14:paraId="56B3074D" w14:textId="77777777" w:rsidR="00D00167" w:rsidRPr="006A673E" w:rsidRDefault="00D00167" w:rsidP="001307A3">
      <w:pPr>
        <w:pStyle w:val="21NovAo1"/>
      </w:pPr>
      <w:r w:rsidRPr="006A673E">
        <w:t>7. Dans la table des matières, la rubrique relative à l’article 19 est formulée comme suit :</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54788DE7" w14:textId="77777777" w:rsidTr="001307A3">
        <w:tc>
          <w:tcPr>
            <w:tcW w:w="2267" w:type="dxa"/>
          </w:tcPr>
          <w:p w14:paraId="2D2BEC44" w14:textId="77777777" w:rsidR="00D00167" w:rsidRPr="006A673E" w:rsidRDefault="00D00167" w:rsidP="001307A3">
            <w:pPr>
              <w:pStyle w:val="32InhaltEintrag"/>
            </w:pPr>
            <w:r w:rsidRPr="006A673E">
              <w:t>« Article 19.</w:t>
            </w:r>
          </w:p>
        </w:tc>
        <w:tc>
          <w:tcPr>
            <w:tcW w:w="6217" w:type="dxa"/>
          </w:tcPr>
          <w:p w14:paraId="0913B7A3" w14:textId="77777777" w:rsidR="00D00167" w:rsidRPr="006A673E" w:rsidRDefault="00D00167" w:rsidP="001307A3">
            <w:pPr>
              <w:pStyle w:val="32InhaltEintrag"/>
            </w:pPr>
            <w:r w:rsidRPr="006A673E">
              <w:t>Transport de déchets dangereux et de déchets contenant des POP »</w:t>
            </w:r>
          </w:p>
        </w:tc>
      </w:tr>
    </w:tbl>
    <w:p w14:paraId="2FE8BEC5" w14:textId="77777777" w:rsidR="00D00167" w:rsidRPr="006A673E" w:rsidRDefault="00D00167" w:rsidP="00B83F01">
      <w:pPr>
        <w:pStyle w:val="21NovAo1"/>
        <w:ind w:right="-227"/>
      </w:pPr>
      <w:r w:rsidRPr="006A673E">
        <w:lastRenderedPageBreak/>
        <w:t>8. Dans la table des matières, l’entrée suivante pour l’article 22e est insérée après la mention d’article 22d :</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4074D54F" w14:textId="77777777" w:rsidTr="001307A3">
        <w:tc>
          <w:tcPr>
            <w:tcW w:w="2267" w:type="dxa"/>
          </w:tcPr>
          <w:p w14:paraId="0EEB5BF8" w14:textId="77777777" w:rsidR="00D00167" w:rsidRPr="006A673E" w:rsidRDefault="00D00167" w:rsidP="001307A3">
            <w:pPr>
              <w:pStyle w:val="32InhaltEintrag"/>
            </w:pPr>
            <w:r w:rsidRPr="006A673E">
              <w:t>« Article 22e</w:t>
            </w:r>
          </w:p>
        </w:tc>
        <w:tc>
          <w:tcPr>
            <w:tcW w:w="6217" w:type="dxa"/>
          </w:tcPr>
          <w:p w14:paraId="7633E8BF" w14:textId="77777777" w:rsidR="00D00167" w:rsidRPr="006A673E" w:rsidRDefault="00D00167" w:rsidP="001307A3">
            <w:pPr>
              <w:pStyle w:val="32InhaltEintrag"/>
            </w:pPr>
            <w:r w:rsidRPr="006A673E">
              <w:t>Dispositions plus détaillées concernant les transferts électroniques de données»</w:t>
            </w:r>
          </w:p>
        </w:tc>
      </w:tr>
    </w:tbl>
    <w:p w14:paraId="5D27FD28" w14:textId="77777777" w:rsidR="00D00167" w:rsidRPr="006A673E" w:rsidRDefault="00D00167" w:rsidP="001307A3">
      <w:pPr>
        <w:pStyle w:val="21NovAo1"/>
      </w:pPr>
      <w:r w:rsidRPr="006A673E">
        <w:t>9. Dans la table des matières, la rubrique relative à l’article 27 est formulée comme suit :</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61522C24" w14:textId="77777777" w:rsidTr="001307A3">
        <w:tc>
          <w:tcPr>
            <w:tcW w:w="2267" w:type="dxa"/>
          </w:tcPr>
          <w:p w14:paraId="6227CFFB" w14:textId="77777777" w:rsidR="00D00167" w:rsidRPr="006A673E" w:rsidRDefault="00D00167" w:rsidP="001307A3">
            <w:pPr>
              <w:pStyle w:val="32InhaltEintrag"/>
            </w:pPr>
            <w:r w:rsidRPr="006A673E">
              <w:t>« Article 27.</w:t>
            </w:r>
          </w:p>
        </w:tc>
        <w:tc>
          <w:tcPr>
            <w:tcW w:w="6217" w:type="dxa"/>
          </w:tcPr>
          <w:p w14:paraId="2C62B1F7" w14:textId="77777777" w:rsidR="00D00167" w:rsidRPr="006A673E" w:rsidRDefault="00D00167" w:rsidP="001307A3">
            <w:pPr>
              <w:pStyle w:val="32InhaltEintrag"/>
            </w:pPr>
            <w:r w:rsidRPr="006A673E">
              <w:t>Réorganisation, arrêt de la collecte ou du traitement des déchets »</w:t>
            </w:r>
          </w:p>
        </w:tc>
      </w:tr>
    </w:tbl>
    <w:p w14:paraId="287451FF" w14:textId="77777777" w:rsidR="00D00167" w:rsidRPr="006A673E" w:rsidRDefault="00D00167" w:rsidP="001307A3">
      <w:pPr>
        <w:pStyle w:val="21NovAo1"/>
      </w:pPr>
      <w:r w:rsidRPr="006A673E">
        <w:t>10. Dans la table des matières, l’entrée suivante pour l’article 28b est insérée après la mention d’article 28a :</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79FB78A4" w14:textId="77777777" w:rsidTr="001307A3">
        <w:tc>
          <w:tcPr>
            <w:tcW w:w="2267" w:type="dxa"/>
          </w:tcPr>
          <w:p w14:paraId="117A7337" w14:textId="77777777" w:rsidR="00D00167" w:rsidRPr="006A673E" w:rsidRDefault="00D00167" w:rsidP="001307A3">
            <w:pPr>
              <w:pStyle w:val="32InhaltEintrag"/>
            </w:pPr>
            <w:r w:rsidRPr="006A673E">
              <w:t>« Article 28b</w:t>
            </w:r>
          </w:p>
        </w:tc>
        <w:tc>
          <w:tcPr>
            <w:tcW w:w="6217" w:type="dxa"/>
          </w:tcPr>
          <w:p w14:paraId="21A2B4B6" w14:textId="77777777" w:rsidR="00D00167" w:rsidRPr="006A673E" w:rsidRDefault="00D00167" w:rsidP="001307A3">
            <w:pPr>
              <w:pStyle w:val="32InhaltEintrag"/>
            </w:pPr>
            <w:r w:rsidRPr="006A673E">
              <w:t>Collecte séparée pour le papier, le métal, le plastique, le verre, les déchets organiques et textiles »</w:t>
            </w:r>
          </w:p>
        </w:tc>
      </w:tr>
    </w:tbl>
    <w:p w14:paraId="3F501334" w14:textId="77777777" w:rsidR="00D00167" w:rsidRPr="006A673E" w:rsidRDefault="00D00167" w:rsidP="001307A3">
      <w:pPr>
        <w:pStyle w:val="22NovAo2"/>
      </w:pPr>
      <w:r w:rsidRPr="006A673E">
        <w:t>11. Dans la table des matières, l’en-tête de la Section 5 doit se lire « Plan étendu de responsabilité pour les producteurs ». </w:t>
      </w:r>
    </w:p>
    <w:p w14:paraId="7DFD93D2" w14:textId="77777777" w:rsidR="00D00167" w:rsidRPr="006A673E" w:rsidRDefault="00D00167" w:rsidP="001307A3">
      <w:pPr>
        <w:pStyle w:val="21NovAo1"/>
      </w:pPr>
      <w:r w:rsidRPr="006A673E">
        <w:t>12. Dans la table des matières, l’entrée suivante pour l’article 28c est insérée avant l’entrée pour l’article 29 :</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34A3A3E5" w14:textId="77777777" w:rsidTr="001307A3">
        <w:tc>
          <w:tcPr>
            <w:tcW w:w="2267" w:type="dxa"/>
          </w:tcPr>
          <w:p w14:paraId="041CC8A4" w14:textId="77777777" w:rsidR="00D00167" w:rsidRPr="006A673E" w:rsidRDefault="00D00167" w:rsidP="001307A3">
            <w:pPr>
              <w:pStyle w:val="32InhaltEintrag"/>
            </w:pPr>
            <w:r w:rsidRPr="006A673E">
              <w:t>« Article 28c</w:t>
            </w:r>
          </w:p>
        </w:tc>
        <w:tc>
          <w:tcPr>
            <w:tcW w:w="6217" w:type="dxa"/>
          </w:tcPr>
          <w:p w14:paraId="5F49FE0A" w14:textId="77777777" w:rsidR="00D00167" w:rsidRPr="006A673E" w:rsidRDefault="00D00167" w:rsidP="001307A3">
            <w:pPr>
              <w:pStyle w:val="32InhaltEintrag"/>
            </w:pPr>
            <w:r w:rsidRPr="006A673E">
              <w:t>Prescriptions minimales générales »</w:t>
            </w:r>
          </w:p>
        </w:tc>
      </w:tr>
    </w:tbl>
    <w:p w14:paraId="04D34F01" w14:textId="77777777" w:rsidR="00D00167" w:rsidRPr="006A673E" w:rsidRDefault="00D00167" w:rsidP="001307A3">
      <w:pPr>
        <w:pStyle w:val="22NovAo2"/>
      </w:pPr>
      <w:r w:rsidRPr="006A673E">
        <w:t>13. Dans la table des matières, les entrées des articles 33 à 35 doivent être retirées.</w:t>
      </w:r>
    </w:p>
    <w:p w14:paraId="398A7F6D" w14:textId="77777777" w:rsidR="00D00167" w:rsidRPr="006A673E" w:rsidRDefault="00D00167" w:rsidP="001307A3">
      <w:pPr>
        <w:pStyle w:val="21NovAo1"/>
      </w:pPr>
      <w:r w:rsidRPr="006A673E">
        <w:t>14. Dans la table des matières, l’entrée suivante pour l’article 72b est insérée après la mention d’article 72a :</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0EC2DF82" w14:textId="77777777" w:rsidTr="001307A3">
        <w:tc>
          <w:tcPr>
            <w:tcW w:w="2267" w:type="dxa"/>
          </w:tcPr>
          <w:p w14:paraId="11475CEE" w14:textId="77777777" w:rsidR="00D00167" w:rsidRPr="006A673E" w:rsidRDefault="00D00167" w:rsidP="001307A3">
            <w:pPr>
              <w:pStyle w:val="32InhaltEintrag"/>
            </w:pPr>
            <w:r w:rsidRPr="006A673E">
              <w:t>« Article 72b</w:t>
            </w:r>
          </w:p>
        </w:tc>
        <w:tc>
          <w:tcPr>
            <w:tcW w:w="6217" w:type="dxa"/>
          </w:tcPr>
          <w:p w14:paraId="79C4D240" w14:textId="77777777" w:rsidR="00D00167" w:rsidRPr="006A673E" w:rsidRDefault="00D00167" w:rsidP="001307A3">
            <w:pPr>
              <w:pStyle w:val="32InhaltEintrag"/>
            </w:pPr>
            <w:r w:rsidRPr="006A673E">
              <w:t>Notifications électroniques en cas de mouvements trans-frontières »</w:t>
            </w:r>
          </w:p>
        </w:tc>
      </w:tr>
    </w:tbl>
    <w:p w14:paraId="6505343F" w14:textId="77777777" w:rsidR="00D00167" w:rsidRPr="006A673E" w:rsidRDefault="00D00167" w:rsidP="001307A3">
      <w:pPr>
        <w:pStyle w:val="21NovAo1"/>
      </w:pPr>
      <w:r w:rsidRPr="006A673E">
        <w:t>15. Dans la table des matières, les mentions suivantes pour les annexes 1a et 1b sont insérées après la mention d’annexe 1 :</w:t>
      </w:r>
    </w:p>
    <w:tbl>
      <w:tblPr>
        <w:tblW w:w="0" w:type="auto"/>
        <w:tblLayout w:type="fixed"/>
        <w:tblCellMar>
          <w:left w:w="70" w:type="dxa"/>
          <w:right w:w="70" w:type="dxa"/>
        </w:tblCellMar>
        <w:tblLook w:val="04A0" w:firstRow="1" w:lastRow="0" w:firstColumn="1" w:lastColumn="0" w:noHBand="0" w:noVBand="1"/>
      </w:tblPr>
      <w:tblGrid>
        <w:gridCol w:w="2267"/>
        <w:gridCol w:w="6217"/>
      </w:tblGrid>
      <w:tr w:rsidR="00D00167" w:rsidRPr="006A673E" w14:paraId="359A7B03" w14:textId="77777777" w:rsidTr="001307A3">
        <w:tc>
          <w:tcPr>
            <w:tcW w:w="2267" w:type="dxa"/>
          </w:tcPr>
          <w:p w14:paraId="13B253AB" w14:textId="77777777" w:rsidR="00D00167" w:rsidRPr="006A673E" w:rsidRDefault="00D00167" w:rsidP="001307A3">
            <w:pPr>
              <w:pStyle w:val="32InhaltEintrag"/>
            </w:pPr>
            <w:r w:rsidRPr="006A673E">
              <w:t>« Annexe 1a</w:t>
            </w:r>
          </w:p>
        </w:tc>
        <w:tc>
          <w:tcPr>
            <w:tcW w:w="6217" w:type="dxa"/>
          </w:tcPr>
          <w:p w14:paraId="3B40877C" w14:textId="77777777" w:rsidR="00D00167" w:rsidRPr="006A673E" w:rsidRDefault="00D00167" w:rsidP="001307A3">
            <w:pPr>
              <w:pStyle w:val="32InhaltEintrag"/>
            </w:pPr>
            <w:r w:rsidRPr="006A673E">
              <w:t>Objectifs de préparation à la réutilisation, au recyclage et à la récupération d'autres matériaux</w:t>
            </w:r>
          </w:p>
        </w:tc>
      </w:tr>
      <w:tr w:rsidR="00D00167" w:rsidRPr="006A673E" w14:paraId="5CFCA813" w14:textId="77777777" w:rsidTr="001307A3">
        <w:tc>
          <w:tcPr>
            <w:tcW w:w="2267" w:type="dxa"/>
          </w:tcPr>
          <w:p w14:paraId="026DE933" w14:textId="77777777" w:rsidR="00D00167" w:rsidRPr="006A673E" w:rsidRDefault="00D00167" w:rsidP="001307A3">
            <w:pPr>
              <w:pStyle w:val="32InhaltEintrag"/>
            </w:pPr>
            <w:r w:rsidRPr="006A673E">
              <w:t>Annexe 1b</w:t>
            </w:r>
          </w:p>
        </w:tc>
        <w:tc>
          <w:tcPr>
            <w:tcW w:w="6217" w:type="dxa"/>
          </w:tcPr>
          <w:p w14:paraId="4D980B77" w14:textId="77777777" w:rsidR="00D00167" w:rsidRPr="006A673E" w:rsidRDefault="00D00167" w:rsidP="001307A3">
            <w:pPr>
              <w:pStyle w:val="32InhaltEintrag"/>
            </w:pPr>
            <w:r w:rsidRPr="006A673E">
              <w:t>Exemples d’instruments économiques et d’autres mesures visant à encourager l’application de la hiérarchie des déchets conformément à l’article 1, paragraphe 2 a »</w:t>
            </w:r>
          </w:p>
        </w:tc>
      </w:tr>
    </w:tbl>
    <w:p w14:paraId="63C8DB8F" w14:textId="77777777" w:rsidR="00D00167" w:rsidRPr="006A673E" w:rsidRDefault="00D00167" w:rsidP="001307A3">
      <w:pPr>
        <w:pStyle w:val="21NovAo1"/>
      </w:pPr>
      <w:r w:rsidRPr="006A673E">
        <w:t>16. À l’article 1, paragraphe 1, à la fin du sous-paragraphe 2, la virgule est remplacée par un point-virgule et le libellé suivant est ajouté :</w:t>
      </w:r>
    </w:p>
    <w:p w14:paraId="2B9BE40D" w14:textId="77777777" w:rsidR="00D00167" w:rsidRPr="006A673E" w:rsidRDefault="00D00167" w:rsidP="001307A3">
      <w:pPr>
        <w:pStyle w:val="23SatznachNovao"/>
      </w:pPr>
      <w:r w:rsidRPr="006A673E">
        <w:t>« c’est également le cas pour le transport des déchets (par exemple le choix du chemin de fer comme moyen de transport) ; »</w:t>
      </w:r>
    </w:p>
    <w:p w14:paraId="16889E2B" w14:textId="77777777" w:rsidR="00D00167" w:rsidRPr="006A673E" w:rsidRDefault="00D00167" w:rsidP="001307A3">
      <w:pPr>
        <w:pStyle w:val="22NovAo2"/>
      </w:pPr>
      <w:r w:rsidRPr="006A673E">
        <w:t>17. À l'article 1 paragraphe (1), à la fin du sous-paragraphe 3, la formulation « </w:t>
      </w:r>
      <w:r w:rsidRPr="006A673E">
        <w:rPr>
          <w:i w:val="0"/>
        </w:rPr>
        <w:t>et l’efficacité de l’utilisation des ressources sont améliorés »</w:t>
      </w:r>
      <w:r w:rsidRPr="006A673E">
        <w:t xml:space="preserve"> est insérée avant la virgule.</w:t>
      </w:r>
    </w:p>
    <w:p w14:paraId="12288A20" w14:textId="77777777" w:rsidR="00D00167" w:rsidRPr="006A673E" w:rsidRDefault="00D00167" w:rsidP="001307A3">
      <w:pPr>
        <w:pStyle w:val="21NovAo1"/>
      </w:pPr>
      <w:r w:rsidRPr="006A673E">
        <w:t>18. À l’article 1, paragraphe 1, l’alinéa 3 bis suivant est inséré après le sous-paragraphe :</w:t>
      </w:r>
    </w:p>
    <w:p w14:paraId="3847B170" w14:textId="77777777" w:rsidR="00D00167" w:rsidRPr="006A673E" w:rsidRDefault="00D00167" w:rsidP="001307A3">
      <w:pPr>
        <w:pStyle w:val="52Aufzaehle1Ziffer"/>
      </w:pPr>
      <w:r w:rsidRPr="006A673E">
        <w:tab/>
        <w:t>« 3 a. les déchets sont collectés séparément et ne sont pas mélangés avec d’autres déchets ou d’autres matériaux ayant des caractéristiques différentes, si cela est nécessaire pour respecter les objectifs et les principes de la présente Loi fédérale et, en particulier, la hiérarchie conformément aux paragraphes 2 et 2a et pour faciliter ou améliorer la préparation à la réutilisation, au recyclage ou à d’autres opérations de récupération, »</w:t>
      </w:r>
      <w:r w:rsidRPr="006A673E">
        <w:tab/>
      </w:r>
    </w:p>
    <w:p w14:paraId="316ED7ED" w14:textId="77777777" w:rsidR="00D00167" w:rsidRPr="006A673E" w:rsidRDefault="00D00167" w:rsidP="001307A3">
      <w:pPr>
        <w:pStyle w:val="21NovAo1"/>
      </w:pPr>
      <w:r w:rsidRPr="006A673E">
        <w:t>19. Le sous-paragraphe 4 de l'article 1(2a) est formulé comme suit :</w:t>
      </w:r>
    </w:p>
    <w:p w14:paraId="045E6875" w14:textId="77777777" w:rsidR="00D00167" w:rsidRPr="006A673E" w:rsidRDefault="00D00167" w:rsidP="001307A3">
      <w:pPr>
        <w:pStyle w:val="52Aufzaehle1Ziffer"/>
      </w:pPr>
      <w:r w:rsidRPr="006A673E">
        <w:tab/>
        <w:t>« 4.</w:t>
      </w:r>
      <w:r w:rsidRPr="006A673E">
        <w:tab/>
        <w:t>La gestion des déchets est orientée de manière à promouvoir l’économie circulaire, y compris la prévention des déchets, par exemple en augmentant la proportion d’emballages réutilisables, et à atteindre les objectifs fixés par le droit de l’Union, notamment en ce qui concerne le recyclage et les objectifs visés à l’annexe 1 a. »</w:t>
      </w:r>
    </w:p>
    <w:p w14:paraId="34D9FD50" w14:textId="77777777" w:rsidR="00D00167" w:rsidRPr="006A673E" w:rsidRDefault="00D00167" w:rsidP="001307A3">
      <w:pPr>
        <w:pStyle w:val="21NovAo1"/>
      </w:pPr>
      <w:r w:rsidRPr="006A673E">
        <w:t>20. À l’article 1, paragraphe 2a, le sous-paragraphe 5 suivant est ajouté :</w:t>
      </w:r>
    </w:p>
    <w:p w14:paraId="29D7B15E" w14:textId="77777777" w:rsidR="00D00167" w:rsidRPr="006A673E" w:rsidRDefault="00D00167" w:rsidP="001307A3">
      <w:pPr>
        <w:pStyle w:val="52Aufzaehle1Ziffer"/>
      </w:pPr>
      <w:r w:rsidRPr="006A673E">
        <w:tab/>
        <w:t>« 5.</w:t>
      </w:r>
      <w:r w:rsidRPr="006A673E">
        <w:tab/>
        <w:t xml:space="preserve">Des incitations à l’application de la hiérarchie des déchets peuvent être créées au moyen d’instruments économiques et d’autres mesures, telles que les mesures énumérées à </w:t>
      </w:r>
      <w:r w:rsidRPr="006A673E">
        <w:rPr>
          <w:b/>
        </w:rPr>
        <w:t>Annexe 1b</w:t>
      </w:r>
      <w:r w:rsidRPr="006A673E">
        <w:t>.»</w:t>
      </w:r>
    </w:p>
    <w:p w14:paraId="52BC2BAE" w14:textId="77777777" w:rsidR="00D00167" w:rsidRPr="006A673E" w:rsidRDefault="00D00167" w:rsidP="001307A3">
      <w:pPr>
        <w:pStyle w:val="21NovAo1"/>
      </w:pPr>
      <w:r w:rsidRPr="006A673E">
        <w:t>21. Dans la partie introductive de l'article 2(3a), la formulation « </w:t>
      </w:r>
      <w:r w:rsidRPr="006A673E">
        <w:rPr>
          <w:i w:val="0"/>
        </w:rPr>
        <w:t>ne peut être que »</w:t>
      </w:r>
      <w:r w:rsidRPr="006A673E">
        <w:t xml:space="preserve"> est remplacée par les mots « </w:t>
      </w:r>
      <w:r w:rsidRPr="006A673E">
        <w:rPr>
          <w:i w:val="0"/>
        </w:rPr>
        <w:t>est considéré comme »</w:t>
      </w:r>
      <w:r w:rsidRPr="006A673E">
        <w:t xml:space="preserve"> et le mot allemand </w:t>
      </w:r>
      <w:r w:rsidRPr="006A673E">
        <w:rPr>
          <w:i w:val="0"/>
        </w:rPr>
        <w:t xml:space="preserve">« gelten » </w:t>
      </w:r>
      <w:r w:rsidRPr="006A673E">
        <w:t xml:space="preserve"> est omis ; la dernière partie suivante est ajoutée :</w:t>
      </w:r>
    </w:p>
    <w:p w14:paraId="17E48576" w14:textId="77777777" w:rsidR="00D00167" w:rsidRPr="006A673E" w:rsidRDefault="00D00167" w:rsidP="001307A3">
      <w:pPr>
        <w:pStyle w:val="58Schlussteile0Abs"/>
      </w:pPr>
      <w:r w:rsidRPr="006A673E">
        <w:t>« Le détenteur de la substance ou de l’objet doit prouver que toutes les conditions sont remplies. Les preuves sont conservées pendant au moins sept ans et présentées aux autorités sur demande. »</w:t>
      </w:r>
    </w:p>
    <w:p w14:paraId="34E0ABC7" w14:textId="77777777" w:rsidR="00D00167" w:rsidRPr="006A673E" w:rsidRDefault="00D00167" w:rsidP="001307A3">
      <w:pPr>
        <w:pStyle w:val="21NovAo1"/>
      </w:pPr>
      <w:r w:rsidRPr="006A673E">
        <w:lastRenderedPageBreak/>
        <w:t>22. L’article 2, paragraphe 4, sous-paragraphe 2, est formulé comme suit :</w:t>
      </w:r>
    </w:p>
    <w:p w14:paraId="2A2AB5B4" w14:textId="77777777" w:rsidR="00D00167" w:rsidRPr="006A673E" w:rsidRDefault="00D00167" w:rsidP="001307A3">
      <w:pPr>
        <w:pStyle w:val="52Aufzaehle1Ziffer"/>
      </w:pPr>
      <w:r w:rsidRPr="006A673E">
        <w:tab/>
        <w:t>« 2.</w:t>
      </w:r>
      <w:r w:rsidRPr="006A673E">
        <w:tab/>
        <w:t>« déchets municipaux »</w:t>
      </w:r>
    </w:p>
    <w:p w14:paraId="43898E03" w14:textId="77777777" w:rsidR="00D00167" w:rsidRPr="006A673E" w:rsidRDefault="00D00167" w:rsidP="001307A3">
      <w:pPr>
        <w:pStyle w:val="52Aufzaehle2Lit"/>
      </w:pPr>
      <w:r w:rsidRPr="006A673E">
        <w:tab/>
        <w:t>a)</w:t>
      </w:r>
      <w:r w:rsidRPr="006A673E">
        <w:tab/>
        <w:t>déchets mélangés et collectés séparément provenant des ménages, y compris le papier et le carton, le verre, les métaux, les plastiques, les bio-déchets, le bois, les textiles, les emballages, les déchets d’équipements électriques et électroniques, les déchets de piles et d’accumulateurs et les déchets volumineux, y compris les matelas et les meubles ;</w:t>
      </w:r>
    </w:p>
    <w:p w14:paraId="0F19D7D8" w14:textId="77777777" w:rsidR="00D00167" w:rsidRPr="006A673E" w:rsidRDefault="00D00167" w:rsidP="001307A3">
      <w:pPr>
        <w:pStyle w:val="52Aufzaehle2Lit"/>
      </w:pPr>
      <w:r w:rsidRPr="006A673E">
        <w:tab/>
        <w:t>b</w:t>
      </w:r>
      <w:r w:rsidRPr="006A673E">
        <w:tab/>
        <w:t>déchets mixtes et déchets collectés séparément provenant d’autres sources, lorsque ces déchets sont de nature et de composition similaires aux déchets des ménages.</w:t>
      </w:r>
      <w:r w:rsidRPr="006A673E">
        <w:tab/>
      </w:r>
    </w:p>
    <w:p w14:paraId="6D7A2945" w14:textId="77777777" w:rsidR="00D00167" w:rsidRPr="006A673E" w:rsidRDefault="00D00167" w:rsidP="001307A3">
      <w:pPr>
        <w:pStyle w:val="58Schlussteile1Ziffer"/>
      </w:pPr>
      <w:r w:rsidRPr="006A673E">
        <w:t>Les déchets municipaux ne comprennent pas les déchets provenant de la production, de l’agriculture, de la foresterie, de la pêche, des fosses septiques et du réseau et du traitement des eaux usées, y compris les boues d’épuration, les véhicules hors d’usage ou les déchets de construction et de démolition. Les déchets municipaux mixtes continuent à être considérés comme des déchets municipaux mixtes s’ils ont fait l’objet d’un traitement qui n’a pas sensiblement modifié leurs caractéristiques. »</w:t>
      </w:r>
    </w:p>
    <w:p w14:paraId="028E37ED" w14:textId="77777777" w:rsidR="00D00167" w:rsidRPr="006A673E" w:rsidRDefault="00D00167" w:rsidP="001307A3">
      <w:pPr>
        <w:pStyle w:val="21NovAo1"/>
      </w:pPr>
      <w:r w:rsidRPr="006A673E">
        <w:t>23. À l’article 2, paragraphe 4, le sous-paragraphe 3 a suivant est inséré après le sous-paragraphe 3 :</w:t>
      </w:r>
    </w:p>
    <w:p w14:paraId="25043C51" w14:textId="77777777" w:rsidR="00D00167" w:rsidRPr="006A673E" w:rsidRDefault="00D00167" w:rsidP="001307A3">
      <w:pPr>
        <w:pStyle w:val="52Aufzaehle1Ziffer"/>
      </w:pPr>
      <w:r w:rsidRPr="006A673E">
        <w:tab/>
        <w:t>« 3a.</w:t>
      </w:r>
      <w:r w:rsidRPr="006A673E">
        <w:tab/>
        <w:t>« déchets non dangereux » : les déchets qui ne relèvent pas du sous-paragraphe 3. »</w:t>
      </w:r>
    </w:p>
    <w:p w14:paraId="2E8AB244" w14:textId="77777777" w:rsidR="00D00167" w:rsidRPr="006A673E" w:rsidRDefault="00D00167" w:rsidP="001307A3">
      <w:pPr>
        <w:pStyle w:val="21NovAo1"/>
      </w:pPr>
      <w:r w:rsidRPr="006A673E">
        <w:t>24. À l’article 2, paragraphe 4, les sous-paragraphes 6 à 9 suivants sont ajoutés :</w:t>
      </w:r>
    </w:p>
    <w:p w14:paraId="19E5A615" w14:textId="77777777" w:rsidR="00D00167" w:rsidRPr="006A673E" w:rsidRDefault="00D00167" w:rsidP="001307A3">
      <w:pPr>
        <w:pStyle w:val="52Aufzaehle1Ziffer"/>
      </w:pPr>
      <w:r w:rsidRPr="006A673E">
        <w:tab/>
        <w:t>« 6.</w:t>
      </w:r>
      <w:r w:rsidRPr="006A673E">
        <w:tab/>
        <w:t>« déchets de construction et de démolition », les déchets produits par les activités de construction et de démolition.</w:t>
      </w:r>
    </w:p>
    <w:p w14:paraId="1A214321" w14:textId="77777777" w:rsidR="00D00167" w:rsidRPr="006A673E" w:rsidRDefault="00D00167" w:rsidP="001307A3">
      <w:pPr>
        <w:pStyle w:val="52Aufzaehle1Ziffer"/>
      </w:pPr>
      <w:r w:rsidRPr="006A673E">
        <w:tab/>
        <w:t>7.</w:t>
      </w:r>
      <w:r w:rsidRPr="006A673E">
        <w:tab/>
        <w:t>« bio-déchets », les déchets biodégradables de jardins et de parcs, les déchets alimentaires et de cuisine provenant des ménages, des bureaux, des restaurants, des grossistes, des cantines, des traiteurs et des commerces de détail, ainsi que les déchets comparables provenant des usines de transformation des denrées alimentaires.</w:t>
      </w:r>
    </w:p>
    <w:p w14:paraId="0919181E" w14:textId="77777777" w:rsidR="00D00167" w:rsidRPr="006A673E" w:rsidRDefault="00D00167" w:rsidP="001307A3">
      <w:pPr>
        <w:pStyle w:val="52Aufzaehle1Ziffer"/>
      </w:pPr>
      <w:r w:rsidRPr="006A673E">
        <w:tab/>
        <w:t>8.</w:t>
      </w:r>
      <w:r w:rsidRPr="006A673E">
        <w:tab/>
        <w:t>« Déchets alimentaires » : toutes les denrées alimentaires telles que définies à l’article 2 du Règlement (CE) n° 178/2002 établissant les principes généraux et les exigences générales de la législation alimentaire, instituant l’Autorité européenne de Sécurité des aliments et fixant des procédures en matière de sécurité alimentaire, JO L 31 du 01/02/2002, p. 1, qui sont devenus des déchets.</w:t>
      </w:r>
    </w:p>
    <w:p w14:paraId="22BEE32F" w14:textId="77777777" w:rsidR="00D00167" w:rsidRPr="006A673E" w:rsidRDefault="00D00167" w:rsidP="001307A3">
      <w:pPr>
        <w:pStyle w:val="52Aufzaehle1Ziffer"/>
      </w:pPr>
      <w:r w:rsidRPr="006A673E">
        <w:tab/>
        <w:t>9.</w:t>
      </w:r>
      <w:r w:rsidRPr="006A673E">
        <w:tab/>
        <w:t>«déchets contenant des POP», les déchets se composant de, contenant ou étant contaminés par des substances énumérées à l’annexe IV du règlement (UE) 2019/1021 relatif aux polluants organiques persistants, JO L 169 du 25/06/2019, p. 45 modifié par le règlement délégué (UE) n° 2021/277, JO L 62, 23.2.2021 p. 1, rectifié par le JO L 220, 9.7.2020, p. 11 (ci-après dénommé: Règlement POP) et qui satisfait ou dépasse une ou plusieurs des limites de concentration fixées dans ladite annexe. »</w:t>
      </w:r>
    </w:p>
    <w:p w14:paraId="101E42F7" w14:textId="77777777" w:rsidR="00D00167" w:rsidRPr="006A673E" w:rsidRDefault="00D00167" w:rsidP="001307A3">
      <w:pPr>
        <w:pStyle w:val="21NovAo1"/>
      </w:pPr>
      <w:r w:rsidRPr="006A673E">
        <w:t>25. À l’article 2, paragraphe 5, le sous-paragraphe 2 a suivant est inséré après le sous-paragraphe 2 :</w:t>
      </w:r>
    </w:p>
    <w:p w14:paraId="73FBBCBE" w14:textId="77777777" w:rsidR="00D00167" w:rsidRPr="006A673E" w:rsidRDefault="00D00167" w:rsidP="001307A3">
      <w:pPr>
        <w:pStyle w:val="52Aufzaehle1Ziffer"/>
      </w:pPr>
      <w:r w:rsidRPr="006A673E">
        <w:tab/>
        <w:t>« 2a ». « récupération des matériaux visée à l’article 16(7) et à l’</w:t>
      </w:r>
      <w:r w:rsidRPr="006A673E">
        <w:rPr>
          <w:b/>
        </w:rPr>
        <w:t>Annexe 1a</w:t>
      </w:r>
      <w:r w:rsidRPr="006A673E">
        <w:t> », tout processus de valorisation des déchets générés par les activités de construction et de démolition, à l’exception de la récupération d’énergie et du retraitement en matériaux destinés à être utilisés comme combustible ou d’autres moyens de production d’énergie. Elle comprend, entre autres, la préparation à la réutilisation, le recyclage et le remblayage. »</w:t>
      </w:r>
    </w:p>
    <w:p w14:paraId="1B84BC03" w14:textId="77777777" w:rsidR="00D00167" w:rsidRPr="006A673E" w:rsidRDefault="00D00167" w:rsidP="001307A3">
      <w:pPr>
        <w:pStyle w:val="21NovAo1"/>
      </w:pPr>
      <w:r w:rsidRPr="006A673E">
        <w:t>26. L'article 2 (5)(3)(c) est formulé comme suit :</w:t>
      </w:r>
    </w:p>
    <w:p w14:paraId="4E2D83A6" w14:textId="77777777" w:rsidR="00D00167" w:rsidRPr="006A673E" w:rsidRDefault="00D00167" w:rsidP="001307A3">
      <w:pPr>
        <w:pStyle w:val="52Aufzaehle2Lit"/>
      </w:pPr>
      <w:r w:rsidRPr="006A673E">
        <w:tab/>
        <w:t>« c)</w:t>
      </w:r>
      <w:r w:rsidRPr="006A673E">
        <w:tab/>
        <w:t>la teneur en substances dangereuses des matières et produits. »</w:t>
      </w:r>
    </w:p>
    <w:p w14:paraId="432058DD" w14:textId="77777777" w:rsidR="00D00167" w:rsidRPr="006A673E" w:rsidRDefault="00D00167" w:rsidP="001307A3">
      <w:pPr>
        <w:pStyle w:val="21NovAo1"/>
      </w:pPr>
      <w:r w:rsidRPr="006A673E">
        <w:t>27. À l’article 2, paragraphe 5, le sous-paragraphe 7 a suivant est inséré après le sous-paragraphe 7 :</w:t>
      </w:r>
    </w:p>
    <w:p w14:paraId="4AFDDCCB" w14:textId="77777777" w:rsidR="00D00167" w:rsidRPr="006A673E" w:rsidRDefault="00D00167" w:rsidP="001307A3">
      <w:pPr>
        <w:pStyle w:val="52Aufzaehle1Ziffer"/>
      </w:pPr>
      <w:r w:rsidRPr="006A673E">
        <w:tab/>
        <w:t>« 7a ». « remblayage », toute opération de récupération dans laquelle des déchets non dangereux appropriés sont utilisés à des fins de remise en état dans des zones excavées ou à des fins techniques d’aménagement paysager. Les déchets utilisés pour le remblayage doivent se substituer à des matières autres que les déchets, être adaptés aux fins susmentionnées et être limités à la quantité strictement nécessaire pour atteindre ces objectifs. »</w:t>
      </w:r>
    </w:p>
    <w:p w14:paraId="080C2EAB" w14:textId="77777777" w:rsidR="00D00167" w:rsidRPr="006A673E" w:rsidRDefault="00D00167" w:rsidP="001307A3">
      <w:pPr>
        <w:pStyle w:val="21NovAo1"/>
      </w:pPr>
      <w:r w:rsidRPr="006A673E">
        <w:t>28. À l’article 2, paragraphe 5, le sous-paragraphe 10 suivant est ajouté après le sous-paragraphe 9 :</w:t>
      </w:r>
    </w:p>
    <w:p w14:paraId="5666FE35" w14:textId="77777777" w:rsidR="00D00167" w:rsidRPr="006A673E" w:rsidRDefault="00D00167" w:rsidP="001307A3">
      <w:pPr>
        <w:pStyle w:val="52Aufzaehle1Ziffer"/>
      </w:pPr>
      <w:r w:rsidRPr="006A673E">
        <w:tab/>
        <w:t>« 10.</w:t>
      </w:r>
      <w:r w:rsidRPr="006A673E">
        <w:tab/>
        <w:t>« collecte séparée », la collecte dans laquelle un flux de déchets est maintenu séparément par type et par nature afin de faciliter un traitement spécifique. »</w:t>
      </w:r>
    </w:p>
    <w:p w14:paraId="483317E9" w14:textId="77777777" w:rsidR="00D00167" w:rsidRPr="006A673E" w:rsidRDefault="00D00167" w:rsidP="001307A3">
      <w:pPr>
        <w:pStyle w:val="21NovAo1"/>
      </w:pPr>
      <w:r w:rsidRPr="006A673E">
        <w:lastRenderedPageBreak/>
        <w:t>29. À l'article 2(7), à la fin du sous-paragraphe 4, le point final est remplacé par un point-virgule et le sous-paragraphe 5 suivant est ajouté :</w:t>
      </w:r>
    </w:p>
    <w:p w14:paraId="6B292B9F" w14:textId="77777777" w:rsidR="00D00167" w:rsidRPr="006A673E" w:rsidRDefault="00D00167" w:rsidP="001307A3">
      <w:pPr>
        <w:pStyle w:val="52Aufzaehle1Ziffer"/>
      </w:pPr>
      <w:r w:rsidRPr="006A673E">
        <w:tab/>
        <w:t>« 5.</w:t>
      </w:r>
      <w:r w:rsidRPr="006A673E">
        <w:tab/>
        <w:t>« installations de combustion de taille moyenne », les installations de traitement soumises à la Directive (UE) 2015/2193 relative à la limitation des émissions de certains polluants dans l’atmosphère en provenance des installations de combustion moyennes, JO L 313 du 28/11/2015, p. 1. »</w:t>
      </w:r>
    </w:p>
    <w:p w14:paraId="257B54C5" w14:textId="77777777" w:rsidR="00D00167" w:rsidRPr="006A673E" w:rsidRDefault="00D00167" w:rsidP="001307A3">
      <w:pPr>
        <w:pStyle w:val="21NovAo1"/>
      </w:pPr>
      <w:r w:rsidRPr="006A673E">
        <w:t>30. À l’article 2, paragraphe 8, le sous-paragraphe 4 a suivant est inséré après le sous-paragraphe 4 :</w:t>
      </w:r>
    </w:p>
    <w:p w14:paraId="076FD386" w14:textId="77777777" w:rsidR="00D00167" w:rsidRPr="006A673E" w:rsidRDefault="00D00167" w:rsidP="001307A3">
      <w:pPr>
        <w:pStyle w:val="52Aufzaehle1Ziffer"/>
      </w:pPr>
      <w:r w:rsidRPr="006A673E">
        <w:tab/>
        <w:t>« 4a ».</w:t>
      </w:r>
      <w:r w:rsidRPr="006A673E">
        <w:tab/>
        <w:t>« Régime élargi de responsabilité des producteurs ", un ensemble de mesures prises pour garantir que les producteurs de produits tiennent compte des exigences de l'article 9 et assument la responsabilité financière ou financière et organisationnelle de la gestion du stade de déchets du cycle de vie d’un produit ; »</w:t>
      </w:r>
    </w:p>
    <w:p w14:paraId="681279DE" w14:textId="77777777" w:rsidR="00D00167" w:rsidRPr="006A673E" w:rsidRDefault="00D00167" w:rsidP="001307A3">
      <w:pPr>
        <w:pStyle w:val="21NovAo1"/>
      </w:pPr>
      <w:r w:rsidRPr="006A673E">
        <w:t>31. À l’article 2, paragraphe 10, la partie introductive est formulée comme suit :</w:t>
      </w:r>
    </w:p>
    <w:p w14:paraId="27DA30B6" w14:textId="77777777" w:rsidR="00D00167" w:rsidRPr="006A673E" w:rsidRDefault="00D00167" w:rsidP="001307A3">
      <w:pPr>
        <w:pStyle w:val="23SatznachNovao"/>
      </w:pPr>
      <w:r w:rsidRPr="006A673E">
        <w:t>« En ce qui concerne les articles 13j à 13q est ou sont »</w:t>
      </w:r>
    </w:p>
    <w:p w14:paraId="788B81A4" w14:textId="77777777" w:rsidR="00D00167" w:rsidRPr="006A673E" w:rsidRDefault="00D00167" w:rsidP="001307A3">
      <w:pPr>
        <w:pStyle w:val="21NovAo1"/>
      </w:pPr>
      <w:r w:rsidRPr="006A673E">
        <w:t>32. Au paragraphe 2, paragraphe 10, le point final au sous-paragraphe 6 est remplacé par un point-virgule et les sous-paragraphes 7 et 8 suivants sont ajoutés :</w:t>
      </w:r>
    </w:p>
    <w:p w14:paraId="1AF97461" w14:textId="77777777" w:rsidR="00D00167" w:rsidRPr="006A673E" w:rsidRDefault="00D00167" w:rsidP="001307A3">
      <w:pPr>
        <w:pStyle w:val="52Aufzaehle1Ziffer"/>
      </w:pPr>
      <w:r w:rsidRPr="006A673E">
        <w:tab/>
        <w:t>« 7.</w:t>
      </w:r>
      <w:r w:rsidRPr="006A673E">
        <w:tab/>
        <w:t>« Produit plastique à usage unique » désigne un produit fabriqué entièrement ou partiellement en plastique et qui n'est pas conçu, réalisé ou mis sur le marché pour accomplir, au cours de sa durée de vie, de multiples mouvements ou rotations en étant renvoyé à un producteur pour être réapprovisionné ou réutilisé dans le même but que celui pour lequel il a été conçu ;</w:t>
      </w:r>
    </w:p>
    <w:p w14:paraId="6EF27431" w14:textId="77777777" w:rsidR="00D00167" w:rsidRPr="006A673E" w:rsidRDefault="00D00167" w:rsidP="001307A3">
      <w:pPr>
        <w:pStyle w:val="52Aufzaehle1Ziffer"/>
      </w:pPr>
      <w:r w:rsidRPr="006A673E">
        <w:tab/>
        <w:t>8.</w:t>
      </w:r>
      <w:r w:rsidRPr="006A673E">
        <w:tab/>
        <w:t>« plastique oxo-dégradable », les matières plastiques qui contiennent des additifs qui, par oxydation, entraînent la fragmentation de la matière plastique en micro-fragments ou une décomposition chimique. »</w:t>
      </w:r>
    </w:p>
    <w:p w14:paraId="66607C87" w14:textId="77777777" w:rsidR="00D00167" w:rsidRPr="006A673E" w:rsidRDefault="00D00167" w:rsidP="001307A3">
      <w:pPr>
        <w:pStyle w:val="21NovAo1"/>
      </w:pPr>
      <w:r w:rsidRPr="006A673E">
        <w:t>33. À la fin de l’article 3, paragraphe 1, sous-paragraphe 8, le point final est remplacé par une virgule et le sous-paragraphe 9 suivant est ajouté :</w:t>
      </w:r>
    </w:p>
    <w:p w14:paraId="1E962348" w14:textId="77777777" w:rsidR="00D00167" w:rsidRPr="006A673E" w:rsidRDefault="00D00167" w:rsidP="001307A3">
      <w:pPr>
        <w:pStyle w:val="52Aufzaehle1Ziffer"/>
      </w:pPr>
      <w:r w:rsidRPr="006A673E">
        <w:tab/>
        <w:t>« 9.</w:t>
      </w:r>
      <w:r w:rsidRPr="006A673E">
        <w:tab/>
        <w:t>substances destinées à être utilisées comme matières alimentaire pour animaux conformément à l’article 3, paragraphe 2, point g, du règlement (CE) n° 767/2009 relatif à la mise sur le marché et à l’utilisation d’aliments pour animaux, modifiant le règlement (CE) n° 1831/2003 et abrogeant les directives 79/373/CEE, 80/511/CEE, 82/471/CEE, 83/228/CEE, 93/74/CEE, 93/113/CE et 96/25/CE et la décision 2004/217/CE, JO L 229 du 1/9/2009, p. 1, qui ne consistent pas ou ne contiennent pas de sous-produits d’origine animale.»</w:t>
      </w:r>
    </w:p>
    <w:p w14:paraId="00D44BA4" w14:textId="77777777" w:rsidR="00D00167" w:rsidRPr="006A673E" w:rsidRDefault="00D00167" w:rsidP="001307A3">
      <w:pPr>
        <w:pStyle w:val="22NovAo2"/>
      </w:pPr>
      <w:r w:rsidRPr="006A673E">
        <w:t xml:space="preserve">34. À l’article 4,à l’article 5, paragraphes 2, 6 et 7, à l’article 8, paragraphe 4, à l’article 8 bis, paragraphes 5 et 7, à l’article 9 bis, paragraphes 1 et 3, à l’article 13 ter, paragraphes 1, 2 et 3, à l’article 13 quinquies, paragraphe 2, à l’article 13 nonies, paragraphe 2, à l’article 14, paragraphes 2 bis, 2 ter, 3 et 7, à l’article 20, paragraphe 6, à l’article 21, paragraphe 2 quinquies, à l’article 22, paragraphes 1, 3 et 7, à l’article 22, paragraphe 3, à l’article 23, paragraphes 2 et 3, à l’article 29, paragraphes 4 quinquies et 6, à l’article 29 ter, paragraphes 4, 5 et 8, à l’article 29 quinquies, paragraphe 4, à l’article 30 bis, paragraphes 1 et 2, à l’article 33, paragraphe 1, à l’article 34, paragraphe 1, à l’article 35, paragraphe 4, à l’article 36, à l’article 43 bis, paragraphe 3, à l’article 59 terdecies, paragraphe 8, à l’article 63 bis, paragraphe 2, à l’article 65, paragraphes 1, 3 et 4, à l’article 66, paragraphe 2, à l’article 67, paragraphe 2, à l’article 69, paragraphe 1, à l’article 70, paragraphe 1, à l’article 71 bis, paragraphes 1 et 8, à l’article 72, à l’article 74, paragraphe 5, à l’article 77, paragraphe 7, à l’article 83, paragraphe 7, à l’article 87, paragraphes 6, 7 et à l’article 87 quater, paragraphes 3 et 5, les mots </w:t>
      </w:r>
      <w:r w:rsidRPr="006A673E">
        <w:rPr>
          <w:i w:val="0"/>
        </w:rPr>
        <w:t>«ministre fédéral de l’agriculture, des forêts, de l’environnement et de la gestion de l’eau»</w:t>
      </w:r>
      <w:r w:rsidRPr="006A673E">
        <w:t xml:space="preserve"> sont remplacés par les mots </w:t>
      </w:r>
      <w:r w:rsidRPr="006A673E">
        <w:rPr>
          <w:i w:val="0"/>
        </w:rPr>
        <w:t>«ministre fédéral de l’action pour le climat, de l’environnement, de l’énergie, de la mobilité, de l’innovation et de la technologie»</w:t>
      </w:r>
      <w:r w:rsidRPr="006A673E">
        <w:t>.</w:t>
      </w:r>
    </w:p>
    <w:p w14:paraId="6B6674D1" w14:textId="77777777" w:rsidR="00D00167" w:rsidRPr="006A673E" w:rsidRDefault="00D00167" w:rsidP="001307A3">
      <w:pPr>
        <w:pStyle w:val="21NovAo1"/>
      </w:pPr>
      <w:r w:rsidRPr="006A673E">
        <w:t>35. À l’article 4, à la fin du sous-paragraphe 3, le point final est remplacé par un point-virgule et le sous-paragraphe 4 suivant est ajouté :</w:t>
      </w:r>
    </w:p>
    <w:p w14:paraId="549C7681" w14:textId="77777777" w:rsidR="00D00167" w:rsidRPr="006A673E" w:rsidRDefault="00D00167" w:rsidP="001307A3">
      <w:pPr>
        <w:pStyle w:val="52Aufzaehle1Ziffer"/>
      </w:pPr>
      <w:r w:rsidRPr="006A673E">
        <w:tab/>
        <w:t>« 4.</w:t>
      </w:r>
      <w:r w:rsidRPr="006A673E">
        <w:tab/>
        <w:t>critères applicables aux substances et objets spécifiques pour l’application des conditions prévues à l’article 2 (3a) pour les sous-produits. »</w:t>
      </w:r>
    </w:p>
    <w:p w14:paraId="117B0C8E" w14:textId="77777777" w:rsidR="00D00167" w:rsidRPr="006A673E" w:rsidRDefault="00D00167" w:rsidP="001307A3">
      <w:pPr>
        <w:pStyle w:val="21NovAo1"/>
      </w:pPr>
      <w:r w:rsidRPr="006A673E">
        <w:t>36. La phrase suivante est ajoutée à l’article 5, paragraphe 1 :</w:t>
      </w:r>
    </w:p>
    <w:p w14:paraId="389D6752" w14:textId="77777777" w:rsidR="00D00167" w:rsidRPr="006A673E" w:rsidRDefault="00D00167" w:rsidP="001307A3">
      <w:pPr>
        <w:pStyle w:val="23SatznachNovao"/>
      </w:pPr>
      <w:r w:rsidRPr="006A673E">
        <w:t>« Le statut de fin de traitement des déchets ne peut être atteint que si les exigences applicables aux produits sont respectées. »</w:t>
      </w:r>
    </w:p>
    <w:p w14:paraId="0991966D" w14:textId="77777777" w:rsidR="00D00167" w:rsidRPr="006A673E" w:rsidRDefault="00D00167" w:rsidP="001307A3">
      <w:pPr>
        <w:pStyle w:val="21NovAo1"/>
      </w:pPr>
      <w:r w:rsidRPr="006A673E">
        <w:lastRenderedPageBreak/>
        <w:t>37. Après l’article 5, paragraphe 1, le paragraphe 1 a est inséré comme suit :</w:t>
      </w:r>
    </w:p>
    <w:p w14:paraId="31447AB6" w14:textId="77777777" w:rsidR="00D00167" w:rsidRPr="006A673E" w:rsidRDefault="00D00167" w:rsidP="001307A3">
      <w:pPr>
        <w:pStyle w:val="51Abs"/>
      </w:pPr>
      <w:r w:rsidRPr="006A673E">
        <w:t>« (1 a) Le détenteur de la substance ou du produit visé au paragraphe 1 doit prouver le statut de fin de traitement des déchets. Les preuves sont conservées pendant au moins sept ans et présentées aux autorités sur demande. »</w:t>
      </w:r>
    </w:p>
    <w:p w14:paraId="2B246AEA" w14:textId="77777777" w:rsidR="00D00167" w:rsidRPr="006A673E" w:rsidRDefault="00D00167" w:rsidP="001307A3">
      <w:pPr>
        <w:pStyle w:val="21NovAo1"/>
      </w:pPr>
      <w:r w:rsidRPr="006A673E">
        <w:t>38. L’article 5, paragraphe 2, sous-paragraphe 1, est formulé comme suit :</w:t>
      </w:r>
    </w:p>
    <w:p w14:paraId="2F2661D5" w14:textId="77777777" w:rsidR="00D00167" w:rsidRPr="006A673E" w:rsidRDefault="00D00167" w:rsidP="001307A3">
      <w:pPr>
        <w:pStyle w:val="52Aufzaehle1Ziffer"/>
      </w:pPr>
      <w:r w:rsidRPr="006A673E">
        <w:tab/>
        <w:t>« 1.</w:t>
      </w:r>
      <w:r w:rsidRPr="006A673E">
        <w:tab/>
        <w:t>L’article est destiné à être utilisé pour un usage particulier. »</w:t>
      </w:r>
    </w:p>
    <w:p w14:paraId="6E840583" w14:textId="77777777" w:rsidR="00D00167" w:rsidRPr="006A673E" w:rsidRDefault="00D00167" w:rsidP="001307A3">
      <w:pPr>
        <w:pStyle w:val="21NovAo1"/>
      </w:pPr>
      <w:r w:rsidRPr="006A673E">
        <w:t>39. L’article 5, paragraphe 3, sous-paragraphe 3, est formulé comme suit :</w:t>
      </w:r>
    </w:p>
    <w:p w14:paraId="59D46A53" w14:textId="77777777" w:rsidR="00D00167" w:rsidRPr="006A673E" w:rsidRDefault="00D00167" w:rsidP="001307A3">
      <w:pPr>
        <w:pStyle w:val="52Aufzaehle1Ziffer"/>
      </w:pPr>
      <w:r w:rsidRPr="006A673E">
        <w:tab/>
        <w:t>« 3.</w:t>
      </w:r>
      <w:r w:rsidRPr="006A673E">
        <w:tab/>
        <w:t>l’établissement de critères de qualité en fonction d’un produit ou d’une matière première et de procédures et méthodes de traitement acceptables;»</w:t>
      </w:r>
    </w:p>
    <w:p w14:paraId="44FFD62E" w14:textId="77777777" w:rsidR="00D00167" w:rsidRPr="006A673E" w:rsidRDefault="00D00167" w:rsidP="001307A3">
      <w:pPr>
        <w:pStyle w:val="21NovAo1"/>
      </w:pPr>
      <w:r w:rsidRPr="006A673E">
        <w:t>40. L’article 5, paragraphe 3, sous-paragraphe 5, est formulé comme suit :</w:t>
      </w:r>
    </w:p>
    <w:p w14:paraId="25C88F5C" w14:textId="77777777" w:rsidR="00D00167" w:rsidRPr="006A673E" w:rsidRDefault="00D00167" w:rsidP="001307A3">
      <w:pPr>
        <w:pStyle w:val="52Aufzaehle1Ziffer"/>
      </w:pPr>
      <w:r w:rsidRPr="006A673E">
        <w:tab/>
        <w:t>« 5.</w:t>
      </w:r>
      <w:r w:rsidRPr="006A673E">
        <w:tab/>
        <w:t>les exigences relatives aux systèmes de gestion visant à démontrer le respect des critères de fin de traitement des déchets, y compris le contrôle de la qualité et l’auto-surveillance, et, le cas échéant, l’accréditation ; »</w:t>
      </w:r>
    </w:p>
    <w:p w14:paraId="1A307E70" w14:textId="77777777" w:rsidR="00D00167" w:rsidRPr="006A673E" w:rsidRDefault="00D00167" w:rsidP="001307A3">
      <w:pPr>
        <w:pStyle w:val="21NovAo1"/>
      </w:pPr>
      <w:r w:rsidRPr="006A673E">
        <w:t xml:space="preserve">41. À l'article 5, paragraphe 3, le point final au sous-paragraphe 6 est remplacé par le mot </w:t>
      </w:r>
      <w:r w:rsidRPr="006A673E">
        <w:rPr>
          <w:i w:val="0"/>
        </w:rPr>
        <w:t xml:space="preserve">« et » </w:t>
      </w:r>
      <w:r w:rsidRPr="006A673E">
        <w:t>et le sous-paragraphe 7 suivant est ajouté :</w:t>
      </w:r>
    </w:p>
    <w:p w14:paraId="516F4323" w14:textId="77777777" w:rsidR="00D00167" w:rsidRPr="006A673E" w:rsidRDefault="00D00167" w:rsidP="001307A3">
      <w:pPr>
        <w:pStyle w:val="52Aufzaehle1Ziffer"/>
      </w:pPr>
      <w:r w:rsidRPr="006A673E">
        <w:tab/>
        <w:t>« 7.</w:t>
      </w:r>
      <w:r w:rsidRPr="006A673E">
        <w:tab/>
        <w:t>l’exigence d’une déclaration de conformité. »</w:t>
      </w:r>
    </w:p>
    <w:p w14:paraId="346F7540" w14:textId="77777777" w:rsidR="00D00167" w:rsidRPr="006A673E" w:rsidRDefault="00D00167" w:rsidP="001307A3">
      <w:pPr>
        <w:pStyle w:val="21NovAo1"/>
      </w:pPr>
      <w:r w:rsidRPr="006A673E">
        <w:t>42. La dernière partie suivante est ajoutée aux articles 5(3) et 23(1) et (2) :</w:t>
      </w:r>
    </w:p>
    <w:p w14:paraId="32F1E26E" w14:textId="77777777" w:rsidR="00D00167" w:rsidRPr="006A673E" w:rsidRDefault="00D00167" w:rsidP="001307A3">
      <w:pPr>
        <w:pStyle w:val="58Schlussteile0Abs"/>
      </w:pPr>
      <w:r w:rsidRPr="006A673E">
        <w:t>« En ce qui concerne la définition des exigences de qualité afin d’éviter des effets indus sur les eaux, un accord doit être conclu avec le Ministre fédéral de l’agriculture, des régions et du tourisme. »</w:t>
      </w:r>
    </w:p>
    <w:p w14:paraId="0488690F" w14:textId="77777777" w:rsidR="00D00167" w:rsidRPr="006A673E" w:rsidRDefault="00D00167" w:rsidP="001307A3">
      <w:pPr>
        <w:pStyle w:val="21NovAo1"/>
      </w:pPr>
      <w:r w:rsidRPr="006A673E">
        <w:t>43. L'article 5 (4) est formulé comme suit :</w:t>
      </w:r>
    </w:p>
    <w:p w14:paraId="003328CA" w14:textId="77777777" w:rsidR="00D00167" w:rsidRPr="006A673E" w:rsidRDefault="00D00167" w:rsidP="001307A3">
      <w:pPr>
        <w:pStyle w:val="51Abs"/>
      </w:pPr>
      <w:r w:rsidRPr="006A673E">
        <w:t>« (4) Quiconque souhaite mettre fin à l’état de déchet d’un déchet particulier conformément à une ordonnance en vertu du paragraphe (2) doit le notifier au Ministre fédéral de l’action pour le climat, de l’environnement, de l’énergie, de la mobilité, de l’innovation et de la technologie et compléter une déclaration indiquant que l’interdiction de mélange conformément à l’article 15, paragraphe 2, et les exigences applicables aux produits sont respectées. La fin de l’état de déchet ne peut être atteinte que si les exigences applicables aux produits sont respectées. »</w:t>
      </w:r>
    </w:p>
    <w:p w14:paraId="45B073AC" w14:textId="77777777" w:rsidR="00D00167" w:rsidRPr="006A673E" w:rsidRDefault="00D00167" w:rsidP="001307A3">
      <w:pPr>
        <w:pStyle w:val="22NovAo2"/>
      </w:pPr>
      <w:r w:rsidRPr="006A673E">
        <w:t xml:space="preserve">44. À l’article 5, paragraphe 5, à l’article  7, paragraphes 1 et 7, à l’article 8, paragraphe 5, à l’article 8 ter, paragraphe 3, à l’article 13, à l’article  13 quinquies, paragraphe 3, à l’article 13 sexies, paragraphes 1 et 2, à l’article 13 septies, à l’article 13 octies, paragraphe 4, à l’article 21, paragraphes 3 bis et 4, à l’article 22, paragraphe 5 quinquies, à l’article 29, paragraphe 2, points 8 bis et 8, à l’article 29 ter, paragraphe 1, point 3, à l’article 29 ter, paragraphe 1, point 3, à l’article 29 quinquies, paragraphe 1, à l’article 31, paragraphe 2, point 2, à l’article 32, paragraphe 4, à l’article 35, paragraphe 1, à l’article  43, paragraphe 2 bis, à l’article  59 terdecies, paragraphes 1 et 7, à l’article 67, paragraphe 1, à l’article  70, paragraphe 2, à l’article  71 bis, paragraphe 6, à l’article  72, point 3, à l’article 75, paragraphe 2, à l’article 78, paragraphe 2, à l’article 83, paragraphe 1, à l’article 86, paragraphe 2, à l’article 87, paragraphe 2 et à l’article  87 quinquies, paragraphe 2, les mots </w:t>
      </w:r>
      <w:r w:rsidRPr="006A673E">
        <w:rPr>
          <w:i w:val="0"/>
        </w:rPr>
        <w:t>«le ministre fédéral de l’agriculture, des forêts, de l’environnement, de l’environnement et de la gestion de l’eau»</w:t>
      </w:r>
      <w:r w:rsidRPr="006A673E">
        <w:t xml:space="preserve">, sont remplacés par les mots </w:t>
      </w:r>
      <w:r w:rsidRPr="006A673E">
        <w:rPr>
          <w:i w:val="0"/>
        </w:rPr>
        <w:t>«le ministre fédéral de l’action pour le climat, de l’environnement, de l’énergie, de la mobilité, de l’innovation et de la technologie»</w:t>
      </w:r>
      <w:r w:rsidRPr="006A673E">
        <w:t>.</w:t>
      </w:r>
    </w:p>
    <w:p w14:paraId="1D52605C" w14:textId="77777777" w:rsidR="00D00167" w:rsidRPr="006A673E" w:rsidRDefault="00D00167" w:rsidP="001307A3">
      <w:pPr>
        <w:pStyle w:val="22NovAo2"/>
      </w:pPr>
      <w:r w:rsidRPr="006A673E">
        <w:t xml:space="preserve">45. À l’article 5, paragraphe 5, à l’article 29, paragraphes 4 ter et 7, à l’article 33, paragraphe 2, à l’article 34, paragraphe 4, à l’article 59 terdecies, paragraphe 6, à l’article 60, paragraphes 4 et 5, à l’article 83, paragraphe 1, et à l’article 87, paragraphe 7, les mots </w:t>
      </w:r>
      <w:r w:rsidRPr="006A673E">
        <w:rPr>
          <w:i w:val="0"/>
        </w:rPr>
        <w:t>«ministre fédéral de l’agriculture, des forêts, de l’environnement, de l’environnement et de la gestion de l’eau»</w:t>
      </w:r>
      <w:r w:rsidRPr="006A673E">
        <w:t xml:space="preserve">, sont remplacés par les mots </w:t>
      </w:r>
      <w:r w:rsidRPr="006A673E">
        <w:rPr>
          <w:i w:val="0"/>
        </w:rPr>
        <w:t>«ministre fédéral de l’action pour le climat, de l’environnement, de l’énergie, de la mobilité, de l’innovation et de la technologie».</w:t>
      </w:r>
    </w:p>
    <w:p w14:paraId="7C47673C" w14:textId="0AFAD255" w:rsidR="00D00167" w:rsidRPr="006A673E" w:rsidRDefault="00D00167" w:rsidP="001307A3">
      <w:pPr>
        <w:pStyle w:val="21NovAo1"/>
      </w:pPr>
      <w:r w:rsidRPr="006A673E">
        <w:t>46. À l’article 6,</w:t>
      </w:r>
      <w:r w:rsidR="008276F6" w:rsidRPr="006A673E">
        <w:t xml:space="preserve"> </w:t>
      </w:r>
      <w:r w:rsidRPr="006A673E">
        <w:t>paragraphe 1, la phrase suivante est insérée après la première phrase:</w:t>
      </w:r>
    </w:p>
    <w:p w14:paraId="5A506361" w14:textId="77777777" w:rsidR="00D00167" w:rsidRPr="006A673E" w:rsidRDefault="00D00167" w:rsidP="001307A3">
      <w:pPr>
        <w:pStyle w:val="23SatznachNovao"/>
      </w:pPr>
      <w:r w:rsidRPr="006A673E">
        <w:t>«La personne au pouvoir fournit les documents nécessaires à l’évaluation.»</w:t>
      </w:r>
    </w:p>
    <w:p w14:paraId="5901605F" w14:textId="77777777" w:rsidR="00D00167" w:rsidRPr="006A673E" w:rsidRDefault="00D00167" w:rsidP="001307A3">
      <w:pPr>
        <w:pStyle w:val="22NovAo2"/>
      </w:pPr>
      <w:r w:rsidRPr="006A673E">
        <w:t>47. À l'article 6(5) après la formulation « </w:t>
      </w:r>
      <w:r w:rsidRPr="006A673E">
        <w:rPr>
          <w:i w:val="0"/>
        </w:rPr>
        <w:t>ou dans quelle mesure un article fait l’objet d’une ordonnance conformément à l'article 14(1) »</w:t>
      </w:r>
      <w:r w:rsidRPr="006A673E">
        <w:t xml:space="preserve">, la formulation </w:t>
      </w:r>
      <w:r w:rsidRPr="006A673E">
        <w:rPr>
          <w:i w:val="0"/>
        </w:rPr>
        <w:t>« ou à quel groupe de produits d’une ordonnance en vertu de l'article 13h(2) un emballage doit être affecté »</w:t>
      </w:r>
      <w:r w:rsidRPr="006A673E">
        <w:t xml:space="preserve"> est insérée.</w:t>
      </w:r>
    </w:p>
    <w:p w14:paraId="24DAF813" w14:textId="77777777" w:rsidR="00D00167" w:rsidRPr="006A673E" w:rsidRDefault="00D00167" w:rsidP="001307A3">
      <w:pPr>
        <w:pStyle w:val="22NovAo2"/>
      </w:pPr>
      <w:r w:rsidRPr="006A673E">
        <w:lastRenderedPageBreak/>
        <w:t xml:space="preserve">48. À l’article 6, paragraphe 5, à l’article 7, paragraphes 3 et 4, à l’article 8, paragraphes 1 et 2, à l’article 8 bis, paragraphes 3, 4 et 6, à l’article 8 ter, paragraphes 1 et 3, à l’article 13 nonies, paragraphe 2, à l’article 14, paragraphes 1, 4 et 6, à l’article 23, paragraphes 1 et 2, à l’article 29, paragraphes 4 quater et 4 quinquies, à l’article 29 ter, paragraphe 4,à l’article 29 quinquies, paragraphe 4, à l’article 35, paragraphe 2, à l’article 65, paragraphe 3, à l’article 71, paragraphe 1, à l’article 75, paragraphe 2, à l’article 75 ter, paragraphe 1, à l’article 77, paragraphe 7, à l’article 87 bis, paragraphe 1 bis et à l’article 90, paragraphes 1 et 4, les mots </w:t>
      </w:r>
      <w:r w:rsidRPr="006A673E">
        <w:rPr>
          <w:i w:val="0"/>
        </w:rPr>
        <w:t>«le ministre fédéral de l’agriculture, des forêts, de l’environnement, de l’environnement et de la gestion de l’eau»</w:t>
      </w:r>
      <w:r w:rsidRPr="006A673E">
        <w:t xml:space="preserve">, sont remplacés par les mots </w:t>
      </w:r>
      <w:r w:rsidRPr="006A673E">
        <w:rPr>
          <w:i w:val="0"/>
        </w:rPr>
        <w:t>«le ministre fédéral de l’action pour le climat, de l’environnement, de l’énergie, de la mobilité, de l’innovation et de la technologie»</w:t>
      </w:r>
      <w:r w:rsidRPr="006A673E">
        <w:t>.</w:t>
      </w:r>
    </w:p>
    <w:p w14:paraId="7F6BC964" w14:textId="77777777" w:rsidR="00D00167" w:rsidRPr="006A673E" w:rsidRDefault="00D00167" w:rsidP="001307A3">
      <w:pPr>
        <w:pStyle w:val="21NovAo1"/>
      </w:pPr>
      <w:r w:rsidRPr="006A673E">
        <w:t>49. La phrase suivante est ajoutée à l’article 6, paragraphe 7 :</w:t>
      </w:r>
    </w:p>
    <w:p w14:paraId="6519EF05" w14:textId="77777777" w:rsidR="00D00167" w:rsidRPr="006A673E" w:rsidRDefault="00D00167" w:rsidP="001307A3">
      <w:pPr>
        <w:pStyle w:val="23SatznachNovao"/>
      </w:pPr>
      <w:r w:rsidRPr="006A673E">
        <w:t>« Le paragraphe 4 s’applique mutatis mutandis. »</w:t>
      </w:r>
    </w:p>
    <w:p w14:paraId="2EF39006" w14:textId="77777777" w:rsidR="00D00167" w:rsidRPr="006A673E" w:rsidRDefault="00D00167" w:rsidP="001307A3">
      <w:pPr>
        <w:pStyle w:val="21NovAo1"/>
      </w:pPr>
      <w:r w:rsidRPr="006A673E">
        <w:t>50. À l’article 7, paragraphe 1, les sous-paragraphes 1 et 2 sont remplacés par les sous-paragraphes 1 à 3 suivants :</w:t>
      </w:r>
    </w:p>
    <w:p w14:paraId="50E8FDA9" w14:textId="77777777" w:rsidR="00D00167" w:rsidRPr="006A673E" w:rsidRDefault="00D00167" w:rsidP="001307A3">
      <w:pPr>
        <w:pStyle w:val="52Aufzaehle1Ziffer"/>
      </w:pPr>
      <w:r w:rsidRPr="006A673E">
        <w:tab/>
        <w:t>« 1.</w:t>
      </w:r>
      <w:r w:rsidRPr="006A673E">
        <w:tab/>
        <w:t>le détenteur des déchets ou le propriétaire de la décharge pour une quantité donnée de déchets donnés (dé-classification d’un seul lot) ou</w:t>
      </w:r>
    </w:p>
    <w:p w14:paraId="1558212D" w14:textId="77777777" w:rsidR="00D00167" w:rsidRPr="006A673E" w:rsidRDefault="00D00167" w:rsidP="001307A3">
      <w:pPr>
        <w:pStyle w:val="52Aufzaehle1Ziffer"/>
      </w:pPr>
      <w:r w:rsidRPr="006A673E">
        <w:tab/>
        <w:t>2.</w:t>
      </w:r>
      <w:r w:rsidRPr="006A673E">
        <w:tab/>
        <w:t>le producteur de déchets ou le propriétaire de la décharge pour certains déchets provenant d’un processus défini de production, de production ou de traitement des déchets d’une qualité cohérente en ce qui concerne les valeurs limites à respecter pour chaque traitement (dé-classification d’un flux de déchets) ou</w:t>
      </w:r>
    </w:p>
    <w:p w14:paraId="70FD7A96" w14:textId="77777777" w:rsidR="00D00167" w:rsidRPr="006A673E" w:rsidRDefault="00D00167" w:rsidP="001307A3">
      <w:pPr>
        <w:pStyle w:val="52Aufzaehle1Ziffer"/>
      </w:pPr>
      <w:r w:rsidRPr="006A673E">
        <w:tab/>
        <w:t>3.</w:t>
      </w:r>
      <w:r w:rsidRPr="006A673E">
        <w:tab/>
        <w:t>le producteur de déchets ou le propriétaire de la décharge pour certains déchets provenant d’un processus défini de production, de production ou de traitement des déchets d’une qualité incohérente par rapport aux valeurs limites à respecter pour chaque traitement (dé-classification des déchets récurrents) »</w:t>
      </w:r>
    </w:p>
    <w:p w14:paraId="4754B205" w14:textId="77777777" w:rsidR="00D00167" w:rsidRPr="006A673E" w:rsidRDefault="00D00167" w:rsidP="001307A3">
      <w:pPr>
        <w:pStyle w:val="22NovAo2"/>
      </w:pPr>
      <w:r w:rsidRPr="006A673E">
        <w:t xml:space="preserve">51. À l’article 7, paragraphe 2, à l’article 8, paragraphe 2, à l’article 8 bis, paragraphe 5, et à l’article 21, paragraphe 1, les mots </w:t>
      </w:r>
      <w:r w:rsidRPr="006A673E">
        <w:rPr>
          <w:i w:val="0"/>
        </w:rPr>
        <w:t>«par/au ministre fédéral de l’agriculture, des forêts, de l’environnement, de l’environnement et de la gestion de l’eau»</w:t>
      </w:r>
      <w:r w:rsidRPr="006A673E">
        <w:t xml:space="preserve">, sont remplacés par les mots </w:t>
      </w:r>
      <w:r w:rsidRPr="006A673E">
        <w:rPr>
          <w:i w:val="0"/>
        </w:rPr>
        <w:t>«par/au ministre fédéral de l’action pour le climat, de l’environnement, de l’énergie, de la mobilité, de l’innovation et de la technologie»</w:t>
      </w:r>
      <w:r w:rsidRPr="006A673E">
        <w:t>.</w:t>
      </w:r>
    </w:p>
    <w:p w14:paraId="173E4874" w14:textId="77777777" w:rsidR="00D00167" w:rsidRPr="006A673E" w:rsidRDefault="00D00167" w:rsidP="001307A3">
      <w:pPr>
        <w:pStyle w:val="21NovAo1"/>
      </w:pPr>
      <w:r w:rsidRPr="006A673E">
        <w:t>52. À l’article 7, paragraphe 4, la phrase suivante est insérée après la première phrase :</w:t>
      </w:r>
    </w:p>
    <w:p w14:paraId="4B6E4D6D" w14:textId="77777777" w:rsidR="00D00167" w:rsidRPr="006A673E" w:rsidRDefault="00D00167" w:rsidP="001307A3">
      <w:pPr>
        <w:pStyle w:val="23SatznachNovao"/>
      </w:pPr>
      <w:r w:rsidRPr="006A673E">
        <w:t>« Ce délai n’inclut pas le délai d’audition des parties. »</w:t>
      </w:r>
    </w:p>
    <w:p w14:paraId="619D2CC8" w14:textId="77777777" w:rsidR="00D00167" w:rsidRPr="006A673E" w:rsidRDefault="00D00167" w:rsidP="001307A3">
      <w:pPr>
        <w:pStyle w:val="22NovAo2"/>
      </w:pPr>
      <w:r w:rsidRPr="006A673E">
        <w:t xml:space="preserve">53. Au paragraphe 7(5), la formulation </w:t>
      </w:r>
      <w:r w:rsidRPr="006A673E">
        <w:rPr>
          <w:i w:val="0"/>
        </w:rPr>
        <w:t>« dé-classification par lots uniques ou classification par procédé »</w:t>
      </w:r>
      <w:r w:rsidRPr="006A673E">
        <w:t xml:space="preserve"> est remplacée par la formulation</w:t>
      </w:r>
      <w:r w:rsidRPr="006A673E">
        <w:rPr>
          <w:i w:val="0"/>
        </w:rPr>
        <w:t xml:space="preserve"> « dé-classification d’un seul lot, d’une dé-classification d’un flux de déchets ou d’une dé-classification de déchets récurrents »</w:t>
      </w:r>
      <w:r w:rsidRPr="006A673E">
        <w:t>.</w:t>
      </w:r>
    </w:p>
    <w:p w14:paraId="65CBDADB" w14:textId="77777777" w:rsidR="00D00167" w:rsidRPr="006A673E" w:rsidRDefault="00D00167" w:rsidP="001307A3">
      <w:pPr>
        <w:pStyle w:val="22NovAo2"/>
      </w:pPr>
      <w:r w:rsidRPr="006A673E">
        <w:t>54. À l'article 7(6), la formulation « </w:t>
      </w:r>
      <w:r w:rsidRPr="006A673E">
        <w:rPr>
          <w:i w:val="0"/>
        </w:rPr>
        <w:t>solidifié, stabilisé ou immobilisé »</w:t>
      </w:r>
      <w:r w:rsidRPr="006A673E">
        <w:t xml:space="preserve"> est remplacée par la formulation « </w:t>
      </w:r>
      <w:r w:rsidRPr="006A673E">
        <w:rPr>
          <w:i w:val="0"/>
        </w:rPr>
        <w:t>dangereux, immobilisé ou stabilisé »</w:t>
      </w:r>
      <w:r w:rsidRPr="006A673E">
        <w:t>.</w:t>
      </w:r>
    </w:p>
    <w:p w14:paraId="5897FA78" w14:textId="77777777" w:rsidR="00D00167" w:rsidRPr="006A673E" w:rsidRDefault="00D00167" w:rsidP="001307A3">
      <w:pPr>
        <w:pStyle w:val="22NovAo2"/>
      </w:pPr>
      <w:r w:rsidRPr="006A673E">
        <w:t>55. À l'article 7(7), les mots « </w:t>
      </w:r>
      <w:r w:rsidRPr="006A673E">
        <w:rPr>
          <w:i w:val="0"/>
        </w:rPr>
        <w:t>dé-classification du procédé »</w:t>
      </w:r>
      <w:r w:rsidRPr="006A673E">
        <w:t xml:space="preserve"> sont remplacés par les mots </w:t>
      </w:r>
      <w:r w:rsidRPr="006A673E">
        <w:rPr>
          <w:i w:val="0"/>
        </w:rPr>
        <w:t xml:space="preserve"> « dé-classification d’un flux de déchets ou d’une classification de déchets récurrents »</w:t>
      </w:r>
      <w:r w:rsidRPr="006A673E">
        <w:t>.</w:t>
      </w:r>
    </w:p>
    <w:p w14:paraId="5970B18C" w14:textId="77777777" w:rsidR="00D00167" w:rsidRPr="006A673E" w:rsidRDefault="00D00167" w:rsidP="001307A3">
      <w:pPr>
        <w:pStyle w:val="22NovAo2"/>
      </w:pPr>
      <w:r w:rsidRPr="006A673E">
        <w:t xml:space="preserve">56. À l’article 8, paragraphe 2, les mots </w:t>
      </w:r>
      <w:r w:rsidRPr="006A673E">
        <w:rPr>
          <w:i w:val="0"/>
        </w:rPr>
        <w:t>«le ministre fédéral de l’économie, de la famille et de la jeunesse»,</w:t>
      </w:r>
      <w:r w:rsidRPr="006A673E">
        <w:t xml:space="preserve"> sont remplacés par les mots </w:t>
      </w:r>
      <w:r w:rsidRPr="006A673E">
        <w:rPr>
          <w:i w:val="0"/>
        </w:rPr>
        <w:t>«le ministre fédéral de l’économie et du numérique, ministre fédéral de l’agriculture, des régions et du tourisme»</w:t>
      </w:r>
      <w:r w:rsidRPr="006A673E">
        <w:t>.</w:t>
      </w:r>
    </w:p>
    <w:p w14:paraId="53582D89" w14:textId="77777777" w:rsidR="00D00167" w:rsidRPr="006A673E" w:rsidRDefault="00D00167" w:rsidP="001307A3">
      <w:pPr>
        <w:pStyle w:val="22NovAo2"/>
      </w:pPr>
      <w:r w:rsidRPr="006A673E">
        <w:t>57. À l’article 8, paragraphe 2, à l’article 8 bis, paragraphes 3, 5 et 6, à l’article 29, paragraphes 4 et 4 ter, et à l’article 34, paragraphes 1, 3 et 4, les mots «</w:t>
      </w:r>
      <w:r w:rsidRPr="006A673E">
        <w:rPr>
          <w:i w:val="0"/>
        </w:rPr>
        <w:t>du ministre fédéral de l’agriculture, des forêts, de l’environnement, de l’environnement et de la gestion de l’eau»</w:t>
      </w:r>
      <w:r w:rsidRPr="006A673E">
        <w:t xml:space="preserve"> sont remplacés par les mots </w:t>
      </w:r>
      <w:r w:rsidRPr="006A673E">
        <w:rPr>
          <w:i w:val="0"/>
        </w:rPr>
        <w:t>«du ministre fédéral de l’action pour le climat, de l’environnement, de l’énergie, de la mobilité, de l’innovation et de la technologie»</w:t>
      </w:r>
      <w:r w:rsidRPr="006A673E">
        <w:t>.</w:t>
      </w:r>
    </w:p>
    <w:p w14:paraId="78D7CD43" w14:textId="77777777" w:rsidR="00D00167" w:rsidRPr="006A673E" w:rsidRDefault="00D00167" w:rsidP="001307A3">
      <w:pPr>
        <w:pStyle w:val="21NovAo1"/>
      </w:pPr>
      <w:r w:rsidRPr="006A673E">
        <w:t>58. À l’article 8, paragraphe 3, le texte suivant est ajouté au sous-paragraphe 4 avant le point-virgule :</w:t>
      </w:r>
    </w:p>
    <w:p w14:paraId="09EA8425" w14:textId="77777777" w:rsidR="00D00167" w:rsidRPr="006A673E" w:rsidRDefault="00D00167" w:rsidP="001307A3">
      <w:pPr>
        <w:pStyle w:val="23SatznachNovao"/>
      </w:pPr>
      <w:r w:rsidRPr="006A673E">
        <w:t>« , y compris une évaluation des investissements et autres ressources financières nécessaires à cette fin »</w:t>
      </w:r>
    </w:p>
    <w:p w14:paraId="04DC3C36" w14:textId="77777777" w:rsidR="00D00167" w:rsidRPr="006A673E" w:rsidRDefault="00D00167" w:rsidP="001307A3">
      <w:pPr>
        <w:pStyle w:val="21NovAo1"/>
      </w:pPr>
      <w:r w:rsidRPr="006A673E">
        <w:t>59. L’article 8, paragraphe 3, sous-paragraphe 5, est modifié pour être formulé comme suit :</w:t>
      </w:r>
    </w:p>
    <w:p w14:paraId="0FFEA303" w14:textId="77777777" w:rsidR="00D00167" w:rsidRPr="006A673E" w:rsidRDefault="00D00167" w:rsidP="001307A3">
      <w:pPr>
        <w:pStyle w:val="52Aufzaehle1Ziffer"/>
      </w:pPr>
      <w:r w:rsidRPr="006A673E">
        <w:tab/>
        <w:t>« 5.</w:t>
      </w:r>
      <w:r w:rsidRPr="006A673E">
        <w:tab/>
        <w:t xml:space="preserve">l’évaluation des systèmes existants de collecte des déchets, y compris les matériaux collectés séparément, les zones géographiques dans lesquelles la collecte séparée a lieu et les mesures visant </w:t>
      </w:r>
      <w:r w:rsidRPr="006A673E">
        <w:lastRenderedPageBreak/>
        <w:t>à améliorer la collecte séparée des déchets non collectés séparément, ainsi que l’évaluation de la nécessité de nouveaux systèmes de collecte ; »</w:t>
      </w:r>
    </w:p>
    <w:p w14:paraId="36C050D4" w14:textId="77777777" w:rsidR="00D00167" w:rsidRPr="006A673E" w:rsidRDefault="00D00167" w:rsidP="001307A3">
      <w:pPr>
        <w:pStyle w:val="21NovAo1"/>
      </w:pPr>
      <w:r w:rsidRPr="006A673E">
        <w:t>60. À l’article 8, paragraphe 3, les sous-paragraphes 8a et 8b suivants sont insérés après le sous-paragraphe 8 :</w:t>
      </w:r>
    </w:p>
    <w:p w14:paraId="0AE9AB56" w14:textId="77777777" w:rsidR="00D00167" w:rsidRPr="006A673E" w:rsidRDefault="00D00167" w:rsidP="001307A3">
      <w:pPr>
        <w:pStyle w:val="52Aufzaehle1Ziffer"/>
      </w:pPr>
      <w:r w:rsidRPr="006A673E">
        <w:tab/>
        <w:t>« 8a. mesures pour contrôler et empêcher les ordures et mesures de nettoyage de poubelle ;</w:t>
      </w:r>
      <w:r w:rsidRPr="006A673E">
        <w:tab/>
      </w:r>
    </w:p>
    <w:p w14:paraId="415EBF4F" w14:textId="77777777" w:rsidR="00D00167" w:rsidRPr="006A673E" w:rsidRDefault="00D00167" w:rsidP="001307A3">
      <w:pPr>
        <w:pStyle w:val="52Aufzaehle1Ziffer"/>
      </w:pPr>
      <w:r w:rsidRPr="006A673E">
        <w:tab/>
        <w:t>8b. des indicateurs et des objectifs qualitatifs et quantitatifs appropriés, y compris en ce qui concerne la quantité de déchets produits et leur traitement, ainsi que les déchets municipaux éliminés ou utilisés à des fins énergétiques ; »</w:t>
      </w:r>
    </w:p>
    <w:p w14:paraId="6ADE14F6" w14:textId="77777777" w:rsidR="00D00167" w:rsidRPr="006A673E" w:rsidRDefault="00D00167" w:rsidP="001307A3">
      <w:pPr>
        <w:pStyle w:val="22NovAo2"/>
      </w:pPr>
      <w:r w:rsidRPr="006A673E">
        <w:t>61. À l’article 8, paragraphe 3, point 9, après la formulation</w:t>
      </w:r>
      <w:r w:rsidRPr="006A673E">
        <w:rPr>
          <w:i w:val="0"/>
        </w:rPr>
        <w:t>«dispositions pour certains déchets</w:t>
      </w:r>
      <w:r w:rsidRPr="006A673E">
        <w:t xml:space="preserve">» la formulation </w:t>
      </w:r>
      <w:r w:rsidRPr="006A673E">
        <w:rPr>
          <w:i w:val="0"/>
        </w:rPr>
        <w:t xml:space="preserve">«(y compris les huiles résiduelles; les déchets dangereux ; les déchets contenant des quantités importantes de matières premières critiques et de flux de déchets soumis à une législation spécifique de l’Union européenne)» </w:t>
      </w:r>
      <w:r w:rsidRPr="006A673E">
        <w:t xml:space="preserve">est insérée à la fin avant le point final, les mots </w:t>
      </w:r>
      <w:r w:rsidRPr="006A673E">
        <w:rPr>
          <w:i w:val="0"/>
        </w:rPr>
        <w:t>«mesures visant à atteindre les objectifs énoncés à l’article 5, paragraphe 3 bis, de la directive 1999/31/CE concernant la mise en décharge des déchets et les objectifs énoncés à l’article 11, paragraphes 2 et 3, de la directive 2008/98/CE concernant les déchets et mesures d’application de la directive (UE) 2019/904 concernant la réduction de l’impact de certains produits plastiques sur l’environnement (ci-après: Directive (UE) 2019/904 (SUP – plastiques à usage unique), JO L 155 du 12/06/2019, p. 1 »</w:t>
      </w:r>
      <w:r w:rsidRPr="006A673E">
        <w:t xml:space="preserve"> est ajouté.</w:t>
      </w:r>
    </w:p>
    <w:p w14:paraId="64D70458" w14:textId="77777777" w:rsidR="00D00167" w:rsidRPr="006A673E" w:rsidRDefault="00D00167" w:rsidP="001307A3">
      <w:pPr>
        <w:pStyle w:val="21NovAo1"/>
      </w:pPr>
      <w:r w:rsidRPr="006A673E">
        <w:t>62. À l’article 8, paragraphe 3, la partie finale suivante est ajoutée :</w:t>
      </w:r>
    </w:p>
    <w:p w14:paraId="27CEA23A" w14:textId="77777777" w:rsidR="00D00167" w:rsidRPr="006A673E" w:rsidRDefault="00D00167" w:rsidP="001307A3">
      <w:pPr>
        <w:pStyle w:val="58Schlussteile0Abs"/>
      </w:pPr>
      <w:r w:rsidRPr="006A673E">
        <w:t>«Afin de prévenir les déchets, le plan fédéral de gestion des déchets est conforme aux exigences de l’article 13 de la directive 2008/56/CE établissant un cadre d’action communautaire dans le domaine du milieu marin (directive-cadre»stratégie pour le milieu marin«), JO L 164 du 26.06.2008, p. 19, et aux exigences de l’article 11 de la directive 2000/60/CE établissant un cadre d’action communautaire dans le domaine de l’eau, JO L 327 du 22.12.2000.»</w:t>
      </w:r>
    </w:p>
    <w:p w14:paraId="3D324105" w14:textId="77777777" w:rsidR="00D00167" w:rsidRPr="006A673E" w:rsidRDefault="00D00167" w:rsidP="001307A3">
      <w:pPr>
        <w:pStyle w:val="22NovAo2"/>
      </w:pPr>
      <w:r w:rsidRPr="006A673E">
        <w:t xml:space="preserve">63. À l’article 8, paragraphe 3 les mots </w:t>
      </w:r>
      <w:r w:rsidRPr="006A673E">
        <w:rPr>
          <w:i w:val="0"/>
        </w:rPr>
        <w:t>«par/au ministre fédéral de l’agriculture, des forêts, de l’environnement, de l’environnement et de la gestion de l’eau»</w:t>
      </w:r>
      <w:r w:rsidRPr="006A673E">
        <w:t xml:space="preserve">, sont remplacés par les mots </w:t>
      </w:r>
      <w:r w:rsidRPr="006A673E">
        <w:rPr>
          <w:i w:val="0"/>
        </w:rPr>
        <w:t>«par/au ministre fédéral de l’action pour le climat, de l’environnement, de l’énergie, de la mobilité, de l’innovation et de la technologie»</w:t>
      </w:r>
      <w:r w:rsidRPr="006A673E">
        <w:t>.</w:t>
      </w:r>
    </w:p>
    <w:p w14:paraId="4BF52E43" w14:textId="77777777" w:rsidR="00D00167" w:rsidRPr="006A673E" w:rsidRDefault="00D00167" w:rsidP="001307A3">
      <w:pPr>
        <w:pStyle w:val="21NovAo1"/>
      </w:pPr>
      <w:r w:rsidRPr="006A673E">
        <w:t>64. L’article 9, y compris son titre, est formulé comme suit :</w:t>
      </w:r>
    </w:p>
    <w:p w14:paraId="17FCAB31" w14:textId="77777777" w:rsidR="00D00167" w:rsidRPr="006A673E" w:rsidRDefault="00D00167" w:rsidP="001307A3">
      <w:pPr>
        <w:pStyle w:val="45UeberschrPara"/>
      </w:pPr>
      <w:r w:rsidRPr="006A673E">
        <w:t>« Objectifs minimaux pour les mesures de prévention des déchets</w:t>
      </w:r>
    </w:p>
    <w:p w14:paraId="53402B06" w14:textId="77777777" w:rsidR="00D00167" w:rsidRPr="006A673E" w:rsidRDefault="00D00167" w:rsidP="001307A3">
      <w:pPr>
        <w:pStyle w:val="51Abs"/>
      </w:pPr>
      <w:r w:rsidRPr="006A673E">
        <w:rPr>
          <w:rStyle w:val="991GldSymbol"/>
        </w:rPr>
        <w:t>Article 9.</w:t>
      </w:r>
      <w:r w:rsidRPr="006A673E">
        <w:t xml:space="preserve"> Les mesures de prévention des déchets doivent notamment :</w:t>
      </w:r>
    </w:p>
    <w:p w14:paraId="5FBF762C" w14:textId="77777777" w:rsidR="00D00167" w:rsidRPr="006A673E" w:rsidRDefault="00D00167" w:rsidP="001307A3">
      <w:pPr>
        <w:pStyle w:val="52Aufzaehle1Ziffer"/>
      </w:pPr>
      <w:r w:rsidRPr="006A673E">
        <w:tab/>
        <w:t>1.</w:t>
      </w:r>
      <w:r w:rsidRPr="006A673E">
        <w:tab/>
        <w:t>réduire les quantités et la teneur en polluants des déchets et contribuer à la durabilité ;</w:t>
      </w:r>
    </w:p>
    <w:p w14:paraId="4F254C87" w14:textId="77777777" w:rsidR="00D00167" w:rsidRPr="006A673E" w:rsidRDefault="00D00167" w:rsidP="001307A3">
      <w:pPr>
        <w:pStyle w:val="52Aufzaehle1Ziffer"/>
      </w:pPr>
      <w:r w:rsidRPr="006A673E">
        <w:tab/>
        <w:t>2.</w:t>
      </w:r>
      <w:r w:rsidRPr="006A673E">
        <w:tab/>
        <w:t>promouvoir et soutenir des modèles de production et de consommation durables ;</w:t>
      </w:r>
    </w:p>
    <w:p w14:paraId="64F5A903" w14:textId="77777777" w:rsidR="00D00167" w:rsidRPr="006A673E" w:rsidRDefault="00D00167" w:rsidP="001307A3">
      <w:pPr>
        <w:pStyle w:val="52Aufzaehle1Ziffer"/>
      </w:pPr>
      <w:r w:rsidRPr="006A673E">
        <w:tab/>
        <w:t>3.</w:t>
      </w:r>
      <w:r w:rsidRPr="006A673E">
        <w:tab/>
        <w:t>encourager la conception, la fabrication, le traitement, l’organisation et l’utilisation de produits économes en ressources, durables (y compris en termes de durée de vie et d’absence d’obsolescence planifiée), réparables, réutilisables ou évolutifs, que les déchets restants après leur utilisation prévue puissent être démontés, selon les besoins, ou que certains composants soient séparés, et que les composants ou substances dérivés des déchets puissent être largement réutilisés ;</w:t>
      </w:r>
    </w:p>
    <w:p w14:paraId="3F61CD5A" w14:textId="77777777" w:rsidR="00D00167" w:rsidRPr="006A673E" w:rsidRDefault="00D00167" w:rsidP="001307A3">
      <w:pPr>
        <w:pStyle w:val="52Aufzaehle1Ziffer"/>
      </w:pPr>
      <w:r w:rsidRPr="006A673E">
        <w:tab/>
        <w:t>4.</w:t>
      </w:r>
      <w:r w:rsidRPr="006A673E">
        <w:tab/>
        <w:t>concevoir des produits de manière à ce qu’au cours de leur production, de leur approvisionnement et de leur consommation et après leur utilisation prévue, compte tenu des aspects environnementaux pertinents, il n’y ait pas d’effets négatifs sur l’intérêt public (article 1(3)), en particulier qu’il reste le moins de déchets possible et le moins de déchets polluants possible ;</w:t>
      </w:r>
    </w:p>
    <w:p w14:paraId="260FD9CD" w14:textId="77777777" w:rsidR="00D00167" w:rsidRPr="006A673E" w:rsidRDefault="00D00167" w:rsidP="001307A3">
      <w:pPr>
        <w:pStyle w:val="52Aufzaehle1Ziffer"/>
      </w:pPr>
      <w:r w:rsidRPr="006A673E">
        <w:tab/>
        <w:t>5.</w:t>
      </w:r>
      <w:r w:rsidRPr="006A673E">
        <w:tab/>
        <w:t>utiliser les produits de manière à réduire autant que possible la pollution, en particulier la production de déchets;</w:t>
      </w:r>
    </w:p>
    <w:p w14:paraId="49235AB9" w14:textId="77777777" w:rsidR="00D00167" w:rsidRPr="006A673E" w:rsidRDefault="00D00167" w:rsidP="001307A3">
      <w:pPr>
        <w:pStyle w:val="52Aufzaehle1Ziffer"/>
      </w:pPr>
      <w:r w:rsidRPr="006A673E">
        <w:tab/>
        <w:t>6.</w:t>
      </w:r>
      <w:r w:rsidRPr="006A673E">
        <w:tab/>
        <w:t>cibler les produits contenant des matières premières critiques afin d’éviter que ces matières ne deviennent des déchets;</w:t>
      </w:r>
    </w:p>
    <w:p w14:paraId="6C5C4F75" w14:textId="77777777" w:rsidR="00D00167" w:rsidRPr="006A673E" w:rsidRDefault="00D00167" w:rsidP="001307A3">
      <w:pPr>
        <w:pStyle w:val="52Aufzaehle1Ziffer"/>
      </w:pPr>
      <w:r w:rsidRPr="006A673E">
        <w:tab/>
        <w:t>7.</w:t>
      </w:r>
      <w:r w:rsidRPr="006A673E">
        <w:tab/>
        <w:t>encourager la réutilisation des produits et la mise en place de systèmes favorisant les activités de réparation et de réutilisation, en particulier pour les équipements électriques et électroniques, les textiles et meubles, les matériaux et produits d’emballage et de construction;</w:t>
      </w:r>
    </w:p>
    <w:p w14:paraId="2C613D0E" w14:textId="77777777" w:rsidR="00D00167" w:rsidRPr="006A673E" w:rsidRDefault="00D00167" w:rsidP="001307A3">
      <w:pPr>
        <w:pStyle w:val="52Aufzaehle1Ziffer"/>
      </w:pPr>
      <w:r w:rsidRPr="006A673E">
        <w:tab/>
        <w:t>8.</w:t>
      </w:r>
      <w:r w:rsidRPr="006A673E">
        <w:tab/>
        <w:t>encourager, selon qu’il convient et sans préjudice des droits de propriété intellectuelle, la disponibilité de pièces de rechange, de manuels d’instruction, d’informations techniques ou d’autres instruments, équipements et logiciels permettant la réparation et la réutilisation des produits sans compromettre leur qualité et leur sécurité;</w:t>
      </w:r>
    </w:p>
    <w:p w14:paraId="29701E2D" w14:textId="77777777" w:rsidR="00D00167" w:rsidRPr="006A673E" w:rsidRDefault="00D00167" w:rsidP="001307A3">
      <w:pPr>
        <w:pStyle w:val="52Aufzaehle1Ziffer"/>
      </w:pPr>
      <w:r w:rsidRPr="006A673E">
        <w:lastRenderedPageBreak/>
        <w:tab/>
        <w:t>9.</w:t>
      </w:r>
      <w:r w:rsidRPr="006A673E">
        <w:tab/>
        <w:t>réduire la production de déchets dans les procédés liés à la production industrielle, à l’extraction des minéraux, à la fabrication, à la construction et à la démolition, en tenant compte des meilleures techniques disponibles;</w:t>
      </w:r>
    </w:p>
    <w:p w14:paraId="4D4260E4" w14:textId="77777777" w:rsidR="00D00167" w:rsidRPr="006A673E" w:rsidRDefault="00D00167" w:rsidP="001307A3">
      <w:pPr>
        <w:pStyle w:val="52Aufzaehle1Ziffer"/>
      </w:pPr>
      <w:r w:rsidRPr="006A673E">
        <w:tab/>
        <w:t>10.</w:t>
      </w:r>
      <w:r w:rsidRPr="006A673E">
        <w:tab/>
        <w:t>réduire la production de déchets alimentaires dans la production primaire, dans la transformation et la fabrication, dans la distribution au détail et dans d'autres secteurs de l'alimentation, dans les restaurants et les services alimentaires ainsi que dans les ménages, en tant que contribution à l'objectif de développement durable des Nations Unies consistant à réduire de 50 % le gaspillage alimentaire mondial par habitant au niveau du commerce de détail et du consommateur et à réduire les pertes alimentaires le long des chaînes de production et d'approvisionnement d'ici 2030;</w:t>
      </w:r>
    </w:p>
    <w:p w14:paraId="068BDBAE" w14:textId="77777777" w:rsidR="00D00167" w:rsidRPr="006A673E" w:rsidRDefault="00D00167" w:rsidP="001307A3">
      <w:pPr>
        <w:pStyle w:val="52Aufzaehle1Ziffer"/>
      </w:pPr>
      <w:r w:rsidRPr="006A673E">
        <w:tab/>
        <w:t>11.</w:t>
      </w:r>
      <w:r w:rsidRPr="006A673E">
        <w:tab/>
        <w:t>encourager les dons alimentaires et autres redistributions pour la consommation humaine, en accordant la priorité à l’utilisation humaine par rapport à l’alimentation animale et au retraitement en produits non alimentaires ;</w:t>
      </w:r>
    </w:p>
    <w:p w14:paraId="3E775550" w14:textId="77777777" w:rsidR="00D00167" w:rsidRPr="006A673E" w:rsidRDefault="00D00167" w:rsidP="001307A3">
      <w:pPr>
        <w:pStyle w:val="52Aufzaehle1Ziffer"/>
      </w:pPr>
      <w:r w:rsidRPr="006A673E">
        <w:tab/>
        <w:t>12.</w:t>
      </w:r>
      <w:r w:rsidRPr="006A673E">
        <w:tab/>
        <w:t>réduire la production de déchets, en particulier de déchets qui ne sont pas aptes à se préparer à la réutilisation ou au recyclage, par exemple par des modes de distribution, par des systèmes de retour ou de collecte et de valorisation ou par la collecte de gisements ;</w:t>
      </w:r>
    </w:p>
    <w:p w14:paraId="0310B343" w14:textId="77777777" w:rsidR="00D00167" w:rsidRPr="006A673E" w:rsidRDefault="00D00167" w:rsidP="001307A3">
      <w:pPr>
        <w:pStyle w:val="52Aufzaehle1Ziffer"/>
      </w:pPr>
      <w:r w:rsidRPr="006A673E">
        <w:tab/>
        <w:t>13.</w:t>
      </w:r>
      <w:r w:rsidRPr="006A673E">
        <w:tab/>
        <w:t>réduire autant que possible les déchets provenant du consommateur final, par exemple au moyen de modes de distribution, de systèmes de retour ou de collecte et de valorisation ou de collecte de gisements ;</w:t>
      </w:r>
    </w:p>
    <w:p w14:paraId="32B9B29C" w14:textId="77777777" w:rsidR="00D00167" w:rsidRPr="006A673E" w:rsidRDefault="00D00167" w:rsidP="001307A3">
      <w:pPr>
        <w:pStyle w:val="52Aufzaehle1Ziffer"/>
      </w:pPr>
      <w:r w:rsidRPr="006A673E">
        <w:tab/>
        <w:t>14.</w:t>
      </w:r>
      <w:r w:rsidRPr="006A673E">
        <w:tab/>
        <w:t>identifier les produits qui sont les principales sources de déchets, notamment dans les milieux naturels et marins, et prendre les mesures appropriées pour prévenir et réduire la quantité de déchets générés par ces produits ;</w:t>
      </w:r>
    </w:p>
    <w:p w14:paraId="1905D707" w14:textId="77777777" w:rsidR="00D00167" w:rsidRPr="006A673E" w:rsidRDefault="00D00167" w:rsidP="001307A3">
      <w:pPr>
        <w:pStyle w:val="52Aufzaehle1Ziffer"/>
      </w:pPr>
      <w:r w:rsidRPr="006A673E">
        <w:tab/>
        <w:t>15.</w:t>
      </w:r>
      <w:r w:rsidRPr="006A673E">
        <w:tab/>
        <w:t>mettre fin à la production de déchets marins en tant que contribution à la réalisation de l'Objectif de Développement durable des Nations Unies visant à prévenir et à réduire sensiblement la pollution marine de toutes sortes ;</w:t>
      </w:r>
    </w:p>
    <w:p w14:paraId="1016F58C" w14:textId="77777777" w:rsidR="00D00167" w:rsidRPr="006A673E" w:rsidRDefault="00D00167" w:rsidP="001307A3">
      <w:pPr>
        <w:pStyle w:val="52Aufzaehle1Ziffer"/>
      </w:pPr>
      <w:r w:rsidRPr="006A673E">
        <w:tab/>
        <w:t>16.</w:t>
      </w:r>
      <w:r w:rsidRPr="006A673E">
        <w:tab/>
        <w:t>élaborer et soutenir des campagnes d'information visant à sensibiliser le public à la prévention des déchets et à l'élimination des déchets ;</w:t>
      </w:r>
    </w:p>
    <w:p w14:paraId="5BD6B2B5" w14:textId="77777777" w:rsidR="00D00167" w:rsidRPr="006A673E" w:rsidRDefault="00D00167" w:rsidP="001307A3">
      <w:pPr>
        <w:pStyle w:val="52Aufzaehle1Ziffer"/>
      </w:pPr>
      <w:r w:rsidRPr="006A673E">
        <w:tab/>
        <w:t>17.</w:t>
      </w:r>
      <w:r w:rsidRPr="006A673E">
        <w:tab/>
        <w:t>en vue d’une réduction significative et permanente de la consommation de produits plastiques à usage unique</w:t>
      </w:r>
    </w:p>
    <w:p w14:paraId="5692A218" w14:textId="77777777" w:rsidR="00D00167" w:rsidRPr="006A673E" w:rsidRDefault="00D00167" w:rsidP="001307A3">
      <w:pPr>
        <w:pStyle w:val="52Aufzaehle2Lit"/>
      </w:pPr>
      <w:r w:rsidRPr="006A673E">
        <w:tab/>
        <w:t>a)</w:t>
      </w:r>
      <w:r w:rsidRPr="006A673E">
        <w:tab/>
        <w:t>les gobelets à boissons, y compris leurs fermetures et couvercles ; et</w:t>
      </w:r>
    </w:p>
    <w:p w14:paraId="5261527A" w14:textId="77777777" w:rsidR="00D00167" w:rsidRPr="006A673E" w:rsidRDefault="00D00167" w:rsidP="001307A3">
      <w:pPr>
        <w:pStyle w:val="52Aufzaehle2Lit"/>
      </w:pPr>
      <w:r w:rsidRPr="006A673E">
        <w:tab/>
        <w:t>b)</w:t>
      </w:r>
      <w:r w:rsidRPr="006A673E">
        <w:tab/>
        <w:t xml:space="preserve">emballages alimentaires, c’est-à-dire contenants tels que des boîtes (avec ou sans couvercle) pour produits alimentaires </w:t>
      </w:r>
    </w:p>
    <w:p w14:paraId="7AA5F167" w14:textId="77777777" w:rsidR="00D00167" w:rsidRPr="006A673E" w:rsidRDefault="00D00167" w:rsidP="001307A3">
      <w:pPr>
        <w:pStyle w:val="52Aufzaehle3Sublit"/>
      </w:pPr>
      <w:r w:rsidRPr="006A673E">
        <w:tab/>
        <w:t>aa)</w:t>
      </w:r>
      <w:r w:rsidRPr="006A673E">
        <w:tab/>
        <w:t>destinés à être consommés sur place ou à être pris comme repas à emporter,</w:t>
      </w:r>
    </w:p>
    <w:p w14:paraId="4B2AE983" w14:textId="77777777" w:rsidR="00D00167" w:rsidRPr="006A673E" w:rsidRDefault="00D00167" w:rsidP="001307A3">
      <w:pPr>
        <w:pStyle w:val="52Aufzaehle3Sublit"/>
      </w:pPr>
      <w:r w:rsidRPr="006A673E">
        <w:tab/>
        <w:t>bb)</w:t>
      </w:r>
      <w:r w:rsidRPr="006A673E">
        <w:tab/>
        <w:t>généralement consommés à partir du récipient, et</w:t>
      </w:r>
    </w:p>
    <w:p w14:paraId="484D3269" w14:textId="77777777" w:rsidR="00D00167" w:rsidRPr="006A673E" w:rsidRDefault="00D00167" w:rsidP="001307A3">
      <w:pPr>
        <w:pStyle w:val="52Aufzaehle3Sublit"/>
      </w:pPr>
      <w:r w:rsidRPr="006A673E">
        <w:tab/>
        <w:t>cc)</w:t>
      </w:r>
      <w:r w:rsidRPr="006A673E">
        <w:tab/>
        <w:t>pouvant être consommés sans autre préparation, comme la cuisson, l’ébullition ou le chauffage,</w:t>
      </w:r>
    </w:p>
    <w:p w14:paraId="5493CE98" w14:textId="77777777" w:rsidR="00D00167" w:rsidRPr="006A673E" w:rsidRDefault="00D00167" w:rsidP="001307A3">
      <w:pPr>
        <w:pStyle w:val="58Schlussteile2Lit"/>
      </w:pPr>
      <w:r w:rsidRPr="006A673E">
        <w:t>y compris les emballages destinés à la restauration rapide ou à d’autres denrées alimentaires destinées à la consommation immédiate, à l’exclusion des contenants, des assiettes, des sacs et des emballages contenant des denrées alimentaires,</w:t>
      </w:r>
    </w:p>
    <w:p w14:paraId="45697F00" w14:textId="77777777" w:rsidR="00D00167" w:rsidRPr="006A673E" w:rsidRDefault="00D00167" w:rsidP="001307A3">
      <w:pPr>
        <w:pStyle w:val="58Schlussteile1Ziffer"/>
      </w:pPr>
      <w:r w:rsidRPr="006A673E">
        <w:t>provoquer un renversement significatif de la tendance à l’augmentation de la consommation de ces produits plastiques à usage unique. Ces mesures visent à obtenir une réduction quantitative mesurable de la consommation de ces produits d’ici 2026 par rapport à 2022. Une description des mesures de prévention des déchets qui ont été alignées sur cet objectif est mise à la disposition du public au moment où elles sont publiées pour la première fois dans le programme de prévention des déchets conformément à l’article 9 a ;</w:t>
      </w:r>
    </w:p>
    <w:p w14:paraId="7B39FE69" w14:textId="77777777" w:rsidR="00D00167" w:rsidRPr="006A673E" w:rsidRDefault="00D00167" w:rsidP="001307A3">
      <w:pPr>
        <w:pStyle w:val="52Aufzaehle1Ziffer"/>
      </w:pPr>
      <w:r w:rsidRPr="006A673E">
        <w:tab/>
        <w:t>18.</w:t>
      </w:r>
      <w:r w:rsidRPr="006A673E">
        <w:tab/>
        <w:t>parvenir à une réduction de 20 % des emballages plastiques à usage unique mis sur le marché d’ici 2025 par rapport à 2018 ;</w:t>
      </w:r>
    </w:p>
    <w:p w14:paraId="7AE1F30F" w14:textId="77777777" w:rsidR="00D00167" w:rsidRPr="006A673E" w:rsidRDefault="00D00167" w:rsidP="001307A3">
      <w:pPr>
        <w:pStyle w:val="52Aufzaehle1Ziffer"/>
      </w:pPr>
      <w:r w:rsidRPr="006A673E">
        <w:tab/>
        <w:t>19.</w:t>
      </w:r>
      <w:r w:rsidRPr="006A673E">
        <w:tab/>
        <w:t>encourager l’expansion des systèmes d’emballage réutilisables, en particulier pour les emballages de boissons.</w:t>
      </w:r>
    </w:p>
    <w:p w14:paraId="49367C76" w14:textId="77777777" w:rsidR="00D00167" w:rsidRPr="006A673E" w:rsidRDefault="00D00167" w:rsidP="001307A3">
      <w:pPr>
        <w:pStyle w:val="58Schlussteile0Abs"/>
      </w:pPr>
      <w:r w:rsidRPr="006A673E">
        <w:t>Les objectifs en matière de prévention des déchets peuvent notamment être atteints grâce à l’utilisation de formes appropriées de production, de traitement, de traitement et de distribution, à la mise au point de types et de formes de produits appropriés et au comportement des consommateurs finaux soucieux de la prévention des déchets. »</w:t>
      </w:r>
    </w:p>
    <w:p w14:paraId="4A519801" w14:textId="77777777" w:rsidR="00D00167" w:rsidRPr="006A673E" w:rsidRDefault="00D00167" w:rsidP="001307A3">
      <w:pPr>
        <w:pStyle w:val="22NovAo2"/>
      </w:pPr>
      <w:r w:rsidRPr="006A673E">
        <w:t xml:space="preserve">65. À l’article 9 bis, paragraphe 2, à la fin du point 2, avant le point-virgule, la formulation </w:t>
      </w:r>
      <w:r w:rsidRPr="006A673E">
        <w:rPr>
          <w:i w:val="0"/>
        </w:rPr>
        <w:t>«y compris l’affectation des mesures de prévention des déchets aux objectifs visés à l’article 9»</w:t>
      </w:r>
      <w:r w:rsidRPr="006A673E">
        <w:t xml:space="preserve"> est ajoutée.</w:t>
      </w:r>
    </w:p>
    <w:p w14:paraId="37412FBC" w14:textId="77777777" w:rsidR="00D00167" w:rsidRPr="006A673E" w:rsidRDefault="00D00167" w:rsidP="001307A3">
      <w:pPr>
        <w:pStyle w:val="22NovAo2"/>
      </w:pPr>
      <w:r w:rsidRPr="006A673E">
        <w:lastRenderedPageBreak/>
        <w:t>66. À l’article 9 bis, paragraphe 2, à la fin du point 3, avant le point-virgule, la formulation «</w:t>
      </w:r>
      <w:r w:rsidRPr="006A673E">
        <w:rPr>
          <w:i w:val="0"/>
        </w:rPr>
        <w:t>description de la contribution apportée par les instruments et mesures énumérés à l’</w:t>
      </w:r>
      <w:r w:rsidRPr="006A673E">
        <w:rPr>
          <w:b/>
          <w:i w:val="0"/>
        </w:rPr>
        <w:t>Annexe 1 ter</w:t>
      </w:r>
      <w:r w:rsidRPr="006A673E">
        <w:rPr>
          <w:i w:val="0"/>
        </w:rPr>
        <w:t xml:space="preserve"> pour la prévention des déchets»</w:t>
      </w:r>
      <w:r w:rsidRPr="006A673E">
        <w:t xml:space="preserve"> est ajoutée.</w:t>
      </w:r>
    </w:p>
    <w:p w14:paraId="5AD1232D" w14:textId="77777777" w:rsidR="00D00167" w:rsidRPr="006A673E" w:rsidRDefault="00D00167" w:rsidP="001307A3">
      <w:pPr>
        <w:pStyle w:val="21NovAo1"/>
      </w:pPr>
      <w:r w:rsidRPr="006A673E">
        <w:t>67. À l'article 9 a, paragraphe 2, à la fin du sous-paragraphe 5, le point final est remplacé par un point-virgule et le sous-paragraphe 6 suivant est ajouté :</w:t>
      </w:r>
    </w:p>
    <w:p w14:paraId="243F540F" w14:textId="77777777" w:rsidR="00D00167" w:rsidRPr="006A673E" w:rsidRDefault="00D00167" w:rsidP="001307A3">
      <w:pPr>
        <w:pStyle w:val="52Aufzaehle1Ziffer"/>
      </w:pPr>
      <w:r w:rsidRPr="006A673E">
        <w:tab/>
        <w:t>« 6.</w:t>
      </w:r>
      <w:r w:rsidRPr="006A673E">
        <w:tab/>
        <w:t>un programme spécifique pour la prévention du gaspillage alimentaire. »</w:t>
      </w:r>
    </w:p>
    <w:p w14:paraId="2C888DB4" w14:textId="77777777" w:rsidR="00D00167" w:rsidRPr="006A673E" w:rsidRDefault="00D00167" w:rsidP="001307A3">
      <w:pPr>
        <w:pStyle w:val="21NovAo1"/>
      </w:pPr>
      <w:r w:rsidRPr="006A673E">
        <w:t>68. L'article 11 (2) est formulé comme suit :</w:t>
      </w:r>
    </w:p>
    <w:p w14:paraId="0DB10C75" w14:textId="77777777" w:rsidR="00D00167" w:rsidRPr="006A673E" w:rsidRDefault="00D00167" w:rsidP="001307A3">
      <w:pPr>
        <w:pStyle w:val="51Abs"/>
      </w:pPr>
      <w:r w:rsidRPr="006A673E">
        <w:t>« (2) La nomination ou la non-nomination de l’agent chargé des déchets est notifiée sans délai à l’autorité par voie électronique au moyen du registre conformément à l’article 22 (1). La preuve du consentement du responsable des déchets et de la qualification professionnelle est conservée dans l’entreprise durant une année suivant la nomination et présentée à la demande de l’autorité.»</w:t>
      </w:r>
    </w:p>
    <w:p w14:paraId="5C37A4B7" w14:textId="77777777" w:rsidR="00D00167" w:rsidRPr="006A673E" w:rsidRDefault="00D00167" w:rsidP="001307A3">
      <w:pPr>
        <w:pStyle w:val="21NovAo1"/>
      </w:pPr>
      <w:r w:rsidRPr="006A673E">
        <w:t>69. Après l’article 12, les articles 12 bis à 12 quater suivants sont insérés, y compris les titres:</w:t>
      </w:r>
    </w:p>
    <w:p w14:paraId="5DB6F3DE" w14:textId="77777777" w:rsidR="00D00167" w:rsidRPr="006A673E" w:rsidRDefault="00D00167" w:rsidP="001307A3">
      <w:pPr>
        <w:pStyle w:val="45UeberschrPara"/>
      </w:pPr>
      <w:r w:rsidRPr="006A673E">
        <w:t>« Producteurs de certains produits »</w:t>
      </w:r>
    </w:p>
    <w:p w14:paraId="4EB6815C" w14:textId="77777777" w:rsidR="00D00167" w:rsidRPr="006A673E" w:rsidRDefault="00D00167" w:rsidP="001307A3">
      <w:pPr>
        <w:pStyle w:val="51Abs"/>
      </w:pPr>
      <w:r w:rsidRPr="006A673E">
        <w:rPr>
          <w:rStyle w:val="991GldSymbol"/>
        </w:rPr>
        <w:t>Article 12a.</w:t>
      </w:r>
      <w:r w:rsidRPr="006A673E">
        <w:t xml:space="preserve"> (1) Le terme «producteur d’équipements électriques et électroniques» signifie toute personne qui, quelle que soit la méthode de vente, y compris les ventes à distance au sens de l’article 3, point 2 de la loi sur la vente à distance (FAGG), BGBl. n° 33/2014,</w:t>
      </w:r>
    </w:p>
    <w:p w14:paraId="4A8D8DF9" w14:textId="77777777" w:rsidR="00D00167" w:rsidRPr="006A673E" w:rsidRDefault="00D00167" w:rsidP="001307A3">
      <w:pPr>
        <w:pStyle w:val="52Aufzaehle1Ziffer"/>
      </w:pPr>
      <w:r w:rsidRPr="006A673E">
        <w:tab/>
        <w:t>1.</w:t>
      </w:r>
      <w:r w:rsidRPr="006A673E">
        <w:tab/>
        <w:t>est établie en Autriche et produit des équipements électriques ou électroniques ou a conçu et produit et vend de tels équipements sous sa marque ou</w:t>
      </w:r>
    </w:p>
    <w:p w14:paraId="338C6459" w14:textId="77777777" w:rsidR="00D00167" w:rsidRPr="006A673E" w:rsidRDefault="00D00167" w:rsidP="001307A3">
      <w:pPr>
        <w:pStyle w:val="52Aufzaehle1Ziffer"/>
      </w:pPr>
      <w:r w:rsidRPr="006A673E">
        <w:tab/>
        <w:t>2.</w:t>
      </w:r>
      <w:r w:rsidRPr="006A673E">
        <w:tab/>
        <w:t>est établi en Autriche et revend le matériel d’autres fournisseurs sous sa marque, auquel cas le revendeur ne doit pas être considéré comme le producteur, à condition que la marque du producteur soit apposée sur l’équipement conformément au sous-paragraphe 1 ou</w:t>
      </w:r>
    </w:p>
    <w:p w14:paraId="2BF26A79" w14:textId="77777777" w:rsidR="00D00167" w:rsidRPr="006A673E" w:rsidRDefault="00D00167" w:rsidP="001307A3">
      <w:pPr>
        <w:pStyle w:val="52Aufzaehle1Ziffer"/>
      </w:pPr>
      <w:r w:rsidRPr="006A673E">
        <w:tab/>
        <w:t>3.</w:t>
      </w:r>
      <w:r w:rsidRPr="006A673E">
        <w:tab/>
        <w:t>est établie en Autriche et importe des équipements électriques ou électroniques en Autriche à des fins commerciales ou l’exporte depuis l’Autriche pour la fourniture aux consommateurs finaux ou</w:t>
      </w:r>
    </w:p>
    <w:p w14:paraId="0DEB6A05" w14:textId="4AB0BC26" w:rsidR="00D00167" w:rsidRPr="006A673E" w:rsidRDefault="008276F6" w:rsidP="001307A3">
      <w:pPr>
        <w:pStyle w:val="52Aufzaehle2Lit"/>
      </w:pPr>
      <w:r w:rsidRPr="006A673E">
        <w:t xml:space="preserve">         </w:t>
      </w:r>
      <w:r w:rsidR="00D00167" w:rsidRPr="006A673E">
        <w:t>4.</w:t>
      </w:r>
      <w:r w:rsidR="00D00167" w:rsidRPr="006A673E">
        <w:tab/>
        <w:t>a) distribue des équipements électriques ou électroniques en Autriche, mais non aux consommateurs finals,</w:t>
      </w:r>
    </w:p>
    <w:p w14:paraId="1B4EEEED" w14:textId="77777777" w:rsidR="00D00167" w:rsidRPr="006A673E" w:rsidRDefault="00D00167" w:rsidP="001307A3">
      <w:pPr>
        <w:pStyle w:val="52Aufzaehle2Lit"/>
      </w:pPr>
      <w:r w:rsidRPr="006A673E">
        <w:tab/>
        <w:t>b)</w:t>
      </w:r>
      <w:r w:rsidRPr="006A673E">
        <w:tab/>
        <w:t>a son siège statutaire dans un autre État membre de l’Union européenne, et</w:t>
      </w:r>
    </w:p>
    <w:p w14:paraId="3E30BAE9" w14:textId="77777777" w:rsidR="00D00167" w:rsidRPr="006A673E" w:rsidRDefault="00D00167" w:rsidP="001307A3">
      <w:pPr>
        <w:pStyle w:val="52Aufzaehle2Lit"/>
      </w:pPr>
      <w:r w:rsidRPr="006A673E">
        <w:tab/>
        <w:t>c)</w:t>
      </w:r>
      <w:r w:rsidRPr="006A673E">
        <w:tab/>
        <w:t>a désigné un représentant autorisé conformément à une ordonnance en vertu de l'article 12b (1) pour s'acquitter des obligations découlant d'une ordonnance en vertu de l'article 14, ou</w:t>
      </w:r>
    </w:p>
    <w:p w14:paraId="6E7F5B0D" w14:textId="77777777" w:rsidR="00D00167" w:rsidRPr="006A673E" w:rsidRDefault="00D00167" w:rsidP="001307A3">
      <w:pPr>
        <w:pStyle w:val="52Aufzaehle1Ziffer"/>
      </w:pPr>
      <w:r w:rsidRPr="006A673E">
        <w:tab/>
        <w:t>5.</w:t>
      </w:r>
      <w:r w:rsidRPr="006A673E">
        <w:tab/>
        <w:t>distribue des équipements électriques ou électroniques en Autriche directement aux consommateurs finals sur une base professionnelle au moyen de communications à distance et est établi dans un autre État membre ou dans un pays tiers.</w:t>
      </w:r>
    </w:p>
    <w:p w14:paraId="26D4FCD5" w14:textId="77777777" w:rsidR="00D00167" w:rsidRPr="006A673E" w:rsidRDefault="00D00167" w:rsidP="001307A3">
      <w:pPr>
        <w:pStyle w:val="51Abs"/>
      </w:pPr>
      <w:r w:rsidRPr="006A673E">
        <w:t>(2) Les producteurs de batteries d’appareils ou de véhicules, de batteries ou d’accumulateurs industriels sont considérés comme étant :</w:t>
      </w:r>
    </w:p>
    <w:p w14:paraId="53F43BA3" w14:textId="77777777" w:rsidR="00D00167" w:rsidRPr="006A673E" w:rsidRDefault="00D00167" w:rsidP="001307A3">
      <w:pPr>
        <w:pStyle w:val="52Aufzaehle1Ziffer"/>
      </w:pPr>
      <w:r w:rsidRPr="006A673E">
        <w:tab/>
        <w:t>1.</w:t>
      </w:r>
      <w:r w:rsidRPr="006A673E">
        <w:tab/>
        <w:t>toute personne ayant son siège statutaire ou son lieu d’établissement dans le champ d’application géographique de la présente loi fédérale qui, indépendamment du mode de vente, y compris les ventes à distance au sens de l’article 3,point 2 FAGG, met des piles ou des accumulateurs sur le marché en Autriche sur une base commerciale pour la première fois, y compris des piles ou accumulateurs incorporés dans des appareils ou des véhicules ;</w:t>
      </w:r>
    </w:p>
    <w:p w14:paraId="5BA0C843" w14:textId="77777777" w:rsidR="00D00167" w:rsidRPr="006A673E" w:rsidRDefault="00D00167" w:rsidP="001307A3">
      <w:pPr>
        <w:pStyle w:val="52Aufzaehle1Ziffer"/>
      </w:pPr>
      <w:r w:rsidRPr="006A673E">
        <w:tab/>
        <w:t>2.</w:t>
      </w:r>
      <w:r w:rsidRPr="006A673E">
        <w:tab/>
        <w:t>toute personne qui</w:t>
      </w:r>
    </w:p>
    <w:p w14:paraId="422F8955" w14:textId="77777777" w:rsidR="00D00167" w:rsidRPr="006A673E" w:rsidRDefault="00D00167" w:rsidP="001307A3">
      <w:pPr>
        <w:pStyle w:val="52Aufzaehle2Lit"/>
      </w:pPr>
      <w:r w:rsidRPr="006A673E">
        <w:tab/>
        <w:t>a)</w:t>
      </w:r>
      <w:r w:rsidRPr="006A673E">
        <w:tab/>
        <w:t>distribue commercialement des appareils, des véhicules ou des batteries ou accumulateurs industriels en Autriche, mais pas aux consommateurs finaux ;</w:t>
      </w:r>
    </w:p>
    <w:p w14:paraId="34B4574C" w14:textId="77777777" w:rsidR="00D00167" w:rsidRPr="006A673E" w:rsidRDefault="00D00167" w:rsidP="001307A3">
      <w:pPr>
        <w:pStyle w:val="52Aufzaehle2Lit"/>
      </w:pPr>
      <w:r w:rsidRPr="006A673E">
        <w:tab/>
        <w:t>b)</w:t>
      </w:r>
      <w:r w:rsidRPr="006A673E">
        <w:tab/>
        <w:t>a son siège statutaire dans un autre État membre de l’Union européenne, et</w:t>
      </w:r>
    </w:p>
    <w:p w14:paraId="0585DB26" w14:textId="77777777" w:rsidR="00D00167" w:rsidRPr="006A673E" w:rsidRDefault="00D00167" w:rsidP="001307A3">
      <w:pPr>
        <w:pStyle w:val="52Aufzaehle2Lit"/>
      </w:pPr>
      <w:r w:rsidRPr="006A673E">
        <w:tab/>
        <w:t>c)</w:t>
      </w:r>
      <w:r w:rsidRPr="006A673E">
        <w:tab/>
        <w:t>a désigné un représentant autorisé conformément à une ordonnance en vertu de l'article 12b (1) pour s'acquitter des obligations découlant d'une ordonnance en vertu de l'article 14, ou</w:t>
      </w:r>
    </w:p>
    <w:p w14:paraId="7B3500CA" w14:textId="77777777" w:rsidR="00D00167" w:rsidRPr="006A673E" w:rsidRDefault="00D00167" w:rsidP="001307A3">
      <w:pPr>
        <w:pStyle w:val="52Aufzaehle1Ziffer"/>
      </w:pPr>
      <w:r w:rsidRPr="006A673E">
        <w:tab/>
        <w:t>3.</w:t>
      </w:r>
      <w:r w:rsidRPr="006A673E">
        <w:tab/>
        <w:t>toute personne qui distribue commercialement des appareils, des véhicules ou des batteries ou accumulateurs industriels en Autriche directement aux consommateurs finals au moyen de technologies de communication à distance et qui est établie dans un autre État membre ou dans un pays tiers.</w:t>
      </w:r>
    </w:p>
    <w:p w14:paraId="3B6C4A3B" w14:textId="77777777" w:rsidR="00D00167" w:rsidRPr="006A673E" w:rsidRDefault="00D00167" w:rsidP="001307A3">
      <w:pPr>
        <w:pStyle w:val="51Abs"/>
      </w:pPr>
      <w:r w:rsidRPr="006A673E">
        <w:t>(3) Le producteur de véhicules est considéré comme :</w:t>
      </w:r>
    </w:p>
    <w:p w14:paraId="44689539" w14:textId="77777777" w:rsidR="00D00167" w:rsidRPr="006A673E" w:rsidRDefault="00D00167" w:rsidP="001307A3">
      <w:pPr>
        <w:pStyle w:val="52Aufzaehle1Ziffer"/>
      </w:pPr>
      <w:r w:rsidRPr="006A673E">
        <w:tab/>
        <w:t>1.</w:t>
      </w:r>
      <w:r w:rsidRPr="006A673E">
        <w:tab/>
        <w:t>toute personne agissant en tant que producteur de véhicule en apposant sur le véhicule son nom, sa marque ou toute autre marque d’identification,</w:t>
      </w:r>
    </w:p>
    <w:p w14:paraId="7B3172BC" w14:textId="77777777" w:rsidR="00D00167" w:rsidRPr="006A673E" w:rsidRDefault="00D00167" w:rsidP="001307A3">
      <w:pPr>
        <w:pStyle w:val="52Aufzaehle1Ziffer"/>
      </w:pPr>
      <w:r w:rsidRPr="006A673E">
        <w:tab/>
        <w:t>2.</w:t>
      </w:r>
      <w:r w:rsidRPr="006A673E">
        <w:tab/>
        <w:t>toute personne qui importe des véhicules commercialement en Autriche ; en tout état de cause, l’importation de plus de cinq véhicules par année civile par une personne est réputée commerciale,</w:t>
      </w:r>
    </w:p>
    <w:p w14:paraId="330B9DFE" w14:textId="77777777" w:rsidR="00D00167" w:rsidRPr="006A673E" w:rsidRDefault="00D00167" w:rsidP="001307A3">
      <w:pPr>
        <w:pStyle w:val="52Aufzaehle1Ziffer"/>
      </w:pPr>
      <w:r w:rsidRPr="006A673E">
        <w:lastRenderedPageBreak/>
        <w:tab/>
        <w:t>3.</w:t>
      </w:r>
      <w:r w:rsidRPr="006A673E">
        <w:tab/>
        <w:t>toute personne qui</w:t>
      </w:r>
    </w:p>
    <w:p w14:paraId="5FB8F150" w14:textId="77777777" w:rsidR="00D00167" w:rsidRPr="006A673E" w:rsidRDefault="00D00167" w:rsidP="001307A3">
      <w:pPr>
        <w:pStyle w:val="52Aufzaehle2Lit"/>
      </w:pPr>
      <w:r w:rsidRPr="006A673E">
        <w:tab/>
        <w:t>a)</w:t>
      </w:r>
      <w:r w:rsidRPr="006A673E">
        <w:tab/>
        <w:t>distribue des véhicules en Autriche, mais pas aux consommateurs finaux,</w:t>
      </w:r>
    </w:p>
    <w:p w14:paraId="550E744F" w14:textId="77777777" w:rsidR="00D00167" w:rsidRPr="006A673E" w:rsidRDefault="00D00167" w:rsidP="001307A3">
      <w:pPr>
        <w:pStyle w:val="52Aufzaehle2Lit"/>
      </w:pPr>
      <w:r w:rsidRPr="006A673E">
        <w:tab/>
        <w:t>b)</w:t>
      </w:r>
      <w:r w:rsidRPr="006A673E">
        <w:tab/>
        <w:t>a son siège statutaire dans un autre État membre de l’Union européenne, et</w:t>
      </w:r>
    </w:p>
    <w:p w14:paraId="2690EA45" w14:textId="77777777" w:rsidR="00D00167" w:rsidRPr="006A673E" w:rsidRDefault="00D00167" w:rsidP="001307A3">
      <w:pPr>
        <w:pStyle w:val="52Aufzaehle2Lit"/>
      </w:pPr>
      <w:r w:rsidRPr="006A673E">
        <w:tab/>
        <w:t>c)</w:t>
      </w:r>
      <w:r w:rsidRPr="006A673E">
        <w:tab/>
        <w:t>a désigné un représentant autorisé conformément à une ordonnance en vertu de l'article 12b (1) pour s'acquitter des obligations découlant d'une ordonnance en vertu de l'article 14, ou</w:t>
      </w:r>
    </w:p>
    <w:p w14:paraId="20781E4D" w14:textId="77777777" w:rsidR="00D00167" w:rsidRPr="006A673E" w:rsidRDefault="00D00167" w:rsidP="001307A3">
      <w:pPr>
        <w:pStyle w:val="52Aufzaehle1Ziffer"/>
      </w:pPr>
      <w:r w:rsidRPr="006A673E">
        <w:tab/>
        <w:t>4.</w:t>
      </w:r>
      <w:r w:rsidRPr="006A673E">
        <w:tab/>
        <w:t>toute personne qui distribue commercialement des véhicules en Autriche au moyen de technologies de communication à distance directement à des consommateurs privés et qui est établie dans un autre État membre ou dans un pays tiers.</w:t>
      </w:r>
    </w:p>
    <w:p w14:paraId="3B2F4385" w14:textId="77777777" w:rsidR="00D00167" w:rsidRPr="006A673E" w:rsidRDefault="00D00167" w:rsidP="001307A3">
      <w:pPr>
        <w:pStyle w:val="51Abs"/>
      </w:pPr>
      <w:r w:rsidRPr="006A673E">
        <w:t>(4) Sont considérés comme producteurs de produits plastiques à usage unique, conformément à une ordonnance en vertu de l’article 14, à l’exclusion de l’emballage :</w:t>
      </w:r>
    </w:p>
    <w:p w14:paraId="1F3E0D1A" w14:textId="77777777" w:rsidR="00D00167" w:rsidRPr="006A673E" w:rsidRDefault="00D00167" w:rsidP="001307A3">
      <w:pPr>
        <w:pStyle w:val="52Aufzaehle1Ziffer"/>
      </w:pPr>
      <w:r w:rsidRPr="006A673E">
        <w:tab/>
        <w:t>1.</w:t>
      </w:r>
      <w:r w:rsidRPr="006A673E">
        <w:tab/>
        <w:t>toute personne ayant son siège statutaire ou son lieu d’établissement dans le champ d’application géographique de la présente loi fédérale qui, indépendamment du mode de vente, y compris les ventes à distance au sens de l’article 3, point 2 FAGG, met sur le marché, pour la première fois en Autriche, des produits plastiques à usage unique, à l’exclusion des emballages,</w:t>
      </w:r>
    </w:p>
    <w:p w14:paraId="2A89525F" w14:textId="77777777" w:rsidR="00D00167" w:rsidRPr="006A673E" w:rsidRDefault="00D00167" w:rsidP="001307A3">
      <w:pPr>
        <w:pStyle w:val="52Aufzaehle1Ziffer"/>
      </w:pPr>
      <w:r w:rsidRPr="006A673E">
        <w:tab/>
        <w:t>2.</w:t>
      </w:r>
      <w:r w:rsidRPr="006A673E">
        <w:tab/>
        <w:t>toute personne qui :</w:t>
      </w:r>
    </w:p>
    <w:p w14:paraId="7129DBA1" w14:textId="77777777" w:rsidR="00D00167" w:rsidRPr="006A673E" w:rsidRDefault="00D00167" w:rsidP="001307A3">
      <w:pPr>
        <w:pStyle w:val="52Aufzaehle2Lit"/>
      </w:pPr>
      <w:r w:rsidRPr="006A673E">
        <w:tab/>
        <w:t>a)</w:t>
      </w:r>
      <w:r w:rsidRPr="006A673E">
        <w:tab/>
        <w:t>distribue des produits plastiques à usage unique, à l’exception de l’emballage, commercialement en Autriche, mais non aux consommateurs finaux privés,</w:t>
      </w:r>
    </w:p>
    <w:p w14:paraId="6DDB9683" w14:textId="77777777" w:rsidR="00D00167" w:rsidRPr="006A673E" w:rsidRDefault="00D00167" w:rsidP="001307A3">
      <w:pPr>
        <w:pStyle w:val="52Aufzaehle2Lit"/>
      </w:pPr>
      <w:r w:rsidRPr="006A673E">
        <w:tab/>
        <w:t>b)</w:t>
      </w:r>
      <w:r w:rsidRPr="006A673E">
        <w:tab/>
        <w:t>a son siège statutaire dans un autre État membre de l’Union européenne, et</w:t>
      </w:r>
    </w:p>
    <w:p w14:paraId="1C2A1681" w14:textId="77777777" w:rsidR="00D00167" w:rsidRPr="006A673E" w:rsidRDefault="00D00167" w:rsidP="001307A3">
      <w:pPr>
        <w:pStyle w:val="52Aufzaehle2Lit"/>
      </w:pPr>
      <w:r w:rsidRPr="006A673E">
        <w:tab/>
        <w:t>c)</w:t>
      </w:r>
      <w:r w:rsidRPr="006A673E">
        <w:tab/>
        <w:t>a désigné un représentant autorisé conformément à une ordonnance en vertu de l'article 12b (1) pour s'acquitter des obligations découlant d'une ordonnance en vertu de l'article 14, ou</w:t>
      </w:r>
    </w:p>
    <w:p w14:paraId="15AE1088" w14:textId="77777777" w:rsidR="00D00167" w:rsidRPr="006A673E" w:rsidRDefault="00D00167" w:rsidP="001307A3">
      <w:pPr>
        <w:pStyle w:val="52Aufzaehle1Ziffer"/>
      </w:pPr>
      <w:r w:rsidRPr="006A673E">
        <w:tab/>
        <w:t>3.</w:t>
      </w:r>
      <w:r w:rsidRPr="006A673E">
        <w:tab/>
        <w:t>toute personne qui distribue des produits plastiques à usage unique, à l’exception de l’emballage, commercialement en Autriche au moyen de technologies de communication à distance directement aux consommateurs finaux privés et qui est établie dans un autre État membre ou dans un pays tiers.</w:t>
      </w:r>
    </w:p>
    <w:p w14:paraId="51BCF7B0" w14:textId="77777777" w:rsidR="00D00167" w:rsidRPr="006A673E" w:rsidRDefault="00D00167" w:rsidP="001307A3">
      <w:pPr>
        <w:pStyle w:val="51Abs"/>
      </w:pPr>
      <w:r w:rsidRPr="006A673E">
        <w:t>(5) Sont considérés comme producteurs de l’équipement de pêche contenant du plastique, conformément à une ordonnance en vertu de l’article 14 :</w:t>
      </w:r>
    </w:p>
    <w:p w14:paraId="59770350" w14:textId="77777777" w:rsidR="00D00167" w:rsidRPr="006A673E" w:rsidRDefault="00D00167" w:rsidP="001307A3">
      <w:pPr>
        <w:pStyle w:val="52Aufzaehle1Ziffer"/>
      </w:pPr>
      <w:r w:rsidRPr="006A673E">
        <w:tab/>
        <w:t>1.</w:t>
      </w:r>
      <w:r w:rsidRPr="006A673E">
        <w:tab/>
        <w:t>toute personne ayant son siège statutaire ou son lieu d’établissement dans le champ d’application géographique de la présente loi fédérale qui, indépendamment du mode de vente, y compris les ventes à distance au sens de l’article 3, point 2 FAGG, produit à des fins commerciales ou importe du matériel de pêche contenant du plastique pour la première fois en Autriche,</w:t>
      </w:r>
    </w:p>
    <w:p w14:paraId="45C6EEE0" w14:textId="77777777" w:rsidR="00D00167" w:rsidRPr="006A673E" w:rsidRDefault="00D00167" w:rsidP="001307A3">
      <w:pPr>
        <w:pStyle w:val="52Aufzaehle1Ziffer"/>
      </w:pPr>
      <w:r w:rsidRPr="006A673E">
        <w:tab/>
        <w:t>2.</w:t>
      </w:r>
      <w:r w:rsidRPr="006A673E">
        <w:tab/>
        <w:t>toute personne qui :</w:t>
      </w:r>
    </w:p>
    <w:p w14:paraId="7BC6E6E8" w14:textId="77777777" w:rsidR="00D00167" w:rsidRPr="006A673E" w:rsidRDefault="00D00167" w:rsidP="001307A3">
      <w:pPr>
        <w:pStyle w:val="52Aufzaehle2Lit"/>
      </w:pPr>
      <w:r w:rsidRPr="006A673E">
        <w:tab/>
        <w:t>a)</w:t>
      </w:r>
      <w:r w:rsidRPr="006A673E">
        <w:tab/>
        <w:t>distribue commercialement de l’équipement de pêche contenant du plastique en Autriche, mais non aux consommateurs privés,</w:t>
      </w:r>
    </w:p>
    <w:p w14:paraId="189542D4" w14:textId="77777777" w:rsidR="00D00167" w:rsidRPr="006A673E" w:rsidRDefault="00D00167" w:rsidP="001307A3">
      <w:pPr>
        <w:pStyle w:val="52Aufzaehle2Lit"/>
      </w:pPr>
      <w:r w:rsidRPr="006A673E">
        <w:tab/>
        <w:t>b)</w:t>
      </w:r>
      <w:r w:rsidRPr="006A673E">
        <w:tab/>
        <w:t>a son siège statutaire dans un autre État membre de l’Union européenne, et</w:t>
      </w:r>
    </w:p>
    <w:p w14:paraId="31316BE6" w14:textId="77777777" w:rsidR="00D00167" w:rsidRPr="006A673E" w:rsidRDefault="00D00167" w:rsidP="001307A3">
      <w:pPr>
        <w:pStyle w:val="52Aufzaehle2Lit"/>
      </w:pPr>
      <w:r w:rsidRPr="006A673E">
        <w:tab/>
        <w:t>c)</w:t>
      </w:r>
      <w:r w:rsidRPr="006A673E">
        <w:tab/>
        <w:t>a désigné un représentant autorisé conformément à une ordonnance en vertu de l'article 12b (1) pour s'acquitter des obligations découlant d'une ordonnance en vertu de l'article 14, ou</w:t>
      </w:r>
    </w:p>
    <w:p w14:paraId="500528D3" w14:textId="77777777" w:rsidR="00D00167" w:rsidRPr="006A673E" w:rsidRDefault="00D00167" w:rsidP="001307A3">
      <w:pPr>
        <w:pStyle w:val="52Aufzaehle1Ziffer"/>
      </w:pPr>
      <w:r w:rsidRPr="006A673E">
        <w:tab/>
        <w:t>3.</w:t>
      </w:r>
      <w:r w:rsidRPr="006A673E">
        <w:tab/>
        <w:t>toute personne qui distribue commercialement de l’équipement de pêche contenant du plastique en Autriche au moyen de technologies de communication à distance directement à des consommateurs privés et qui est établie dans un autre État membre ou dans un pays tiers.</w:t>
      </w:r>
    </w:p>
    <w:p w14:paraId="70FC116C" w14:textId="77777777" w:rsidR="00D00167" w:rsidRPr="006A673E" w:rsidRDefault="00D00167" w:rsidP="001307A3">
      <w:pPr>
        <w:pStyle w:val="58Schlussteile0Abs"/>
      </w:pPr>
      <w:r w:rsidRPr="006A673E">
        <w:t>Les personnes exerçant des activités de pêche au sens de l’article 4, paragraphe 28, du Règlement (UE) n° 1380/2013 relatif à la Politique commune de la pêche et modifiant les Règlements (CE) n° 1954/2003 et (CE) n° 1224/2009 et abrogeant les Règlements (CE) n° 2371/2002 et (CE) n° 639/2004 et la Décision 2004/585/CE, JO L 354 du 28/12/2013, p.22, ne sont pas considérées comme des producteurs d’équipement de pêche.</w:t>
      </w:r>
    </w:p>
    <w:p w14:paraId="11355639" w14:textId="77777777" w:rsidR="00D00167" w:rsidRPr="006A673E" w:rsidRDefault="00D00167" w:rsidP="001307A3">
      <w:pPr>
        <w:pStyle w:val="45UeberschrPara"/>
      </w:pPr>
      <w:r w:rsidRPr="006A673E">
        <w:t>Représentant autorisé</w:t>
      </w:r>
    </w:p>
    <w:p w14:paraId="46397118" w14:textId="77777777" w:rsidR="00D00167" w:rsidRPr="006A673E" w:rsidRDefault="00D00167" w:rsidP="001307A3">
      <w:pPr>
        <w:pStyle w:val="51Abs"/>
      </w:pPr>
      <w:r w:rsidRPr="006A673E">
        <w:rPr>
          <w:rStyle w:val="991GldSymbol"/>
        </w:rPr>
        <w:t>Article 12 ter.</w:t>
      </w:r>
      <w:r w:rsidRPr="006A673E">
        <w:t xml:space="preserve"> (1) Les producteurs en vertu des articles 12 bis, paragraphe 1, point 5, paragraphe 2, point 3, paragraphe 3, point 4, paragraphe 4, point 3, paragraphe 5, point 3, et les principales entités obligées en vertu de l’article 13 octies, paragraphe 1, point 5, désignent un représentant autorisé pour les commerçants étrangers à distance qui est chargé de s’acquitter de leurs obligations conformément à une ordonnance en vertu de l’article 14 en Autriche.</w:t>
      </w:r>
    </w:p>
    <w:p w14:paraId="24B47BE3" w14:textId="77777777" w:rsidR="00D00167" w:rsidRPr="006A673E" w:rsidRDefault="00D00167" w:rsidP="001307A3">
      <w:pPr>
        <w:pStyle w:val="51Abs"/>
      </w:pPr>
      <w:r w:rsidRPr="006A673E">
        <w:t>(2) Producteurs conformément aux articles 12 a(1)(4), (2)(2), (3)(3), (4)(2), (5)(2) et aux personnes qui</w:t>
      </w:r>
    </w:p>
    <w:p w14:paraId="3B0188F5" w14:textId="77777777" w:rsidR="00D00167" w:rsidRPr="006A673E" w:rsidRDefault="00D00167" w:rsidP="001307A3">
      <w:pPr>
        <w:pStyle w:val="52Aufzaehle1Ziffer"/>
      </w:pPr>
      <w:r w:rsidRPr="006A673E">
        <w:tab/>
        <w:t>1.</w:t>
      </w:r>
      <w:r w:rsidRPr="006A673E">
        <w:tab/>
        <w:t>ont leur siège statutaire dans un autre État membre de l’Union européenne, et</w:t>
      </w:r>
    </w:p>
    <w:p w14:paraId="44F00282" w14:textId="77777777" w:rsidR="00D00167" w:rsidRPr="006A673E" w:rsidRDefault="00D00167" w:rsidP="001307A3">
      <w:pPr>
        <w:pStyle w:val="52Aufzaehle1Ziffer"/>
      </w:pPr>
      <w:r w:rsidRPr="006A673E">
        <w:tab/>
        <w:t>2.</w:t>
      </w:r>
      <w:r w:rsidRPr="006A673E">
        <w:tab/>
        <w:t>distribuent des emballages, y compris des emballages de service, ou des produits emballés en Autriche, aux consommateurs finals privés,</w:t>
      </w:r>
    </w:p>
    <w:p w14:paraId="469D1775" w14:textId="77777777" w:rsidR="00D00167" w:rsidRPr="006A673E" w:rsidRDefault="00D00167" w:rsidP="001307A3">
      <w:pPr>
        <w:pStyle w:val="58Schlussteile0Abs"/>
      </w:pPr>
      <w:r w:rsidRPr="006A673E">
        <w:lastRenderedPageBreak/>
        <w:t>peuvent, conformément à une ordonnance en vertu du paragraphe (6), désigner un représentant autorisé pour s’acquitter des obligations qui leur incombent en vertu d’une ordonnance en vertu de l’article 14.</w:t>
      </w:r>
    </w:p>
    <w:p w14:paraId="1399C25E" w14:textId="77777777" w:rsidR="00D00167" w:rsidRPr="006A673E" w:rsidRDefault="00D00167" w:rsidP="001307A3">
      <w:pPr>
        <w:pStyle w:val="51Abs"/>
      </w:pPr>
      <w:r w:rsidRPr="006A673E">
        <w:t>(3) Les personnes physiques et morales domiciliées en Autriche qui ont l’intention d’agir en qualité de représentants autorisés conformément à une ordonnance en vertu du paragraphe (1) le notifient au ministre fédéral de l’action pour le climat, de l’environnement, de l’énergie, de la mobilité, de l’innovation et de la technologie, en indiquant que les conditions prévues par une ordonnance en vertu du paragraphe (1) sont remplies pour être identifiées comme mandataires et s’inscrivent, ainsi que tout producteur autorisé par eux, dans le registre conformément à l’article 22(1), spécifiant les données conformément à l'article 21 (1) sous-paragraphes 1 à 8. Si les conditions sont remplies, le Ministre fédéral de l’action pour le climat, de l’environnement, de l’énergie, de la mobilité, de l’innovation et de la technologie identifie les représentants autorisés dans le registre conformément à l’article 22, paragraphe 1. Les représentants autorisés doivent immédiatement en informer le ministre fédéral de l’action pour le climat, de l’environnement, de l’énergie, de la mobilité, de l’innovation et de la technologie si une condition d’enregistrement n’est plus remplie. Sur demande, le Ministre fédéral de l’action pour le climat, de l’environnement, de l’énergie, de la mobilité, de l’innovation et de la technologie rend une décision sur le refus d’une telle identification ou si une condition n’est plus remplie conformément au paragraphe 1 et la suppression de l’identification qui y est associée. Le recours contre la décision n’a pas d’effet suspensif.</w:t>
      </w:r>
    </w:p>
    <w:p w14:paraId="0CC241FB" w14:textId="77777777" w:rsidR="00D00167" w:rsidRPr="006A673E" w:rsidRDefault="00D00167" w:rsidP="001307A3">
      <w:pPr>
        <w:pStyle w:val="51Abs"/>
      </w:pPr>
      <w:r w:rsidRPr="006A673E">
        <w:t>(4) La nomination d’un représentant autorisé, les modifications ou la résiliation d’une autorisation ne peuvent prendre effet qu’à l’expiration d’un trimestre civil.</w:t>
      </w:r>
    </w:p>
    <w:p w14:paraId="1369E5A5" w14:textId="77777777" w:rsidR="00D00167" w:rsidRPr="006A673E" w:rsidRDefault="00D00167" w:rsidP="001307A3">
      <w:pPr>
        <w:pStyle w:val="51Abs"/>
      </w:pPr>
      <w:r w:rsidRPr="006A673E">
        <w:t>(5) Afin de satisfaire aux obligations découlant de l’article 14 de l’ordonnance, le producteur ne peut désigner dans chaque cas qu’un seul mandataire. La désignation d’un mandataire autorisé ne peut être faite que globalement pour la catégorie de produits spécifiée dans une ordonnance en vertu de l’article 14. La désignation d’un mandataire autorisé doit être effectuée directement par le producteur. La nomination ne peut être transférée à une tierce personne que si la tierce personne peut présenter une autorisation expresse et certifiée du producteur. Pour les transferts existants de la nomination à un tiers sans autorisation expresse et certifiée du producteur, l’autorisation est présentée au plus tard le 1er juillet 2022.</w:t>
      </w:r>
    </w:p>
    <w:p w14:paraId="609BABE7" w14:textId="77777777" w:rsidR="00D00167" w:rsidRPr="006A673E" w:rsidRDefault="00D00167" w:rsidP="001307A3">
      <w:pPr>
        <w:pStyle w:val="51Abs"/>
      </w:pPr>
      <w:r w:rsidRPr="006A673E">
        <w:t>(6) Le Ministre fédéral de l’action pour le climat, de l’environnement, de l’énergie, de la mobilité, de l’innovation et de la technologie est autorisé à définir par voie d’ordonnance d’autres dispositions concernant la désignation et les obligations d’un représentant autorisé des producteurs en vertu des articles 12 a, paragraphe 1, sous-paragraphes 4 et 5, paragraphe 2, sous-paragraphe 2 et 3, paragraphe 3, sous-paragraphes 3 et 4, paragraphe 4, sous-paragraphes 2 et 3 et paragraphe 5, sous-paragraphes 2 et 3 ainsi que de l’article 13 g, paragraphe 1, sous-paragraphe 5. »</w:t>
      </w:r>
    </w:p>
    <w:p w14:paraId="4F1EA944" w14:textId="77777777" w:rsidR="00D00167" w:rsidRPr="006A673E" w:rsidRDefault="00D00167" w:rsidP="001307A3">
      <w:pPr>
        <w:pStyle w:val="45UeberschrPara"/>
      </w:pPr>
      <w:r w:rsidRPr="006A673E">
        <w:t>Obligations pour les marchés électroniques et les prestataires de services d’exécution</w:t>
      </w:r>
    </w:p>
    <w:p w14:paraId="66506234" w14:textId="77777777" w:rsidR="00D00167" w:rsidRPr="006A673E" w:rsidRDefault="00D00167" w:rsidP="001307A3">
      <w:pPr>
        <w:pStyle w:val="51Abs"/>
      </w:pPr>
      <w:r w:rsidRPr="006A673E">
        <w:rPr>
          <w:rStyle w:val="991GldSymbol"/>
        </w:rPr>
        <w:t>Article 12 quater.</w:t>
      </w:r>
      <w:r w:rsidRPr="006A673E">
        <w:t xml:space="preserve"> (1) Les opérateurs de places de marché électroniques - à savoir les personnes physiques ou morales ou les sociétés de personnes qui maintiennent une place de marché électronique (un site internet ou tout autre outil par lequel des informations sont mises à disposition via internet) et permettent à des tiers d’offrir ou de fournir des produits en Autriche sur ce marché - doivent, dans les contrats conclus avec</w:t>
      </w:r>
    </w:p>
    <w:p w14:paraId="34D45030" w14:textId="77777777" w:rsidR="00D00167" w:rsidRPr="006A673E" w:rsidRDefault="00D00167" w:rsidP="001307A3">
      <w:pPr>
        <w:pStyle w:val="52Aufzaehle1Ziffer"/>
      </w:pPr>
      <w:r w:rsidRPr="006A673E">
        <w:tab/>
        <w:t>1.</w:t>
      </w:r>
      <w:r w:rsidRPr="006A673E">
        <w:tab/>
        <w:t>les entités tenues à titre primaire pour l’emballage conformément à l’article 13 octies, paragraphe 1,</w:t>
      </w:r>
    </w:p>
    <w:p w14:paraId="50151F79" w14:textId="77777777" w:rsidR="00D00167" w:rsidRPr="006A673E" w:rsidRDefault="00D00167" w:rsidP="001307A3">
      <w:pPr>
        <w:pStyle w:val="52Aufzaehle1Ziffer"/>
      </w:pPr>
      <w:r w:rsidRPr="006A673E">
        <w:tab/>
        <w:t>2.</w:t>
      </w:r>
      <w:r w:rsidRPr="006A673E">
        <w:tab/>
        <w:t>les producteurs de produits en plastique à usage unique conformément à l’article 12 bis, paragraphe 4,</w:t>
      </w:r>
    </w:p>
    <w:p w14:paraId="55653D39" w14:textId="77777777" w:rsidR="00D00167" w:rsidRPr="006A673E" w:rsidRDefault="00D00167" w:rsidP="001307A3">
      <w:pPr>
        <w:pStyle w:val="52Aufzaehle1Ziffer"/>
      </w:pPr>
      <w:r w:rsidRPr="006A673E">
        <w:tab/>
        <w:t>3.</w:t>
      </w:r>
      <w:r w:rsidRPr="006A673E">
        <w:tab/>
        <w:t>les producteurs d’équipements électriques et électroniques conformément à l’article 12 bis, paragraphe 1, points 1 à 3 et 5, et</w:t>
      </w:r>
    </w:p>
    <w:p w14:paraId="27EA8C80" w14:textId="77777777" w:rsidR="00D00167" w:rsidRPr="006A673E" w:rsidRDefault="00D00167" w:rsidP="001307A3">
      <w:pPr>
        <w:pStyle w:val="52Aufzaehle1Ziffer"/>
      </w:pPr>
      <w:r w:rsidRPr="006A673E">
        <w:tab/>
        <w:t>4.</w:t>
      </w:r>
      <w:r w:rsidRPr="006A673E">
        <w:tab/>
        <w:t>les producteurs de batteries d’appareils conformément à l’article 12 bis, paragraphe 2</w:t>
      </w:r>
    </w:p>
    <w:p w14:paraId="6C1CC757" w14:textId="77777777" w:rsidR="00D00167" w:rsidRPr="006A673E" w:rsidRDefault="00D00167" w:rsidP="001307A3">
      <w:pPr>
        <w:pStyle w:val="58Schlussteile0Abs"/>
      </w:pPr>
      <w:r w:rsidRPr="006A673E">
        <w:t>veillent à ce que, lorsque les produits concernés sont mis sur le marché en Autriche, ces producteurs ou entités primaires tenues respectent les exigences de l’article 13 bis, paragraphe 1, et les exigences respectives d’une ordonnance en vertu de l’article 14, paragraphe 1, concernant la collecte et la récupération conformément à l’article 13 bis, paragraphes 3 et 4, et l’obligation de participer à un système de collecte et de valorisation conformément à l’article 13 octies, paragraphe 2. Si cela n’est pas garanti, l’opérateur du marché électronique exclut le producteur concerné ou l’entité obligée principale de l’utilisation du marché électronique.</w:t>
      </w:r>
    </w:p>
    <w:p w14:paraId="27184154" w14:textId="77777777" w:rsidR="00D00167" w:rsidRPr="006A673E" w:rsidRDefault="00D00167" w:rsidP="001307A3">
      <w:pPr>
        <w:pStyle w:val="51Abs"/>
      </w:pPr>
      <w:r w:rsidRPr="006A673E">
        <w:t xml:space="preserve">(2) Les prestataires de services d’exécution, c’est-à-dire les personnes physiques ou morales ou les sociétés de personnes fournissant au moins deux des services suivants en Autriche dans le cadre d’une activité commerciale: le stockage, l’emballage, l’adresse ou l’expédition des produits visés au paragraphe 1 auxquels ils n’ont aucun droit de propriété, à l’exception des services postaux, de livraison de colis ou d’autres prestataires de services de transport de marchandises, veillent à ce que, lorsque les produits </w:t>
      </w:r>
      <w:r w:rsidRPr="006A673E">
        <w:lastRenderedPageBreak/>
        <w:t>concernés sont mis sur le marché en Autriche, ces producteurs respectent les exigences de l’article 13 bis, paragraphe 1, concernant la collecte et la récupération ou l’obligation de participer à un système de collecte et de valorisation conformément à l’article 13 bis, paragraphe 3, et à l’article 13 octies, paragraphe 2. Si cela n’est pas garanti, le prestataire de services s’abstient de fournir ce service.»</w:t>
      </w:r>
    </w:p>
    <w:p w14:paraId="688EFC92" w14:textId="77777777" w:rsidR="00D00167" w:rsidRPr="006A673E" w:rsidRDefault="00D00167" w:rsidP="001307A3">
      <w:pPr>
        <w:pStyle w:val="21NovAo1"/>
      </w:pPr>
      <w:r w:rsidRPr="006A673E">
        <w:t>70. L’article 13a et son titre sont formulés comme suit :</w:t>
      </w:r>
    </w:p>
    <w:p w14:paraId="507C4AB3" w14:textId="77777777" w:rsidR="00D00167" w:rsidRPr="006A673E" w:rsidRDefault="00D00167" w:rsidP="001307A3">
      <w:pPr>
        <w:pStyle w:val="45UeberschrPara"/>
      </w:pPr>
      <w:r w:rsidRPr="006A673E">
        <w:t>« Obligations pour les producteurs de certains produits</w:t>
      </w:r>
    </w:p>
    <w:p w14:paraId="4B4A90D0" w14:textId="77777777" w:rsidR="00D00167" w:rsidRPr="006A673E" w:rsidRDefault="00D00167" w:rsidP="001307A3">
      <w:pPr>
        <w:pStyle w:val="51Abs"/>
      </w:pPr>
      <w:r w:rsidRPr="006A673E">
        <w:rPr>
          <w:rStyle w:val="991GldSymbol"/>
        </w:rPr>
        <w:t>Article 13a.</w:t>
      </w:r>
      <w:r w:rsidRPr="006A673E">
        <w:t xml:space="preserve"> (1) Les producteurs d’équipements électriques et électroniques ou de piles ou d’accumulateurs d’appareils ou d’appareils doivent, conformément à une ordonnance prise en application de l’article 14, paragraphe 1, établir dans chaque circonscription politique au moins un point de collecte pour la collecte des déchets d’équipements provenant du commerce et accepter gratuitement à ces points de collecte les déchets d’équipements électriques et électroniques ou de piles ou d’accumulateurs d’appareils électriques et électroniques.</w:t>
      </w:r>
    </w:p>
    <w:p w14:paraId="06A268F6" w14:textId="77777777" w:rsidR="00D00167" w:rsidRPr="006A673E" w:rsidRDefault="00D00167" w:rsidP="001307A3">
      <w:pPr>
        <w:pStyle w:val="51Abs"/>
      </w:pPr>
      <w:r w:rsidRPr="006A673E">
        <w:t>(2) Les producteurs de batteries ou d’accumulateurs de véhicules ramassent gratuitement les vieilles batteries ou accumulateurs d’une masse égale ou supérieure à 600 kg dans un délai de 20 jours à la demande d’une municipalité (une association de municipalités) conformément à une ordonnance prise en application de l’article 14, paragraphe 1, à partir de leur point de collecte ou, si cette masse minimale n’est pas atteinte, au moins une fois par année civile dans un délai de six semaines ; dans le cas d’une demande, le choix du producteur incombe à la municipalité (association de municipalités).</w:t>
      </w:r>
    </w:p>
    <w:p w14:paraId="1FA16057" w14:textId="77777777" w:rsidR="00D00167" w:rsidRPr="006A673E" w:rsidRDefault="00D00167" w:rsidP="001307A3">
      <w:pPr>
        <w:pStyle w:val="51Abs"/>
      </w:pPr>
      <w:r w:rsidRPr="006A673E">
        <w:t>(3) Les producteurs en vertu de l’article 12 a doivent, conformément à une ordonnance en vertu de l’article 14 paragraphe 1,</w:t>
      </w:r>
    </w:p>
    <w:p w14:paraId="0CF99B36" w14:textId="77777777" w:rsidR="00D00167" w:rsidRPr="006A673E" w:rsidRDefault="00D00167" w:rsidP="001307A3">
      <w:pPr>
        <w:pStyle w:val="52Aufzaehle1Ziffer"/>
      </w:pPr>
      <w:r w:rsidRPr="006A673E">
        <w:tab/>
        <w:t>1.</w:t>
      </w:r>
      <w:r w:rsidRPr="006A673E">
        <w:tab/>
        <w:t>pour les déchets d’équipements électriques et électroniques mis sur le marché avant la fin du 12 août 2005,</w:t>
      </w:r>
    </w:p>
    <w:p w14:paraId="5EC42388" w14:textId="77777777" w:rsidR="00D00167" w:rsidRPr="006A673E" w:rsidRDefault="00D00167" w:rsidP="001307A3">
      <w:pPr>
        <w:pStyle w:val="52Aufzaehle1Ziffer"/>
      </w:pPr>
      <w:r w:rsidRPr="006A673E">
        <w:tab/>
        <w:t>2.</w:t>
      </w:r>
      <w:r w:rsidRPr="006A673E">
        <w:tab/>
        <w:t>pour les batteries ou accumulateurs d’appareils ou de véhicules,</w:t>
      </w:r>
    </w:p>
    <w:p w14:paraId="25940C19" w14:textId="77777777" w:rsidR="00D00167" w:rsidRPr="006A673E" w:rsidRDefault="00D00167" w:rsidP="001307A3">
      <w:pPr>
        <w:pStyle w:val="52Aufzaehle1Ziffer"/>
      </w:pPr>
      <w:r w:rsidRPr="006A673E">
        <w:tab/>
        <w:t>3.</w:t>
      </w:r>
      <w:r w:rsidRPr="006A673E">
        <w:tab/>
        <w:t>pour les produits plastiques à usage unique et</w:t>
      </w:r>
    </w:p>
    <w:p w14:paraId="3BA0DFF1" w14:textId="77777777" w:rsidR="00D00167" w:rsidRPr="006A673E" w:rsidRDefault="00D00167" w:rsidP="001307A3">
      <w:pPr>
        <w:pStyle w:val="52Aufzaehle1Ziffer"/>
      </w:pPr>
      <w:r w:rsidRPr="006A673E">
        <w:tab/>
        <w:t>4.</w:t>
      </w:r>
      <w:r w:rsidRPr="006A673E">
        <w:tab/>
        <w:t>pour l’équipement de pêche contenant du plastique,</w:t>
      </w:r>
    </w:p>
    <w:p w14:paraId="25BBF79F" w14:textId="77777777" w:rsidR="00D00167" w:rsidRPr="006A673E" w:rsidRDefault="00D00167" w:rsidP="001307A3">
      <w:pPr>
        <w:pStyle w:val="58Schlussteile0Abs"/>
      </w:pPr>
      <w:r w:rsidRPr="006A673E">
        <w:t>participer à un système de collecte et de récupération.</w:t>
      </w:r>
    </w:p>
    <w:p w14:paraId="371744C9" w14:textId="77777777" w:rsidR="00D00167" w:rsidRPr="006A673E" w:rsidRDefault="00D00167" w:rsidP="001307A3">
      <w:pPr>
        <w:pStyle w:val="51Abs"/>
      </w:pPr>
      <w:r w:rsidRPr="006A673E">
        <w:t>(4) Les producteurs d’équipements électriques et électroniques conformément à l’article 12 a, paragraphe 1, qui mettent des équipements électriques et électroniques sur le marché pour les ménages et qui ont l’intention de s’acquitter de leur obligation de récupérer des équipements individuellement, doivent le notifier au ministre fédéral de l’action climatique, de l’environnement, de l’énergie, de la mobilité, de l’innovation et de la technologie, en précisant les données conformément à l’article 22, paragraphe 2, sous-paragraphes 1 à 3 et 10 et le type d’équipement et en indiquant que les conditions requises pour la reprise des équipements individuels sont respectées pour tous les équipements mis sur le marché par ceux-ci. Le Ministre fédéral de l’action pour le climat, de l’environnement, de l’énergie, de la mobilité, de l’innovation et de la technologie enregistre ces producteurs et importateurs dans le registre conformément à l’article 22, paragraphe 1, et, si les conditions sont remplies, les identifie comme entreprises individuelles de reprise.  Le Ministre fédéral de l’action pour le climat, de l’environnement, de l’énergie, de la mobilité, de l’innovation et de la technologie rend une décision sur le refus d’une telle identification ou si une condition n’est plus remplie conformément au paragraphe 1 et la suppression de l’identification qui y est associée. Seuls les producteurs visés à l’article 12 a, paragraphe 1, qui sont identifiés comme des entreprises individuelles de reprise au registre conformément à l’article 22, paragraphe 1, peuvent remplir individuellement leurs obligations. Les modifications apportées aux données conformément à la première phrase sont notifiées immédiatement par le producteur via le registre conformément à l’article 22, paragraphe 1. La cessation de l'activité doit être signalée dans un délai d'un mois par l'intermédiaire du registre conformément à l'article 22, paragraphe 1.</w:t>
      </w:r>
    </w:p>
    <w:p w14:paraId="12B6AB70" w14:textId="77777777" w:rsidR="00D00167" w:rsidRPr="006A673E" w:rsidRDefault="00D00167" w:rsidP="001307A3">
      <w:pPr>
        <w:pStyle w:val="51Abs"/>
      </w:pPr>
      <w:r w:rsidRPr="006A673E">
        <w:t>(5) Les producteurs conformément aux articles 12a, paragraphes 1 et 2, qui</w:t>
      </w:r>
    </w:p>
    <w:p w14:paraId="04DBA80E" w14:textId="77777777" w:rsidR="00D00167" w:rsidRPr="006A673E" w:rsidRDefault="00D00167" w:rsidP="001307A3">
      <w:pPr>
        <w:pStyle w:val="52Aufzaehle1Ziffer"/>
      </w:pPr>
      <w:r w:rsidRPr="006A673E">
        <w:tab/>
        <w:t>1.</w:t>
      </w:r>
      <w:r w:rsidRPr="006A673E">
        <w:tab/>
        <w:t>ne s’acquittent pas individuellement de leur obligation de reprendre l’équipement ou</w:t>
      </w:r>
    </w:p>
    <w:p w14:paraId="79CAD5AF" w14:textId="77777777" w:rsidR="00D00167" w:rsidRPr="006A673E" w:rsidRDefault="00D00167" w:rsidP="001307A3">
      <w:pPr>
        <w:pStyle w:val="52Aufzaehle1Ziffer"/>
      </w:pPr>
      <w:r w:rsidRPr="006A673E">
        <w:tab/>
        <w:t>2.</w:t>
      </w:r>
      <w:r w:rsidRPr="006A673E">
        <w:tab/>
        <w:t>mettre sur le marché des équipements électriques et électroniques et avoir l’intention de remplir individuellement ou</w:t>
      </w:r>
    </w:p>
    <w:p w14:paraId="7574880B" w14:textId="77777777" w:rsidR="00D00167" w:rsidRPr="006A673E" w:rsidRDefault="00D00167" w:rsidP="001307A3">
      <w:pPr>
        <w:pStyle w:val="52Aufzaehle1Ziffer"/>
      </w:pPr>
      <w:r w:rsidRPr="006A673E">
        <w:tab/>
        <w:t>3.</w:t>
      </w:r>
      <w:r w:rsidRPr="006A673E">
        <w:tab/>
        <w:t>mettre sur le marché des piles ou accumulateurs industriels et avoir l’intention de s’acquitter individuellement de leur obligation de reprise,</w:t>
      </w:r>
    </w:p>
    <w:p w14:paraId="1293F660" w14:textId="77777777" w:rsidR="00D00167" w:rsidRPr="006A673E" w:rsidRDefault="00D00167" w:rsidP="001307A3">
      <w:pPr>
        <w:pStyle w:val="58Schlussteile0Abs"/>
      </w:pPr>
      <w:r w:rsidRPr="006A673E">
        <w:t xml:space="preserve">doivent, conformément à une ordonnance prise en application de l’article 14, paragraphe 1, enregistrer leurs données conformément à l’article 22, paragraphe 2, sous-paragraphes 1 à 3 et 10, ainsi que les données de leurs points de collecte conformément à l’article 22, paragraphe 2, sous-paragraphes 1, 2 et 10 et les heures d’ouverture de leurs points de collecte conformément au paragraphe 1, par voie électronique, via le site web edm.gv.at. Les modifications apportées aux données conformément à la première phrase sont notifiées </w:t>
      </w:r>
      <w:r w:rsidRPr="006A673E">
        <w:lastRenderedPageBreak/>
        <w:t>immédiatement par le producteur via le registre conformément à l’article 22, paragraphe 1. La cessation de l'activité doit être signalée dans un délai d'un mois par l'intermédiaire du registre conformément à l'article 22, paragraphe 1. Si aucun moyen technique de transmission électronique n’est à la disposition de la partie obligée, elle peut soumettre l’enregistrement ou la modification des données à l’Agence fédérale de l’environnement par écrit, moyennant une redevance de 40 EUR.</w:t>
      </w:r>
    </w:p>
    <w:p w14:paraId="515F7566" w14:textId="77777777" w:rsidR="00D00167" w:rsidRPr="006A673E" w:rsidRDefault="00D00167" w:rsidP="001307A3">
      <w:pPr>
        <w:pStyle w:val="51Abs"/>
      </w:pPr>
      <w:r w:rsidRPr="006A673E">
        <w:t>(6) Les producteurs conformément à l’article 12 a, paragraphe 3, des véhicules et autres parties soumises à une obligation de notification conformément à une ordonnance en vertu de l’article 14, paragraphe 1, sur les véhicules hors d’usage doivent enregistrer les données par voie électronique conformément à l’article 22, paragraphe 2, sous-paragraphes 1 à 3 et 10 par l’intermédiaire du site web edm.gv.at. Les modifications apportées aux données conformément à la première phrase sont notifiées immédiatement par le producteur via le registre conformément à l’article 22, paragraphe 1. La cessation de l'activité doit être signalée dans un délai d'un mois par l'intermédiaire du registre conformément à l'article 22, paragraphe 1. Si la partie obligée ne dispose pas de moyens techniques de transmission électronique, elle peut soumettre l’enregistrement ou la modification des données à l’Agence fédérale pour l’environnement par écrit, moyennant une redevance de 40 euros. »</w:t>
      </w:r>
    </w:p>
    <w:p w14:paraId="5627B08E" w14:textId="77777777" w:rsidR="00D00167" w:rsidRPr="006A673E" w:rsidRDefault="00D00167" w:rsidP="001307A3">
      <w:pPr>
        <w:pStyle w:val="51Abs"/>
      </w:pPr>
      <w:r w:rsidRPr="006A673E">
        <w:t>«(7) Les producteurs, conformément à l’article 12 bis, paragraphe 4, participent à un système de collecte et de valorisation des emballages ménagers approuvé conformément aux articles 29 et suivants pour les produits en plastique à usage unique qu’ils ont mis sur le marché.»</w:t>
      </w:r>
    </w:p>
    <w:p w14:paraId="4BAD2402" w14:textId="77777777" w:rsidR="00D00167" w:rsidRPr="006A673E" w:rsidRDefault="00D00167" w:rsidP="001307A3">
      <w:pPr>
        <w:pStyle w:val="21NovAo1"/>
      </w:pPr>
      <w:r w:rsidRPr="006A673E">
        <w:t>71. À la fin du sous-paragraphe 9 de l’article 13 b, paragraphe 1, le point final est remplacé par un point-virgule et les sous-paragraphes 10 et 11 suivants sont ajoutés :</w:t>
      </w:r>
    </w:p>
    <w:p w14:paraId="4C4B3432" w14:textId="77777777" w:rsidR="00D00167" w:rsidRPr="006A673E" w:rsidRDefault="00D00167" w:rsidP="001307A3">
      <w:pPr>
        <w:pStyle w:val="52Aufzaehle1Ziffer"/>
      </w:pPr>
      <w:r w:rsidRPr="006A673E">
        <w:tab/>
        <w:t>« 10.</w:t>
      </w:r>
      <w:r w:rsidRPr="006A673E">
        <w:tab/>
        <w:t>fusionner et, si nécessaire, modifier les concepts de contrôle conformément à l’article 29, paragraphe 2, sous-paragraphe 8 a, et leur mise en œuvre coordonnée ; le quota de 80 % des masses contractées par rapport à la catégorie pertinente d’équipements d’équipements électriques et électroniques et de batteries d’appareils est lié à la masse totale de participation de tous les systèmes de collecte et de récupération ; pour les catégories d’équipements électriques et électroniques qui représentent moins de 5 % de la masse totale de participation, ce quota de 80 % peut être exclu si le quota de 80 % est respecté pour toutes les catégories d’équipements électriques et électroniques ; une modification du concept de contrôle n'entraîne pas l'approbation d'un amendement conformément à l'article 29, paragraphe 1 ;</w:t>
      </w:r>
    </w:p>
    <w:p w14:paraId="7C1E4956" w14:textId="77777777" w:rsidR="00D00167" w:rsidRPr="006A673E" w:rsidRDefault="00D00167" w:rsidP="001307A3">
      <w:pPr>
        <w:pStyle w:val="52Aufzaehle1Ziffer"/>
      </w:pPr>
      <w:r w:rsidRPr="006A673E">
        <w:tab/>
        <w:t>11.</w:t>
      </w:r>
      <w:r w:rsidRPr="006A673E">
        <w:tab/>
        <w:t>la distribution et l’utilisation des fonds que les systèmes de collecte et de valorisation appliquent aux déchets d’équipements électriques et électroniques afin d’encourager la préparation de la réutilisation, notamment par les entreprises éco-sociales. »</w:t>
      </w:r>
    </w:p>
    <w:p w14:paraId="30F06D04" w14:textId="77777777" w:rsidR="00D00167" w:rsidRPr="006A673E" w:rsidRDefault="00D00167" w:rsidP="001307A3">
      <w:pPr>
        <w:pStyle w:val="22NovAo2"/>
      </w:pPr>
      <w:r w:rsidRPr="006A673E">
        <w:t xml:space="preserve">72. À l’article 13 ter, paragraphe 5, la citation </w:t>
      </w:r>
      <w:r w:rsidRPr="006A673E">
        <w:rPr>
          <w:i w:val="0"/>
        </w:rPr>
        <w:t>«Article 5, paragraphe 1, de la loi sur la protection des données de 2000»</w:t>
      </w:r>
      <w:r w:rsidRPr="006A673E">
        <w:t xml:space="preserve"> est remplacée par la citation </w:t>
      </w:r>
      <w:r w:rsidRPr="006A673E">
        <w:rPr>
          <w:i w:val="0"/>
        </w:rPr>
        <w:t>«Article 26, paragraphe 1 de la loi sur la protection des données de 2000»</w:t>
      </w:r>
      <w:r w:rsidRPr="006A673E">
        <w:t>.</w:t>
      </w:r>
    </w:p>
    <w:p w14:paraId="12930733" w14:textId="77777777" w:rsidR="00D00167" w:rsidRPr="006A673E" w:rsidRDefault="00D00167" w:rsidP="001307A3">
      <w:pPr>
        <w:pStyle w:val="22NovAo2"/>
      </w:pPr>
      <w:r w:rsidRPr="006A673E">
        <w:t xml:space="preserve">73. À l’article 13 quinquies, paragraphe 1, à l’article 14, paragraphe 6, point 4, à l’article 22, paragraphe 1, point 2 lettre c, à l’article 23, paragraphe 2, à l’article 29, paragraphes 1 et 4 quater, à l’article  31, paragraphe 1, à l’article 74, paragraphe 5 et à l’article 75 bis, les mots </w:t>
      </w:r>
      <w:r w:rsidRPr="006A673E">
        <w:rPr>
          <w:i w:val="0"/>
        </w:rPr>
        <w:t xml:space="preserve">«du ministre fédéral de l’agriculture, des forêts, de l’environnement, de l’environnement et de la gestion de l’eau» </w:t>
      </w:r>
      <w:r w:rsidRPr="006A673E">
        <w:t xml:space="preserve">sont remplacés par les mots </w:t>
      </w:r>
      <w:r w:rsidRPr="006A673E">
        <w:rPr>
          <w:i w:val="0"/>
        </w:rPr>
        <w:t>«du ministre fédéral de l’action pour le climat, de l’environnement, de l’énergie, de la mobilité, de l’innovation et de la technologie»</w:t>
      </w:r>
      <w:r w:rsidRPr="006A673E">
        <w:t>.</w:t>
      </w:r>
    </w:p>
    <w:p w14:paraId="2D87F3B7" w14:textId="77777777" w:rsidR="00D00167" w:rsidRPr="006A673E" w:rsidRDefault="00D00167" w:rsidP="001307A3">
      <w:pPr>
        <w:pStyle w:val="21NovAo1"/>
      </w:pPr>
      <w:r w:rsidRPr="006A673E">
        <w:t>74. Le paragraphe 2 de l'article 13 g est formulé comme suit :</w:t>
      </w:r>
    </w:p>
    <w:p w14:paraId="539D7232" w14:textId="77777777" w:rsidR="00D00167" w:rsidRPr="006A673E" w:rsidRDefault="00D00167" w:rsidP="001307A3">
      <w:pPr>
        <w:pStyle w:val="51Abs"/>
      </w:pPr>
      <w:r w:rsidRPr="006A673E">
        <w:t>« (2) Les entités principales obligées en vertu de l’article 13 g, paragraphe 1, sous-paragraphes 1 à 3 et 5 participent à un système de collecte et de récupération des emballages ménagers ou commerciaux agréé conformément à l’article 29 et suivants pour les emballages qu’elles ont mis sur le marché. »</w:t>
      </w:r>
    </w:p>
    <w:p w14:paraId="5A32C347" w14:textId="77777777" w:rsidR="00D00167" w:rsidRPr="006A673E" w:rsidRDefault="00D00167" w:rsidP="001307A3">
      <w:pPr>
        <w:pStyle w:val="21NovAo1"/>
      </w:pPr>
      <w:r w:rsidRPr="006A673E">
        <w:t>75. À l'article 13 g, paragraphe 3, le sous-paragraphe 1 est remplacé par les sous-paragraphes 1 et 1 a suivants :</w:t>
      </w:r>
    </w:p>
    <w:p w14:paraId="687A4FD6" w14:textId="77777777" w:rsidR="00D00167" w:rsidRPr="006A673E" w:rsidRDefault="00D00167" w:rsidP="001307A3">
      <w:pPr>
        <w:pStyle w:val="52Aufzaehle1Ziffer"/>
      </w:pPr>
      <w:r w:rsidRPr="006A673E">
        <w:tab/>
        <w:t>« 1.</w:t>
      </w:r>
      <w:r w:rsidRPr="006A673E">
        <w:tab/>
        <w:t>dans la mesure où</w:t>
      </w:r>
    </w:p>
    <w:p w14:paraId="3755A4CD" w14:textId="77777777" w:rsidR="00D00167" w:rsidRPr="006A673E" w:rsidRDefault="00D00167" w:rsidP="001307A3">
      <w:pPr>
        <w:pStyle w:val="52Aufzaehle2Lit"/>
      </w:pPr>
      <w:r w:rsidRPr="006A673E">
        <w:tab/>
        <w:t>a)</w:t>
      </w:r>
      <w:r w:rsidRPr="006A673E">
        <w:tab/>
        <w:t>une étape de distribution en amont établie dans le champ d’application géographique de la présente Loi fédérale, ou</w:t>
      </w:r>
    </w:p>
    <w:p w14:paraId="6BA02110" w14:textId="77777777" w:rsidR="00D00167" w:rsidRPr="006A673E" w:rsidRDefault="00D00167" w:rsidP="001307A3">
      <w:pPr>
        <w:pStyle w:val="52Aufzaehle2Lit"/>
      </w:pPr>
      <w:r w:rsidRPr="006A673E">
        <w:tab/>
        <w:t>b)</w:t>
      </w:r>
      <w:r w:rsidRPr="006A673E">
        <w:tab/>
        <w:t>dans le cas d’emballages commerciaux, une phase de distribution en aval, ou</w:t>
      </w:r>
    </w:p>
    <w:p w14:paraId="792165C9" w14:textId="77777777" w:rsidR="00D00167" w:rsidRPr="006A673E" w:rsidRDefault="00D00167" w:rsidP="001307A3">
      <w:pPr>
        <w:pStyle w:val="52Aufzaehle2Lit"/>
      </w:pPr>
      <w:r w:rsidRPr="006A673E">
        <w:tab/>
        <w:t>c)</w:t>
      </w:r>
      <w:r w:rsidRPr="006A673E">
        <w:tab/>
        <w:t>le pouvoir adjudicateur d’un emballeur contractuel, ou</w:t>
      </w:r>
    </w:p>
    <w:p w14:paraId="114ABD58" w14:textId="77777777" w:rsidR="00D00167" w:rsidRPr="006A673E" w:rsidRDefault="00D00167" w:rsidP="001307A3">
      <w:pPr>
        <w:pStyle w:val="52Aufzaehle2Lit"/>
      </w:pPr>
      <w:r w:rsidRPr="006A673E">
        <w:tab/>
        <w:t>d)</w:t>
      </w:r>
      <w:r w:rsidRPr="006A673E">
        <w:tab/>
        <w:t xml:space="preserve">une personne qui a son siège statutaire dans un autre État membre de l’Union européenne et qui distribue des emballages, y compris des emballages de service, ou des marchandises emballées </w:t>
      </w:r>
      <w:r w:rsidRPr="006A673E">
        <w:lastRenderedPageBreak/>
        <w:t>en Autriche, mais non à des consommateurs finaux privés et qui a désigné un mandataire conformément à l’article 12b(2)</w:t>
      </w:r>
    </w:p>
    <w:p w14:paraId="7B4E8D0A" w14:textId="77777777" w:rsidR="00D00167" w:rsidRPr="006A673E" w:rsidRDefault="00D00167" w:rsidP="001307A3">
      <w:pPr>
        <w:pStyle w:val="58Schlussteile1Ziffer"/>
      </w:pPr>
      <w:r w:rsidRPr="006A673E">
        <w:t>participe manifestement à un système de collecte et de récupération ; l'entité obligée principale doit fournir les éléments de preuve à la demande de l'autorité ; et</w:t>
      </w:r>
    </w:p>
    <w:p w14:paraId="0F85C20E" w14:textId="77777777" w:rsidR="00D00167" w:rsidRPr="006A673E" w:rsidRDefault="00D00167" w:rsidP="001307A3">
      <w:pPr>
        <w:pStyle w:val="52Aufzaehle1Ziffer"/>
      </w:pPr>
      <w:r w:rsidRPr="006A673E">
        <w:tab/>
        <w:t>1a. dans la mesure où il a été démontré qu’une entité obligée principale livre des emballages à de grandes sources de production de déchets conformément à une ordonnance en vertu de l’article 14, et »</w:t>
      </w:r>
    </w:p>
    <w:p w14:paraId="19724BA9" w14:textId="77777777" w:rsidR="00D00167" w:rsidRPr="006A673E" w:rsidRDefault="00D00167" w:rsidP="001307A3">
      <w:pPr>
        <w:pStyle w:val="21NovAo1"/>
      </w:pPr>
      <w:r w:rsidRPr="006A673E">
        <w:t>76. À l’article 13 octies, paragraphe 3, à la fin du point 3, le point final est remplacé par une virgule et les points 4 et 5  suivants sont ajoutés:</w:t>
      </w:r>
    </w:p>
    <w:p w14:paraId="50CD4B31" w14:textId="77777777" w:rsidR="00D00167" w:rsidRPr="006A673E" w:rsidRDefault="00D00167" w:rsidP="001307A3">
      <w:pPr>
        <w:pStyle w:val="52Aufzaehle1Ziffer"/>
      </w:pPr>
      <w:r w:rsidRPr="006A673E">
        <w:tab/>
        <w:t>« 4.</w:t>
      </w:r>
      <w:r w:rsidRPr="006A673E">
        <w:tab/>
        <w:t>dans la mesure où les marchandises emballées sont livrées directement à de grandes sources de production de déchets conformément à une ordonnance en vertu de l’article 14, et</w:t>
      </w:r>
    </w:p>
    <w:p w14:paraId="6ECA6480" w14:textId="77777777" w:rsidR="00D00167" w:rsidRPr="006A673E" w:rsidRDefault="00D00167" w:rsidP="001307A3">
      <w:pPr>
        <w:pStyle w:val="52Aufzaehle1Ziffer"/>
      </w:pPr>
      <w:r w:rsidRPr="006A673E">
        <w:tab/>
        <w:t>5.</w:t>
      </w:r>
      <w:r w:rsidRPr="006A673E">
        <w:tab/>
        <w:t>l’emballage sur lequel une consigne est facturée conformément à l’article 14 quater.»</w:t>
      </w:r>
    </w:p>
    <w:p w14:paraId="657E6A33" w14:textId="77777777" w:rsidR="00D00167" w:rsidRPr="006A673E" w:rsidRDefault="00D00167" w:rsidP="001307A3">
      <w:pPr>
        <w:pStyle w:val="21NovAo1"/>
      </w:pPr>
      <w:r w:rsidRPr="006A673E">
        <w:t>77. Au paragraphe 13 g, le paragraphe 5 suivant est ajouté:</w:t>
      </w:r>
    </w:p>
    <w:p w14:paraId="3DBD0F5A" w14:textId="77777777" w:rsidR="00D00167" w:rsidRPr="006A673E" w:rsidRDefault="00D00167" w:rsidP="001307A3">
      <w:pPr>
        <w:pStyle w:val="51Abs"/>
      </w:pPr>
      <w:r w:rsidRPr="006A673E">
        <w:t>« 5) Les personnes soumises à une obligation de notification conformément à une ordonnance en vertu de l’article 14, paragraphe 1, concernant les emballages enregistrent les données conformément à l’article 22, paragraphe 2, sous-paragraphes 1 à 3 et 10 par voie électronique via le site web edm.gv.at. Les modifications apportées aux données conformément à la première phrase sont immédiatement signalées par la personne soumise à une obligation de notification par l’intermédiaire du registre conformément à l’article 22, paragraphe 1. La cessation de l'activité doit être signalée dans un délai d'un mois par l'intermédiaire du registre conformément à l'article 22, paragraphe 1. Si la personne soumise à une obligation de notification ne dispose pas de moyens techniques de transmission électronique, elle peut soumettre l’enregistrement ou la modification des données à l’Agence fédérale pour l’environnement par écrit, moyennant une redevance de 40 euros. »</w:t>
      </w:r>
    </w:p>
    <w:p w14:paraId="1902CDF5" w14:textId="77777777" w:rsidR="00D00167" w:rsidRPr="006A673E" w:rsidRDefault="00D00167" w:rsidP="001307A3">
      <w:pPr>
        <w:pStyle w:val="21NovAo1"/>
      </w:pPr>
      <w:r w:rsidRPr="006A673E">
        <w:t>78. Au paragraphe 1 de l'article 13h, l'avant-dernière phrase est formulée comme suit :</w:t>
      </w:r>
    </w:p>
    <w:p w14:paraId="1BA3F6D0" w14:textId="77777777" w:rsidR="00D00167" w:rsidRPr="006A673E" w:rsidRDefault="00D00167" w:rsidP="001307A3">
      <w:pPr>
        <w:pStyle w:val="23SatznachNovao"/>
      </w:pPr>
      <w:r w:rsidRPr="006A673E">
        <w:t>«En outre, les emballages de service au sens d’une ordonnance au sens de l’article 14, paragraphe 1, qui transportent des sacs, des sacs cravate, des emballages en verre et des cartons composites pour boissons, quelle que soit leur taille, sont en tout état de cause considérés comme des emballages ménagers.</w:t>
      </w:r>
    </w:p>
    <w:p w14:paraId="7C4055FC" w14:textId="77777777" w:rsidR="00D00167" w:rsidRPr="006A673E" w:rsidRDefault="00D00167" w:rsidP="001307A3">
      <w:pPr>
        <w:pStyle w:val="22NovAo2"/>
      </w:pPr>
      <w:r w:rsidRPr="006A673E">
        <w:t xml:space="preserve">79. À l’article 13 quaterdecies, paragraphe 2, à l’article  20 bis, à l’article 21, paragraphe 2, à l’article 22, paragraphes 4, 5, 5 bis, 5 ter, 6, 8 et 10, à l’article 22 bis, paragraphe 1, point 2, à l’article 24 bis, paragraphe 2, point 3, à l’article 65, paragraphe 2, à l’article 75, paragraphe 7, à l’article 87 quater, paragraphe 2, à l’article 87 quinquies, paragraphe 1, à l’article 90, paragraphe 5 , les mots </w:t>
      </w:r>
      <w:r w:rsidRPr="006A673E">
        <w:rPr>
          <w:i w:val="0"/>
        </w:rPr>
        <w:t xml:space="preserve">«ministre fédéral pour la durabilité et le tourisme» </w:t>
      </w:r>
      <w:r w:rsidRPr="006A673E">
        <w:t xml:space="preserve">sont remplacés par les mots </w:t>
      </w:r>
      <w:r w:rsidRPr="006A673E">
        <w:rPr>
          <w:i w:val="0"/>
        </w:rPr>
        <w:t>«ministre fédéral de l’action pour le climat, de l’environnement, de l’énergie, de la mobilité, de l’innovation et de la technologie»</w:t>
      </w:r>
      <w:r w:rsidRPr="006A673E">
        <w:t>.</w:t>
      </w:r>
    </w:p>
    <w:p w14:paraId="4B2FAF3D" w14:textId="77777777" w:rsidR="00D00167" w:rsidRPr="006A673E" w:rsidRDefault="00D00167" w:rsidP="001307A3">
      <w:pPr>
        <w:pStyle w:val="21NovAo1"/>
      </w:pPr>
      <w:r w:rsidRPr="006A673E">
        <w:t>80. Après l’article 13 m, les paragraphes 13n à 13q suivants, y compris leurs titres, sont insérés :</w:t>
      </w:r>
    </w:p>
    <w:p w14:paraId="7F629963" w14:textId="77777777" w:rsidR="00D00167" w:rsidRPr="006A673E" w:rsidRDefault="00D00167" w:rsidP="001307A3">
      <w:pPr>
        <w:pStyle w:val="45UeberschrPara"/>
      </w:pPr>
      <w:r w:rsidRPr="006A673E">
        <w:t>« Interdiction relative aux produits plastiques à usage unique</w:t>
      </w:r>
    </w:p>
    <w:p w14:paraId="04A37031" w14:textId="77777777" w:rsidR="00D00167" w:rsidRPr="006A673E" w:rsidRDefault="00D00167" w:rsidP="001307A3">
      <w:pPr>
        <w:pStyle w:val="51Abs"/>
      </w:pPr>
      <w:r w:rsidRPr="006A673E">
        <w:rPr>
          <w:rStyle w:val="991GldSymbol"/>
        </w:rPr>
        <w:t>Article 13 quindecies.</w:t>
      </w:r>
      <w:r w:rsidRPr="006A673E">
        <w:t xml:space="preserve"> (1) La mise sur le marché des produits plastiques à usage unique suivants [tels que définis dans la directive 2019/904 (SUP)] est interdite:</w:t>
      </w:r>
    </w:p>
    <w:p w14:paraId="0D13B9C8" w14:textId="77777777" w:rsidR="00D00167" w:rsidRPr="006A673E" w:rsidRDefault="00D00167" w:rsidP="001307A3">
      <w:pPr>
        <w:pStyle w:val="52Aufzaehle1Ziffer"/>
      </w:pPr>
      <w:r w:rsidRPr="006A673E">
        <w:tab/>
        <w:t>1.</w:t>
      </w:r>
      <w:r w:rsidRPr="006A673E">
        <w:tab/>
        <w:t>bâtonnets de bourgeons de coton, à l’exception de ceux à usage médical relevant du champ d’application de la Directive 90/385/CEE concernant le rapprochement des législations des États membres relatives aux dispositifs médicaux implantables actifs, JO L 189 du 20/07/1990, p. 17, ou de la Directive 93/42/CEE relative aux dispositifs médicaux, JO L 169 du 12/07/1993, p. 1,</w:t>
      </w:r>
    </w:p>
    <w:p w14:paraId="48CAE70D" w14:textId="77777777" w:rsidR="00D00167" w:rsidRPr="006A673E" w:rsidRDefault="00D00167" w:rsidP="001307A3">
      <w:pPr>
        <w:pStyle w:val="52Aufzaehle1Ziffer"/>
      </w:pPr>
      <w:r w:rsidRPr="006A673E">
        <w:tab/>
        <w:t>2.</w:t>
      </w:r>
      <w:r w:rsidRPr="006A673E">
        <w:tab/>
        <w:t>les couverts (fourchettes, couteaux, cuillères, baguettes),</w:t>
      </w:r>
    </w:p>
    <w:p w14:paraId="2B0EBCCF" w14:textId="77777777" w:rsidR="00D00167" w:rsidRPr="006A673E" w:rsidRDefault="00D00167" w:rsidP="001307A3">
      <w:pPr>
        <w:pStyle w:val="52Aufzaehle1Ziffer"/>
      </w:pPr>
      <w:r w:rsidRPr="006A673E">
        <w:tab/>
        <w:t>3.</w:t>
      </w:r>
      <w:r w:rsidRPr="006A673E">
        <w:tab/>
        <w:t>les assiettes,</w:t>
      </w:r>
    </w:p>
    <w:p w14:paraId="6F6E17EE" w14:textId="77777777" w:rsidR="00D00167" w:rsidRPr="006A673E" w:rsidRDefault="00D00167" w:rsidP="001307A3">
      <w:pPr>
        <w:pStyle w:val="52Aufzaehle1Ziffer"/>
      </w:pPr>
      <w:r w:rsidRPr="006A673E">
        <w:tab/>
        <w:t>4.</w:t>
      </w:r>
      <w:r w:rsidRPr="006A673E">
        <w:tab/>
        <w:t>les pailles, à l’exception des pailles à usage médical relevant du champ d’application de la directive 90/385/CEE ou de la directive 93/42/CEE,</w:t>
      </w:r>
    </w:p>
    <w:p w14:paraId="6D98F148" w14:textId="77777777" w:rsidR="00D00167" w:rsidRPr="006A673E" w:rsidRDefault="00D00167" w:rsidP="001307A3">
      <w:pPr>
        <w:pStyle w:val="52Aufzaehle1Ziffer"/>
      </w:pPr>
      <w:r w:rsidRPr="006A673E">
        <w:tab/>
        <w:t>5.</w:t>
      </w:r>
      <w:r w:rsidRPr="006A673E">
        <w:tab/>
        <w:t>les agitateurs pour boissons,</w:t>
      </w:r>
    </w:p>
    <w:p w14:paraId="1F6D3FAF" w14:textId="77777777" w:rsidR="00D00167" w:rsidRPr="006A673E" w:rsidRDefault="00D00167" w:rsidP="001307A3">
      <w:pPr>
        <w:pStyle w:val="52Aufzaehle1Ziffer"/>
      </w:pPr>
      <w:r w:rsidRPr="006A673E">
        <w:tab/>
        <w:t>6.</w:t>
      </w:r>
      <w:r w:rsidRPr="006A673E">
        <w:tab/>
        <w:t>les tiges pour fixer et soutenir les ballons, à l’exception des ballons à usage industriel ou autres utilisations professionnelles et applications qui ne sont pas distribuées aux consommateurs, y compris les mécanismes de telles tiges,</w:t>
      </w:r>
    </w:p>
    <w:p w14:paraId="3D30DF09" w14:textId="77777777" w:rsidR="00D00167" w:rsidRPr="006A673E" w:rsidRDefault="00D00167" w:rsidP="001307A3">
      <w:pPr>
        <w:pStyle w:val="52Aufzaehle1Ziffer"/>
      </w:pPr>
      <w:r w:rsidRPr="006A673E">
        <w:tab/>
        <w:t>7.</w:t>
      </w:r>
      <w:r w:rsidRPr="006A673E">
        <w:tab/>
        <w:t xml:space="preserve">les récipients alimentaires en polystyrène expansé, c’est-à-dire les contenants tels que des boîtes (avec ou sans couvercle) pour produits alimentaires </w:t>
      </w:r>
    </w:p>
    <w:p w14:paraId="16E93A88" w14:textId="77777777" w:rsidR="00D00167" w:rsidRPr="006A673E" w:rsidRDefault="00D00167" w:rsidP="001307A3">
      <w:pPr>
        <w:pStyle w:val="52Aufzaehle2Lit"/>
      </w:pPr>
      <w:r w:rsidRPr="006A673E">
        <w:tab/>
        <w:t>a)</w:t>
      </w:r>
      <w:r w:rsidRPr="006A673E">
        <w:tab/>
        <w:t>destinés à être consommés directement sur place ou pris comme repas à emporter,</w:t>
      </w:r>
    </w:p>
    <w:p w14:paraId="0C773A38" w14:textId="77777777" w:rsidR="00D00167" w:rsidRPr="006A673E" w:rsidRDefault="00D00167" w:rsidP="001307A3">
      <w:pPr>
        <w:pStyle w:val="52Aufzaehle2Lit"/>
      </w:pPr>
      <w:r w:rsidRPr="006A673E">
        <w:tab/>
        <w:t>b)</w:t>
      </w:r>
      <w:r w:rsidRPr="006A673E">
        <w:tab/>
        <w:t>généralement consommés à partir du récipient, et</w:t>
      </w:r>
    </w:p>
    <w:p w14:paraId="55011C68" w14:textId="77777777" w:rsidR="00D00167" w:rsidRPr="006A673E" w:rsidRDefault="00D00167" w:rsidP="001307A3">
      <w:pPr>
        <w:pStyle w:val="52Aufzaehle2Lit"/>
      </w:pPr>
      <w:r w:rsidRPr="006A673E">
        <w:lastRenderedPageBreak/>
        <w:tab/>
        <w:t>c)</w:t>
      </w:r>
      <w:r w:rsidRPr="006A673E">
        <w:tab/>
        <w:t>peuvent être consommés sans autre préparation, comme la cuisson, l’ébullition ou le chauffage, y compris l’emballage de restauration rapide ou d’autres denrées alimentaires destinées à être consommées immédiatement, à l’exclusion des contenants, des assiettes, des sacs et des emballages contenant des denrées alimentaires,</w:t>
      </w:r>
    </w:p>
    <w:p w14:paraId="26ABA61D" w14:textId="77777777" w:rsidR="00D00167" w:rsidRPr="006A673E" w:rsidRDefault="00D00167" w:rsidP="001307A3">
      <w:pPr>
        <w:pStyle w:val="58Schlussteile1Ziffer"/>
      </w:pPr>
    </w:p>
    <w:p w14:paraId="22106255" w14:textId="77777777" w:rsidR="00D00167" w:rsidRPr="006A673E" w:rsidRDefault="00D00167" w:rsidP="001307A3">
      <w:pPr>
        <w:pStyle w:val="52Aufzaehle1Ziffer"/>
      </w:pPr>
      <w:r w:rsidRPr="006A673E">
        <w:tab/>
        <w:t>8.</w:t>
      </w:r>
      <w:r w:rsidRPr="006A673E">
        <w:tab/>
        <w:t>les contenants pour boissons en polystyrène étendu, y compris leurs couvercles et opercules,</w:t>
      </w:r>
    </w:p>
    <w:p w14:paraId="69990868" w14:textId="77777777" w:rsidR="00D00167" w:rsidRPr="006A673E" w:rsidRDefault="00D00167" w:rsidP="001307A3">
      <w:pPr>
        <w:pStyle w:val="52Aufzaehle1Ziffer"/>
      </w:pPr>
      <w:r w:rsidRPr="006A673E">
        <w:tab/>
        <w:t>9.</w:t>
      </w:r>
      <w:r w:rsidRPr="006A673E">
        <w:tab/>
        <w:t>les gobelets en polystyrène expansé, y compris leurs couvercles et opercules.</w:t>
      </w:r>
    </w:p>
    <w:p w14:paraId="2EE45A18" w14:textId="77777777" w:rsidR="00D00167" w:rsidRPr="006A673E" w:rsidRDefault="00D00167" w:rsidP="001307A3">
      <w:pPr>
        <w:pStyle w:val="51Abs"/>
      </w:pPr>
      <w:r w:rsidRPr="006A673E">
        <w:t>(2) Aux fins du paragraphe 1, la première fourniture, payée ou gratuite, d’un produit destiné à la distribution, à la consommation ou à l’utilisation sur le marché autrichien dans le cadre d’une activité commerciale est considérée comme une mise sur le marché.</w:t>
      </w:r>
    </w:p>
    <w:p w14:paraId="09611C2B" w14:textId="77777777" w:rsidR="00D00167" w:rsidRPr="006A673E" w:rsidRDefault="00D00167" w:rsidP="001307A3">
      <w:pPr>
        <w:pStyle w:val="45UeberschrPara"/>
      </w:pPr>
      <w:r w:rsidRPr="006A673E">
        <w:t>Interdiction relative aux produits plastiques oxo-dégradables</w:t>
      </w:r>
    </w:p>
    <w:p w14:paraId="6D82621A" w14:textId="77777777" w:rsidR="00D00167" w:rsidRPr="006A673E" w:rsidRDefault="00D00167" w:rsidP="001307A3">
      <w:pPr>
        <w:pStyle w:val="51Abs"/>
      </w:pPr>
      <w:r w:rsidRPr="006A673E">
        <w:rPr>
          <w:rStyle w:val="991GldSymbol"/>
        </w:rPr>
        <w:t>Article 13 sexdecies.</w:t>
      </w:r>
      <w:r w:rsidRPr="006A673E">
        <w:t xml:space="preserve"> La mise sur le marché de produits en matière plastique oxo-dégradable est interdite. Aux fins de la présente disposition, la première fourniture, payée ou gratuite, d’un produit destiné à la distribution, à la consommation ou à l’utilisation sur le marché autrichien dans le cadre d’une activité commerciale est considérée comme une mise sur le marché.</w:t>
      </w:r>
    </w:p>
    <w:p w14:paraId="3DFA8066" w14:textId="77777777" w:rsidR="00D00167" w:rsidRPr="006A673E" w:rsidRDefault="00D00167" w:rsidP="001307A3">
      <w:pPr>
        <w:pStyle w:val="45UeberschrPara"/>
      </w:pPr>
      <w:r w:rsidRPr="006A673E">
        <w:t>Prescriptions relatives au marquage de certains produits plastiques à usage unique</w:t>
      </w:r>
    </w:p>
    <w:p w14:paraId="4E1C93C2" w14:textId="77777777" w:rsidR="00D00167" w:rsidRPr="006A673E" w:rsidRDefault="00D00167" w:rsidP="001307A3">
      <w:pPr>
        <w:pStyle w:val="51Abs"/>
      </w:pPr>
      <w:r w:rsidRPr="006A673E">
        <w:rPr>
          <w:rStyle w:val="991GldSymbol"/>
        </w:rPr>
        <w:t>Article 13 sexdecies.</w:t>
      </w:r>
      <w:r w:rsidRPr="006A673E">
        <w:t xml:space="preserve"> Les gobelets, les produits contenant du tabac, les lingettes et les produits d’hygiène féminine [au sens de la directive (UE) 2019/904 (SUP)] ne peuvent être mis sur le marché qu’après que leur emballage ou que le produit lui-même n’ait été marqué conformément au règlement (UE) 2020/2151 établissant des spécifications harmonisées de marquage pour les produits en plastique à usage unique énumérés à la partie D de l’annexe de la directive (UE) 2019/904, concernant la réduction de l’impact sur l’environnement, JO L 428 du 18/12/2020, p 57, telle que modifiée par JO L 77 du 05/03/2021, p. 40. Aux fins de la présente disposition, la première fourniture, payée ou gratuite, d’un produit destiné à la distribution, à la consommation ou à l’utilisation sur le marché autrichien dans le cadre d’une activité commerciale est considérée comme une mise sur le marché. Les dispositions de la loi sur le tabac et la protection des non-fumeurs, BGBl. n° 431/1995, demeurent inchangées.</w:t>
      </w:r>
    </w:p>
    <w:p w14:paraId="395D56FD" w14:textId="77777777" w:rsidR="00D00167" w:rsidRPr="006A673E" w:rsidRDefault="00D00167" w:rsidP="001307A3">
      <w:pPr>
        <w:pStyle w:val="45UeberschrPara"/>
      </w:pPr>
      <w:r w:rsidRPr="006A673E">
        <w:t>Étiquetage des emballages à usage unique et des boissons réutilisables</w:t>
      </w:r>
    </w:p>
    <w:p w14:paraId="4CDEF5C3" w14:textId="77777777" w:rsidR="00D00167" w:rsidRPr="006A673E" w:rsidRDefault="00D00167" w:rsidP="001307A3">
      <w:pPr>
        <w:pStyle w:val="51Abs"/>
      </w:pPr>
      <w:r w:rsidRPr="006A673E">
        <w:rPr>
          <w:rStyle w:val="991GldSymbol"/>
        </w:rPr>
        <w:t>Article 13 octodecies.</w:t>
      </w:r>
      <w:r w:rsidRPr="006A673E">
        <w:t xml:space="preserve"> Les distributeurs finaux, conformément à l’article 14 ter, paragraphes 2 et  4, relatif à l’emballage des boissons, sont tenus d’étiqueter de manière claire, visible et lisible l’emballage des boissons à usage unique et réutilisable au point de vente. À cet effet, les mentions « USAGE UNIQUE » et « RÉUTILISABLE » doivent être apposées à proximité immédiate de l’emballage de boisson concerné, de manière à être clairement associées à l’emballage de boisson correspondant. Les distributeurs finals qui exploitent uniquement des sites ayant une superficie de vente inférieure à 400 m² sont exclus de cette obligation. Les distributeurs finaux, conformément à l’article 14, paragraphe 1, qui distribuent des emballages de boissons par correspondance, y compris par courrier électronique, en informent leurs clients en temps utile avant de prendre leur décision sur l’achat de la boisson, par exemple dans leur catalogue, sur leur site web et dans les bons de commande respectifs.»</w:t>
      </w:r>
    </w:p>
    <w:p w14:paraId="2087091E" w14:textId="77777777" w:rsidR="00D00167" w:rsidRPr="006A673E" w:rsidRDefault="00D00167" w:rsidP="001307A3">
      <w:pPr>
        <w:pStyle w:val="22NovAo2"/>
      </w:pPr>
      <w:r w:rsidRPr="006A673E">
        <w:t xml:space="preserve">81. À l'article 14(1), la formulation de la première phrase </w:t>
      </w:r>
      <w:r w:rsidRPr="006A673E">
        <w:rPr>
          <w:i w:val="0"/>
        </w:rPr>
        <w:t>« des objectifs visés à l'article 9 »</w:t>
      </w:r>
      <w:r w:rsidRPr="006A673E">
        <w:t xml:space="preserve"> est remplacée par la formulation « </w:t>
      </w:r>
      <w:r w:rsidRPr="006A673E">
        <w:rPr>
          <w:i w:val="0"/>
        </w:rPr>
        <w:t>de la hiérarchie conformément aux articles 1(2) et 2a) et des objectifs des mesures de prévention des déchets conformément à l'article 9 »</w:t>
      </w:r>
      <w:r w:rsidRPr="006A673E">
        <w:t>.</w:t>
      </w:r>
    </w:p>
    <w:p w14:paraId="77757E1D" w14:textId="77777777" w:rsidR="00D00167" w:rsidRPr="006A673E" w:rsidRDefault="00D00167" w:rsidP="001307A3">
      <w:pPr>
        <w:pStyle w:val="22NovAo2"/>
      </w:pPr>
      <w:r w:rsidRPr="006A673E">
        <w:t xml:space="preserve">82. À l’article 14, paragraphes 1, 6 et 7, à l’article 23, paragraphes 1 et 3, à l’article 29 ter, paragraphe 5, à l’article 36, à l’article 65, paragraphes 1 et 3 et à l’article 90, paragraphe 1, les mots </w:t>
      </w:r>
      <w:r w:rsidRPr="006A673E">
        <w:rPr>
          <w:i w:val="0"/>
        </w:rPr>
        <w:t xml:space="preserve">«le ministre fédéral de l’économie, de la famille et de la jeunesse» </w:t>
      </w:r>
      <w:r w:rsidRPr="006A673E">
        <w:t>sont remplacés par les mots</w:t>
      </w:r>
      <w:r w:rsidRPr="006A673E">
        <w:rPr>
          <w:i w:val="0"/>
        </w:rPr>
        <w:t xml:space="preserve"> «le ministre fédéral du numérique et de l’économie»</w:t>
      </w:r>
      <w:r w:rsidRPr="006A673E">
        <w:t>.</w:t>
      </w:r>
    </w:p>
    <w:p w14:paraId="717423E8" w14:textId="77777777" w:rsidR="00D00167" w:rsidRPr="006A673E" w:rsidRDefault="00D00167" w:rsidP="001307A3">
      <w:pPr>
        <w:pStyle w:val="21NovAo1"/>
      </w:pPr>
      <w:r w:rsidRPr="006A673E">
        <w:t>83. À l’article 14, paragraphe 2, sous-paragraphe 1, la formulation suivante est ajoutée :</w:t>
      </w:r>
    </w:p>
    <w:p w14:paraId="0F926169" w14:textId="77777777" w:rsidR="00D00167" w:rsidRPr="006A673E" w:rsidRDefault="00D00167" w:rsidP="001307A3">
      <w:pPr>
        <w:pStyle w:val="23SatznachNovao"/>
      </w:pPr>
      <w:r w:rsidRPr="006A673E">
        <w:t>« en outre, l’étiquetage des produits afin d’indiquer une élimination appropriée et les effets négatifs d’un rejet insouciant ou d’une élimination inappropriée du produit ; »</w:t>
      </w:r>
    </w:p>
    <w:p w14:paraId="7DAFC2CC" w14:textId="77777777" w:rsidR="00D00167" w:rsidRPr="006A673E" w:rsidRDefault="00D00167" w:rsidP="001307A3">
      <w:pPr>
        <w:pStyle w:val="21NovAo1"/>
      </w:pPr>
      <w:r w:rsidRPr="006A673E">
        <w:t>84. À l’article 14, paragraphe 2, le sous-paragraphe 2 a suivant est inséré après le sous-paragraphe 2 :</w:t>
      </w:r>
    </w:p>
    <w:p w14:paraId="5AD0FB27" w14:textId="77777777" w:rsidR="00D00167" w:rsidRPr="006A673E" w:rsidRDefault="00D00167" w:rsidP="001307A3">
      <w:pPr>
        <w:pStyle w:val="52Aufzaehle1Ziffer"/>
      </w:pPr>
      <w:r w:rsidRPr="006A673E">
        <w:tab/>
        <w:t>«2a. des informations accessibles au public sur la question de savoir si et dans quelle mesure le produit est réutilisable et recyclable;»</w:t>
      </w:r>
    </w:p>
    <w:p w14:paraId="1E3FE881" w14:textId="77777777" w:rsidR="00D00167" w:rsidRPr="006A673E" w:rsidRDefault="00D00167" w:rsidP="001307A3">
      <w:pPr>
        <w:pStyle w:val="21NovAo1"/>
      </w:pPr>
      <w:r w:rsidRPr="006A673E">
        <w:lastRenderedPageBreak/>
        <w:t>85. À l’article 14, paragraphe 2, les sous-paragraphes 3 a et 3 b suivants sont insérés après le sous-paragraphe 3 :</w:t>
      </w:r>
    </w:p>
    <w:p w14:paraId="14C74E78" w14:textId="77777777" w:rsidR="00D00167" w:rsidRPr="006A673E" w:rsidRDefault="00D00167" w:rsidP="001307A3">
      <w:pPr>
        <w:pStyle w:val="52Aufzaehle1Ziffer"/>
      </w:pPr>
      <w:r w:rsidRPr="006A673E">
        <w:tab/>
        <w:t>« 3a. l’augmentation de l’offre et de la demande d’emballages réutilisables ; par exemple, par la fixation de quotas ou d’un étiquetage correspondant ;</w:t>
      </w:r>
    </w:p>
    <w:p w14:paraId="3D1A0E83" w14:textId="77777777" w:rsidR="00D00167" w:rsidRPr="006A673E" w:rsidRDefault="00D00167" w:rsidP="001307A3">
      <w:pPr>
        <w:pStyle w:val="52Aufzaehle1Ziffer"/>
      </w:pPr>
      <w:r w:rsidRPr="006A673E">
        <w:tab/>
        <w:t>3 ter.la prise en charge des coûts de collecte des déchets de certains produits éliminés dans les systèmes de collecte publics, y compris les infrastructures et leur fonctionnement, ainsi que les coûts des opérations de nettoyage des déchets de certains produits et les coûts de transport et de traitement ultérieurs, ainsi que les coûts de mise en place d’ infrastructures de collecte spécifiques pour certains produits en plastique à usage unique.»</w:t>
      </w:r>
    </w:p>
    <w:p w14:paraId="2BAB84EB" w14:textId="77777777" w:rsidR="00D00167" w:rsidRPr="006A673E" w:rsidRDefault="00D00167" w:rsidP="001307A3">
      <w:pPr>
        <w:pStyle w:val="21NovAo1"/>
      </w:pPr>
      <w:r w:rsidRPr="006A673E">
        <w:t>86. À l’article 14, paragraphe 2, le sous-paragraphe 5 a suivant est inséré après le sous-paragraphe 5 :</w:t>
      </w:r>
    </w:p>
    <w:p w14:paraId="6E16F03A" w14:textId="77777777" w:rsidR="00D00167" w:rsidRPr="006A673E" w:rsidRDefault="00D00167" w:rsidP="001307A3">
      <w:pPr>
        <w:pStyle w:val="52Aufzaehle1Ziffer"/>
      </w:pPr>
      <w:r w:rsidRPr="006A673E">
        <w:tab/>
        <w:t>« 5a. la conception de produits ou de parties de produits de manière à ce qu’ils soient réutilisables, contiennent des matériaux recyclés, soient techniquement durables et facilement réparables, réduisent les fuites dans l’environnement et, après être devenus des déchets, sont aptes à se préparer à la réutilisation et au recyclage afin de réduire l’impact sur l’environnement de leur production, de leur utilisation ultérieure et de la production de déchets ; »</w:t>
      </w:r>
    </w:p>
    <w:p w14:paraId="010ADE81" w14:textId="77777777" w:rsidR="00D00167" w:rsidRPr="006A673E" w:rsidRDefault="00D00167" w:rsidP="001307A3">
      <w:pPr>
        <w:pStyle w:val="21NovAo1"/>
      </w:pPr>
      <w:r w:rsidRPr="006A673E">
        <w:t>87. La phrase suivante est ajoutée à l’article 14, paragraphe 2 :</w:t>
      </w:r>
    </w:p>
    <w:p w14:paraId="1906B10A" w14:textId="77777777" w:rsidR="00D00167" w:rsidRPr="006A673E" w:rsidRDefault="00D00167" w:rsidP="001307A3">
      <w:pPr>
        <w:pStyle w:val="23SatznachNovao"/>
      </w:pPr>
      <w:r w:rsidRPr="006A673E">
        <w:t>« Lorsqu’il définit des mesures en vertu de l’article 14, paragraphe 2, sous-paragraphe 7, un accord avec le Ministre fédéral de l’agriculture, des régions et du tourisme doit être conclu en vue de prévenir les effets indus sur les eaux. »</w:t>
      </w:r>
    </w:p>
    <w:p w14:paraId="30C28CA0" w14:textId="77777777" w:rsidR="00D00167" w:rsidRPr="006A673E" w:rsidRDefault="00D00167" w:rsidP="001307A3">
      <w:pPr>
        <w:pStyle w:val="22NovAo2"/>
      </w:pPr>
      <w:r w:rsidRPr="006A673E">
        <w:t xml:space="preserve">88. À l’article 14, paragraphe 4, à l’article 32, paragraphe 4 et à l’article 34, paragraphe 2, les mots </w:t>
      </w:r>
      <w:r w:rsidRPr="006A673E">
        <w:rPr>
          <w:i w:val="0"/>
        </w:rPr>
        <w:t xml:space="preserve">«par le ministre fédéral de l’agriculture, des forêts, de l’environnement et de la gestion de l’eau» </w:t>
      </w:r>
      <w:r w:rsidRPr="006A673E">
        <w:t xml:space="preserve">sont replacés par </w:t>
      </w:r>
      <w:r w:rsidRPr="006A673E">
        <w:rPr>
          <w:i w:val="0"/>
        </w:rPr>
        <w:t>«par le ministre fédéral de l’action pour le climat, de l’environnement, de l’énergie, de la mobilité, de l’innovation et de la technologie»</w:t>
      </w:r>
      <w:r w:rsidRPr="006A673E">
        <w:t>.</w:t>
      </w:r>
    </w:p>
    <w:p w14:paraId="329999C0" w14:textId="77777777" w:rsidR="00D00167" w:rsidRPr="006A673E" w:rsidRDefault="00D00167" w:rsidP="001307A3">
      <w:pPr>
        <w:pStyle w:val="21NovAo1"/>
      </w:pPr>
      <w:r w:rsidRPr="006A673E">
        <w:t>89. Après l’article 14, les articles 14 bis à 14 quater suivants, ainsi que le titre, sont insérés:</w:t>
      </w:r>
    </w:p>
    <w:p w14:paraId="49AC1EBF" w14:textId="77777777" w:rsidR="00D00167" w:rsidRPr="006A673E" w:rsidRDefault="00D00167" w:rsidP="001307A3">
      <w:pPr>
        <w:pStyle w:val="45UeberschrPara"/>
      </w:pPr>
      <w:r w:rsidRPr="006A673E">
        <w:t>« Mesures visant à réduire les emballages plastiques à usage unique</w:t>
      </w:r>
    </w:p>
    <w:p w14:paraId="6B246C39" w14:textId="77777777" w:rsidR="00D00167" w:rsidRPr="006A673E" w:rsidRDefault="00D00167" w:rsidP="001307A3">
      <w:pPr>
        <w:pStyle w:val="51Abs"/>
      </w:pPr>
      <w:r w:rsidRPr="006A673E">
        <w:rPr>
          <w:rStyle w:val="991GldSymbol"/>
        </w:rPr>
        <w:t>Article 14a.</w:t>
      </w:r>
      <w:r w:rsidRPr="006A673E">
        <w:t xml:space="preserve"> (1) Le Ministre fédéral de l’action pour le climat, de l’environnement, de l’énergie, de la mobilité, de l’innovation et de la technologie est habilité, en accord avec le Ministre fédéral du numérique et de l’économie, à réduire de 20 % d’ici 2025 les emballages plastiques à usage unique mis sur le marché par rapport à 2018 (article 9 sous-paragraphe 18) et à promouvoir l’expansion des systèmes d’emballage réutilisables, en particulier pour les emballages de boissons (article 9 sous-paragraphe 19), à fixer les obligations suivantes pour les autorités locales, les producteurs, les importateurs, les distributeurs, les systèmes de collecte et de récupérations, les collecteurs de déchets, les opérateurs de traitement et les consommateurs finaux :</w:t>
      </w:r>
    </w:p>
    <w:p w14:paraId="6F58BF57" w14:textId="77777777" w:rsidR="00D00167" w:rsidRPr="006A673E" w:rsidRDefault="00D00167" w:rsidP="001307A3">
      <w:pPr>
        <w:pStyle w:val="52Aufzaehle1Ziffer"/>
      </w:pPr>
      <w:r w:rsidRPr="006A673E">
        <w:tab/>
        <w:t>1.</w:t>
      </w:r>
      <w:r w:rsidRPr="006A673E">
        <w:tab/>
        <w:t>Présentation des mesures de réduction ou de promotion mises en œuvre et prévues, y compris le calendrier, par exemple dans le cadre d’un concept de gestion des déchets,</w:t>
      </w:r>
    </w:p>
    <w:p w14:paraId="3AB15787" w14:textId="77777777" w:rsidR="00D00167" w:rsidRPr="006A673E" w:rsidRDefault="00D00167" w:rsidP="001307A3">
      <w:pPr>
        <w:pStyle w:val="52Aufzaehle1Ziffer"/>
      </w:pPr>
      <w:r w:rsidRPr="006A673E">
        <w:tab/>
        <w:t>2.</w:t>
      </w:r>
      <w:r w:rsidRPr="006A673E">
        <w:tab/>
        <w:t>Des mesures visant à garantir que des solutions de remplacement réutilisables des emballages plastiques à usage unique soient offertes au consommateur final,</w:t>
      </w:r>
    </w:p>
    <w:p w14:paraId="4077B7AD" w14:textId="77777777" w:rsidR="00D00167" w:rsidRPr="006A673E" w:rsidRDefault="00D00167" w:rsidP="001307A3">
      <w:pPr>
        <w:pStyle w:val="52Aufzaehle1Ziffer"/>
      </w:pPr>
      <w:r w:rsidRPr="006A673E">
        <w:tab/>
        <w:t>3.</w:t>
      </w:r>
      <w:r w:rsidRPr="006A673E">
        <w:tab/>
        <w:t>Des redevances minimales pour la fourniture de certains emballages plastiques à usage unique et des redevances maximales pour la fourniture d’emballages réutilisables,</w:t>
      </w:r>
    </w:p>
    <w:p w14:paraId="4BCE3553" w14:textId="77777777" w:rsidR="00D00167" w:rsidRPr="006A673E" w:rsidRDefault="00D00167" w:rsidP="001307A3">
      <w:pPr>
        <w:pStyle w:val="52Aufzaehle1Ziffer"/>
      </w:pPr>
      <w:r w:rsidRPr="006A673E">
        <w:tab/>
        <w:t>4.</w:t>
      </w:r>
      <w:r w:rsidRPr="006A673E">
        <w:tab/>
        <w:t>L’interdiction de la fourniture gratuite de certains emballages plastiques à usage unique aux consommateurs finals, ou l’obligation de reprendre des emballages réutilisables,</w:t>
      </w:r>
    </w:p>
    <w:p w14:paraId="40E083F3" w14:textId="77777777" w:rsidR="00D00167" w:rsidRPr="006A673E" w:rsidRDefault="00D00167" w:rsidP="001307A3">
      <w:pPr>
        <w:pStyle w:val="52Aufzaehle1Ziffer"/>
      </w:pPr>
      <w:r w:rsidRPr="006A673E">
        <w:tab/>
        <w:t>5.</w:t>
      </w:r>
      <w:r w:rsidRPr="006A673E">
        <w:tab/>
        <w:t>Les exigences relatives aux produits ou les exigences en matière d’étiquetage applicables aux emballages à usage unique et réutilisables,</w:t>
      </w:r>
    </w:p>
    <w:p w14:paraId="0032D01B" w14:textId="77777777" w:rsidR="00D00167" w:rsidRPr="006A673E" w:rsidRDefault="00D00167" w:rsidP="001307A3">
      <w:pPr>
        <w:pStyle w:val="52Aufzaehle1Ziffer"/>
      </w:pPr>
      <w:r w:rsidRPr="006A673E">
        <w:tab/>
        <w:t>6.</w:t>
      </w:r>
      <w:r w:rsidRPr="006A673E">
        <w:tab/>
        <w:t>l’obligation de retour, de reprise ou de réutilisation,</w:t>
      </w:r>
    </w:p>
    <w:p w14:paraId="38665295" w14:textId="77777777" w:rsidR="00D00167" w:rsidRPr="006A673E" w:rsidRDefault="00D00167" w:rsidP="001307A3">
      <w:pPr>
        <w:pStyle w:val="52Aufzaehle1Ziffer"/>
      </w:pPr>
      <w:r w:rsidRPr="006A673E">
        <w:tab/>
        <w:t>7.</w:t>
      </w:r>
      <w:r w:rsidRPr="006A673E">
        <w:tab/>
        <w:t>respect des quotas de prévention des déchets pour la réduction des emballages plastiques à usage unique pour certaines zones ou catégories de produits au cours d’une période donnée, ou respect des quotas minimaux pour l’utilisation d’emballages réutilisables pour certaines zones ou catégories de produits au cours d’une période donnée ;</w:t>
      </w:r>
    </w:p>
    <w:p w14:paraId="487AEF81" w14:textId="77777777" w:rsidR="00D00167" w:rsidRPr="006A673E" w:rsidRDefault="00D00167" w:rsidP="001307A3">
      <w:pPr>
        <w:pStyle w:val="52Aufzaehle1Ziffer"/>
      </w:pPr>
      <w:r w:rsidRPr="006A673E">
        <w:tab/>
        <w:t>8.</w:t>
      </w:r>
      <w:r w:rsidRPr="006A673E">
        <w:tab/>
        <w:t>Les exigences relatives à la fourniture de produits uniquement sous une forme et une qualité propices à la prévention des déchets,</w:t>
      </w:r>
    </w:p>
    <w:p w14:paraId="2F42F3C4" w14:textId="77777777" w:rsidR="00D00167" w:rsidRPr="006A673E" w:rsidRDefault="00D00167" w:rsidP="001307A3">
      <w:pPr>
        <w:pStyle w:val="52Aufzaehle1Ziffer"/>
      </w:pPr>
      <w:r w:rsidRPr="006A673E">
        <w:tab/>
        <w:t>9.</w:t>
      </w:r>
      <w:r w:rsidRPr="006A673E">
        <w:tab/>
        <w:t>Activités de sensibilisation et obligations d’information relatives à la prévention des déchets et à la prévention de la mise à la poubelle,</w:t>
      </w:r>
    </w:p>
    <w:p w14:paraId="368E801E" w14:textId="77777777" w:rsidR="00D00167" w:rsidRPr="006A673E" w:rsidRDefault="00D00167" w:rsidP="001307A3">
      <w:pPr>
        <w:pStyle w:val="52Aufzaehle1Ziffer"/>
      </w:pPr>
      <w:r w:rsidRPr="006A673E">
        <w:tab/>
        <w:t>10.</w:t>
      </w:r>
      <w:r w:rsidRPr="006A673E">
        <w:tab/>
        <w:t>Les délais, les objectifs intermédiaires et les plans étape par étape pour atteindre les objectifs,</w:t>
      </w:r>
    </w:p>
    <w:p w14:paraId="13D5D78B" w14:textId="77777777" w:rsidR="00D00167" w:rsidRPr="006A673E" w:rsidRDefault="00D00167" w:rsidP="001307A3">
      <w:pPr>
        <w:pStyle w:val="52Aufzaehle1Ziffer"/>
      </w:pPr>
      <w:r w:rsidRPr="006A673E">
        <w:lastRenderedPageBreak/>
        <w:tab/>
        <w:t>11.</w:t>
      </w:r>
      <w:r w:rsidRPr="006A673E">
        <w:tab/>
        <w:t>Obligation d’enregistrement et de déclaration pour démontrer l’efficacité des mesures, en particulier la quantité d’emballages plastiques à usage unique et d’emballages réutilisables mis sur le marché.</w:t>
      </w:r>
    </w:p>
    <w:p w14:paraId="0DBA9E68" w14:textId="77777777" w:rsidR="00D00167" w:rsidRPr="006A673E" w:rsidRDefault="00D00167" w:rsidP="001307A3">
      <w:pPr>
        <w:pStyle w:val="51Abs"/>
      </w:pPr>
      <w:r w:rsidRPr="006A673E">
        <w:t>(2) Le Ministre fédéral de l’action pour le climat, de l’environnement, de l’énergie, de la mobilité, de l’innovation et de la technologie est habilité, en accord avec le Ministre fédéral du numérique et de l’économie, aux fins visées au paragraphe 1, à fixer par ordonnance des procédures permettant de déterminer la contribution de la mesure choisie à la réalisation des objectifs et des obligations d’information sur le degré ou l’évaluation de la réalisation de l’objectif.</w:t>
      </w:r>
    </w:p>
    <w:p w14:paraId="4B5BA404" w14:textId="77777777" w:rsidR="00D00167" w:rsidRPr="006A673E" w:rsidRDefault="00D00167" w:rsidP="001307A3">
      <w:pPr>
        <w:pStyle w:val="45UeberschrPara"/>
      </w:pPr>
      <w:r w:rsidRPr="006A673E">
        <w:t>Conditions-cadres et objectifs spécifiques pour l’extension des systèmes d’emballage des boissons réutilisables</w:t>
      </w:r>
    </w:p>
    <w:p w14:paraId="15B01C0D" w14:textId="77777777" w:rsidR="00D00167" w:rsidRPr="006A673E" w:rsidRDefault="00D00167" w:rsidP="001307A3">
      <w:pPr>
        <w:pStyle w:val="51Abs"/>
      </w:pPr>
      <w:r w:rsidRPr="006A673E">
        <w:rPr>
          <w:rStyle w:val="991GldSymbol"/>
        </w:rPr>
        <w:t>Article 14b.</w:t>
      </w:r>
      <w:r w:rsidRPr="006A673E">
        <w:t xml:space="preserve"> (1) L’objectif est de porter le pourcentage de boissons dans des emballages réutilisables mis sur le marché en Autriche à au moins 25 % d’ici 2025 et au moins 30 % d’ici 2030. Les catégories de boissons suivantes sont utilisées:</w:t>
      </w:r>
    </w:p>
    <w:p w14:paraId="2030D619" w14:textId="77777777" w:rsidR="00D00167" w:rsidRPr="006A673E" w:rsidRDefault="00D00167" w:rsidP="001307A3">
      <w:pPr>
        <w:pStyle w:val="52Aufzaehle1Ziffer"/>
      </w:pPr>
      <w:r w:rsidRPr="006A673E">
        <w:tab/>
        <w:t>1.</w:t>
      </w:r>
      <w:r w:rsidRPr="006A673E">
        <w:tab/>
        <w:t>bière (y compris bières sans alcool et boissons mélangées à base de bière),</w:t>
      </w:r>
    </w:p>
    <w:p w14:paraId="0C92397A" w14:textId="77777777" w:rsidR="00D00167" w:rsidRPr="006A673E" w:rsidRDefault="00D00167" w:rsidP="001307A3">
      <w:pPr>
        <w:pStyle w:val="52Aufzaehle1Ziffer"/>
      </w:pPr>
      <w:r w:rsidRPr="006A673E">
        <w:tab/>
        <w:t>2.</w:t>
      </w:r>
      <w:r w:rsidRPr="006A673E">
        <w:tab/>
        <w:t>eau (eau minérale, eau de table, eau gazeuse et autres eaux en bouteille); non aromatisées),</w:t>
      </w:r>
    </w:p>
    <w:p w14:paraId="60B3C03B" w14:textId="77777777" w:rsidR="00D00167" w:rsidRPr="006A673E" w:rsidRDefault="00D00167" w:rsidP="001307A3">
      <w:pPr>
        <w:pStyle w:val="52Aufzaehle1Ziffer"/>
      </w:pPr>
      <w:r w:rsidRPr="006A673E">
        <w:tab/>
        <w:t>3.</w:t>
      </w:r>
      <w:r w:rsidRPr="006A673E">
        <w:tab/>
        <w:t>jus (jus de fruits, jus de légumes, nectars),</w:t>
      </w:r>
    </w:p>
    <w:p w14:paraId="6AE27923" w14:textId="77777777" w:rsidR="00D00167" w:rsidRPr="006A673E" w:rsidRDefault="00D00167" w:rsidP="001307A3">
      <w:pPr>
        <w:pStyle w:val="52Aufzaehle1Ziffer"/>
      </w:pPr>
      <w:r w:rsidRPr="006A673E">
        <w:tab/>
        <w:t>4.</w:t>
      </w:r>
      <w:r w:rsidRPr="006A673E">
        <w:tab/>
        <w:t>boissons gazeuses (limonades, eaux aromatisées, jus de fruits et de légumes, boissons isotoniques, boissons énergisantes, boissons à base de thé telles que le thé glacé, le kombucha, le lait à base de plantes comme le lait de soja ou d’avoine, les boissons à base de lactosérum et les boissons au malt) et</w:t>
      </w:r>
    </w:p>
    <w:p w14:paraId="0D4E2E87" w14:textId="77777777" w:rsidR="00D00167" w:rsidRPr="006A673E" w:rsidRDefault="00D00167" w:rsidP="001307A3">
      <w:pPr>
        <w:pStyle w:val="52Aufzaehle1Ziffer"/>
      </w:pPr>
      <w:r w:rsidRPr="006A673E">
        <w:tab/>
        <w:t>5.</w:t>
      </w:r>
      <w:r w:rsidRPr="006A673E">
        <w:tab/>
        <w:t>lait (lait de vache, de brebis, de chèvre, toutes teneurs en matières grasses; à l’exclusion du lait de consommation de longue durée, c’est-à-dire du lait UHT).</w:t>
      </w:r>
    </w:p>
    <w:p w14:paraId="0B5B996F" w14:textId="77777777" w:rsidR="00D00167" w:rsidRPr="006A673E" w:rsidRDefault="00D00167" w:rsidP="001307A3">
      <w:pPr>
        <w:pStyle w:val="51Abs"/>
      </w:pPr>
      <w:r w:rsidRPr="006A673E">
        <w:t>(2) Tout distributeur final vendant des boissons dans le commerce de détail de denrées alimentaires est tenu, à compter du 1er janvier 2024, dans au moins 35 % de ses points de vente supérieurs à 400 m</w:t>
      </w:r>
      <w:r w:rsidRPr="006A673E">
        <w:rPr>
          <w:vertAlign w:val="superscript"/>
        </w:rPr>
        <w:t>2</w:t>
      </w:r>
      <w:r w:rsidRPr="006A673E">
        <w:t>, à compter du 1er janvier 2025, dans au moins 90 % de ses points de vente dépassant 400 m</w:t>
      </w:r>
      <w:r w:rsidRPr="006A673E">
        <w:rPr>
          <w:vertAlign w:val="superscript"/>
        </w:rPr>
        <w:t>2</w:t>
      </w:r>
      <w:r w:rsidRPr="006A673E">
        <w:t xml:space="preserve"> et au plus tard à la fin de l’année civile 2025, dans tous les points de vente supérieurs à 400 m</w:t>
      </w:r>
      <w:r w:rsidRPr="006A673E">
        <w:rPr>
          <w:vertAlign w:val="superscript"/>
        </w:rPr>
        <w:t>2</w:t>
      </w:r>
      <w:r w:rsidRPr="006A673E">
        <w:t>, d’offrir des boissons dans des emballages réutilisables dans les catégories de boissons visées au paragraphe 1 et dans le respect des pourcentages visés au paragraphe 3. Cela vaut également pour les ventes à distance.</w:t>
      </w:r>
    </w:p>
    <w:p w14:paraId="5419E721" w14:textId="77777777" w:rsidR="00D00167" w:rsidRPr="006A673E" w:rsidRDefault="00D00167" w:rsidP="001307A3">
      <w:pPr>
        <w:pStyle w:val="51Abs"/>
      </w:pPr>
      <w:r w:rsidRPr="006A673E">
        <w:t>(3) Les pourcentages suivants de produits dans des emballages réutilisables conformément au paragraphe 2 sont respectés par rapport au nombre total d’articles offerts dans chaque catégorie de boissons: Au moins 15 % pour la bière et l’eau; au moins 10 % pour les concentrés, les boissons gazeuses et le lait. Pour le calcul du pourcentage de produits dans des emballages réutilisables pour l’eau, le jus et les boissons gazeuses, les boissons relevant du champ d’application de l’article 4 quater dans les emballages en plastique à usage unique et les boîtes à usage unique (y compris les contenants de 0,5 L) ne sont pas incluses dans le calcul.</w:t>
      </w:r>
    </w:p>
    <w:p w14:paraId="00C4B27C" w14:textId="1CD3819E" w:rsidR="00D00167" w:rsidRPr="006A673E" w:rsidRDefault="00D00167" w:rsidP="001307A3">
      <w:pPr>
        <w:pStyle w:val="51Abs"/>
      </w:pPr>
      <w:r w:rsidRPr="006A673E">
        <w:t>(4) L’obligation visée au paragraphe 2 est également réputée remplie si, à partir de l’année civile 2024, un distributeur final vendant des boissons dans le commerce de détail de produits alimentaires vend 25 % du volume en emballages réutilisables pour toutes les catégories de boissons visées au paragraphe 1. Cela vaut également pour les ventes à distance. Le distributeur final propose, à compter du 1er janvier 2024, dans au moins 35 % de ses points de vente supérieurs à 400 m</w:t>
      </w:r>
      <w:r w:rsidRPr="006A673E">
        <w:rPr>
          <w:vertAlign w:val="superscript"/>
        </w:rPr>
        <w:t>2</w:t>
      </w:r>
      <w:r w:rsidRPr="006A673E">
        <w:t>, à compter du 1er janvier 2025, dans au moins 90 % de ses points de vente supérieurs à 400 m</w:t>
      </w:r>
      <w:r w:rsidRPr="006A673E">
        <w:rPr>
          <w:vertAlign w:val="superscript"/>
        </w:rPr>
        <w:t>2</w:t>
      </w:r>
      <w:r w:rsidRPr="006A673E">
        <w:t>, et au plus tard à la fin de l’année civile 2025, dans tous les points de vente supérieurs à 400 m</w:t>
      </w:r>
      <w:r w:rsidRPr="006A673E">
        <w:rPr>
          <w:vertAlign w:val="superscript"/>
        </w:rPr>
        <w:t>2</w:t>
      </w:r>
      <w:r w:rsidRPr="006A673E">
        <w:t>, des boissons dans des emballages réutilisables dans toutes les catégories de boissons visées au paragraphe 1.</w:t>
      </w:r>
    </w:p>
    <w:p w14:paraId="14FFFC31" w14:textId="7920595F" w:rsidR="00D00167" w:rsidRPr="006A673E" w:rsidRDefault="00D00167" w:rsidP="001307A3">
      <w:pPr>
        <w:pStyle w:val="51Abs"/>
      </w:pPr>
      <w:r w:rsidRPr="006A673E">
        <w:t>(5) Les emballages de boissons réutilisables sont des emballages de boissons prévus, conçus et mis sur le marché de telle manière que leur nature permette plusieurs cycles pendant leur durée de vie en étant retournés à un producteur, en particulier à un emballeur conformément à l’article 13 octies, paragraphe 1,</w:t>
      </w:r>
      <w:r w:rsidR="00253AF6" w:rsidRPr="006A673E">
        <w:t xml:space="preserve"> </w:t>
      </w:r>
      <w:r w:rsidRPr="006A673E">
        <w:t>point 2, et remplis ou réutilisés conformément à leur objectif initial.</w:t>
      </w:r>
    </w:p>
    <w:p w14:paraId="3B7A9FAC" w14:textId="77777777" w:rsidR="00D00167" w:rsidRPr="006A673E" w:rsidRDefault="00D00167" w:rsidP="001307A3">
      <w:pPr>
        <w:pStyle w:val="51Abs"/>
      </w:pPr>
      <w:r w:rsidRPr="006A673E">
        <w:t xml:space="preserve">(6) Le distributeur final, conformément aux paragraphes 2 et 4, transmet la preuve de mise en conformité conformément au paragraphe 2 ou 4 au plus tard le 15 mars de l’année suivante, à l’organisme de coordination conformément à l’article 13 ter en liaison avec l’article 30 bis. Afin de respecter l’obligation prévue au paragraphe 2, les produits de boissons offerts et le volume total des boissons à usage unique et réutilisables qu’ils ont mises sur le marché chaque année, ventilés par catégorie de boissons visées au paragraphe 1, sont également transmis. L’organe de coordination doit soumettre un rapport annuel à ce sujet au ministre fédéral de l’action pour le climat, de l’environnement, de l’énergie, de la mobilité, de l’innovation et de la technologie, en date du 30 avril de l’année suivante. Ce rapport, y compris les données communiquées, est publié à partir de l’année 2024.» Les données sont transmises par voie électronique au </w:t>
      </w:r>
      <w:r w:rsidRPr="006A673E">
        <w:lastRenderedPageBreak/>
        <w:t>ministre fédéral de l’action pour le climat, de l’environnement, de l’énergie, de la mobilité, de l’innovation et de la technologie, sur demande.</w:t>
      </w:r>
    </w:p>
    <w:p w14:paraId="6A4C4D7B" w14:textId="77777777" w:rsidR="00D00167" w:rsidRPr="006A673E" w:rsidRDefault="00D00167" w:rsidP="001307A3">
      <w:pPr>
        <w:pStyle w:val="45UeberschrPara"/>
      </w:pPr>
      <w:r w:rsidRPr="006A673E">
        <w:t>Consigne pour l’emballage de boissons à usage unique</w:t>
      </w:r>
    </w:p>
    <w:p w14:paraId="0C454E7D" w14:textId="77777777" w:rsidR="00D00167" w:rsidRPr="006A673E" w:rsidRDefault="00D00167" w:rsidP="001307A3">
      <w:pPr>
        <w:pStyle w:val="51Abs"/>
      </w:pPr>
      <w:r w:rsidRPr="006A673E">
        <w:rPr>
          <w:rStyle w:val="991GldSymbol"/>
        </w:rPr>
        <w:t>Article 14 quater.</w:t>
      </w:r>
      <w:r w:rsidRPr="006A673E">
        <w:t xml:space="preserve"> (1) Afin d’atteindre les objectifs de collecte et de recyclage, les entités soumises à l’obligation primaire en vertu de l’article 13 octies sont tenues, à compter du 1er janvier 2025, de prélever une consigne pour les emballages de boissons à usage unique en plastique ou en métal.</w:t>
      </w:r>
    </w:p>
    <w:p w14:paraId="59E0CCFA" w14:textId="77777777" w:rsidR="00D00167" w:rsidRPr="006A673E" w:rsidRDefault="00D00167" w:rsidP="001307A3">
      <w:pPr>
        <w:pStyle w:val="51Abs"/>
      </w:pPr>
      <w:r w:rsidRPr="006A673E">
        <w:t>(2) Le ministre fédéral de l’action pour le climat, de l’environnement, de l’énergie, de la mobilité, de l’innovation et de la technologie est autorisé, en accord avec le ministre fédéral du numérique et de l’économie, à arrêter des dispositions détaillées concernant notamment le groupe de produits, la nature du matériel, l’organisation, les flux matériels et financiers, l’organisme de coordination et ses missions, le montant de la consigne, l’identification, l’enregistrement des participants et des produits, les données à transmettre et les intervalles, l’utilisation des montants des consignes non retournées (consignes non réclamées) et l’obligation pour les distributeurs finaux de reprendre l’emballage.»</w:t>
      </w:r>
    </w:p>
    <w:p w14:paraId="20247C2C" w14:textId="77777777" w:rsidR="00D00167" w:rsidRPr="006A673E" w:rsidRDefault="00D00167" w:rsidP="001307A3">
      <w:pPr>
        <w:pStyle w:val="21NovAo1"/>
      </w:pPr>
      <w:r w:rsidRPr="006A673E">
        <w:t>90. À l'article 15, le paragraphe (4 b) suivant est inséré après le paragraphe (4 a) :</w:t>
      </w:r>
    </w:p>
    <w:p w14:paraId="32BC664C" w14:textId="77777777" w:rsidR="00D00167" w:rsidRPr="006A673E" w:rsidRDefault="00D00167" w:rsidP="001307A3">
      <w:pPr>
        <w:pStyle w:val="51Abs"/>
      </w:pPr>
      <w:r w:rsidRPr="006A673E">
        <w:t>« (4b) L’incinération des déchets collectés séparément conformément à une ordonnance en vertu de l’article 23, paragraphe 1, ou de l’article 28b, en vue de la préparation à la réutilisation ou au recyclage est interdite. »</w:t>
      </w:r>
    </w:p>
    <w:p w14:paraId="00AD41F0" w14:textId="77777777" w:rsidR="00D00167" w:rsidRPr="006A673E" w:rsidRDefault="00D00167" w:rsidP="001307A3">
      <w:pPr>
        <w:pStyle w:val="21NovAo1"/>
      </w:pPr>
      <w:r w:rsidRPr="006A673E">
        <w:t>91. Le paragraphe 9 suivant est ajouté à l'article 15 :</w:t>
      </w:r>
    </w:p>
    <w:p w14:paraId="11C73CE0" w14:textId="77777777" w:rsidR="00D00167" w:rsidRPr="006A673E" w:rsidRDefault="00D00167" w:rsidP="001307A3">
      <w:pPr>
        <w:pStyle w:val="51Abs"/>
      </w:pPr>
      <w:r w:rsidRPr="006A673E">
        <w:t>«(9) Transport de déchets d’un total de dix tonnes ou plus avec une distance de transport par route de</w:t>
      </w:r>
    </w:p>
    <w:p w14:paraId="2377290E" w14:textId="77777777" w:rsidR="00D00167" w:rsidRPr="006A673E" w:rsidRDefault="00D00167" w:rsidP="001307A3">
      <w:pPr>
        <w:pStyle w:val="52Aufzaehle1Ziffer"/>
      </w:pPr>
      <w:r w:rsidRPr="006A673E">
        <w:tab/>
        <w:t>1.</w:t>
      </w:r>
      <w:r w:rsidRPr="006A673E">
        <w:tab/>
        <w:t>300 km en Autriche à partir du 1er janvier 2023 </w:t>
      </w:r>
    </w:p>
    <w:p w14:paraId="2D6ECE99" w14:textId="77777777" w:rsidR="00D00167" w:rsidRPr="006A673E" w:rsidRDefault="00D00167" w:rsidP="001307A3">
      <w:pPr>
        <w:pStyle w:val="52Aufzaehle1Ziffer"/>
      </w:pPr>
      <w:r w:rsidRPr="006A673E">
        <w:tab/>
        <w:t>2.</w:t>
      </w:r>
      <w:r w:rsidRPr="006A673E">
        <w:tab/>
        <w:t>200 km en Autriche à partir du 1er janvier 2024 </w:t>
      </w:r>
    </w:p>
    <w:p w14:paraId="0EF890E0" w14:textId="77777777" w:rsidR="00D00167" w:rsidRPr="006A673E" w:rsidRDefault="00D00167" w:rsidP="001307A3">
      <w:pPr>
        <w:pStyle w:val="52Aufzaehle1Ziffer"/>
      </w:pPr>
      <w:r w:rsidRPr="006A673E">
        <w:tab/>
        <w:t>3.</w:t>
      </w:r>
      <w:r w:rsidRPr="006A673E">
        <w:tab/>
        <w:t>100 km en Autriche à partir du 1er janvier 2026,</w:t>
      </w:r>
    </w:p>
    <w:p w14:paraId="70DA8F91" w14:textId="77777777" w:rsidR="00D00167" w:rsidRPr="006A673E" w:rsidRDefault="00D00167" w:rsidP="001307A3">
      <w:pPr>
        <w:pStyle w:val="58Schlussteile0Abs"/>
      </w:pPr>
      <w:r w:rsidRPr="006A673E">
        <w:t>doivent être effectués par chemin de fer ou par d’autres moyens de transport ayant un potentiel équivalent ou inférieur à celui des polluants ou des gaz à effet de serre (ex.: propulsion par moteur électrique ou piles à combustible). Cela ne s’applique pas s’il est prouvé qu’aucune capacité correspondante ne peut être fournie par chemin de fer ou si, dans le cas du transport ferroviaire, la distance à parcourir par la route pour le trajet à destination et en provenance du point de chargement serait égale ou supérieure à 25 % par rapport au transport exclusivement routier. Les pièces justificatives pertinentes doivent être transportées pendant le transport et présentées à l’autorité qui en fait la demande. Le 1er décembre 2022 au plus tard, le Ministère fédéral de l'action pour le climat, de l'environnement, de l'énergie, de la mobilité, de l'innovation et de la technologie mettra en place, en coordination avec la Chambre de commerce autrichienne, une plate-forme numérique qui permettra d'examiner les offres de transport de déchets dans le transport ferroviaire de marchandises et, si aucune capacité correspondante n'est disponible, de le confirmer dans un délai de deux jours ouvrables. Seule la confirmation par la plateforme numérique est considérée comme la preuve qu’aucune capacité correspondante ne peut être fournie. Le Ministre fédéral de l’action pour le climat, de l’environnement, de l’énergie, de la mobilité, de l’innovation et de la technologie évalue l’efficacité de ce dispositif au plus tard le 31 décembre 2024. » Dans le cadre de l’évaluation, le suivi de la concurrence, notamment en ce qui concerne l’évolution de l’intensité de la concurrence, est effectué avec l’aide de l’autorité fédérale de la concurrence.»</w:t>
      </w:r>
    </w:p>
    <w:p w14:paraId="0BC299FD" w14:textId="69117C95" w:rsidR="00D00167" w:rsidRPr="006A673E" w:rsidRDefault="00D00167" w:rsidP="001307A3">
      <w:pPr>
        <w:pStyle w:val="22NovAo2"/>
      </w:pPr>
      <w:r w:rsidRPr="006A673E">
        <w:t>92. À l’article 16, paragraphe 3, point 1, la formulation</w:t>
      </w:r>
      <w:r w:rsidR="00253AF6" w:rsidRPr="006A673E">
        <w:t xml:space="preserve"> </w:t>
      </w:r>
      <w:r w:rsidRPr="006A673E">
        <w:rPr>
          <w:i w:val="0"/>
        </w:rPr>
        <w:t xml:space="preserve">«Les huiles usées sont soumises à un recyclage» </w:t>
      </w:r>
      <w:r w:rsidRPr="006A673E">
        <w:t xml:space="preserve">est remplacée par le mots </w:t>
      </w:r>
      <w:r w:rsidRPr="006A673E">
        <w:rPr>
          <w:i w:val="0"/>
        </w:rPr>
        <w:t>«Les huiles usées sont soumises à un retraitement ou à un autre procédé de recyclage qui produit un résultat environnemental équivalent ou supérieur au retraitement,».</w:t>
      </w:r>
    </w:p>
    <w:p w14:paraId="439A34C9" w14:textId="5EE54FB2" w:rsidR="00D00167" w:rsidRPr="006A673E" w:rsidRDefault="00D00167" w:rsidP="001307A3">
      <w:pPr>
        <w:pStyle w:val="22NovAo2"/>
      </w:pPr>
      <w:r w:rsidRPr="006A673E">
        <w:t>93. À l’article 16, paragraphe 4, la formulation</w:t>
      </w:r>
      <w:r w:rsidRPr="006A673E">
        <w:rPr>
          <w:i w:val="0"/>
        </w:rPr>
        <w:t>«</w:t>
      </w:r>
      <w:r w:rsidR="00253AF6" w:rsidRPr="006A673E">
        <w:rPr>
          <w:i w:val="0"/>
        </w:rPr>
        <w:t xml:space="preserve"> </w:t>
      </w:r>
      <w:r w:rsidRPr="006A673E">
        <w:rPr>
          <w:i w:val="0"/>
        </w:rPr>
        <w:t>Déchets qui, conformément à l’annexe IV du règlement (CE) n° 850/2004 relatif aux polluants organiques persistants et modifiant la directive 79/117/CEE (ci-après: règlement CE sur les POP), JO L 158 du 30/04/2004, p. 7, rectifié par le JO L 229 du 29/06/2004, p. 5, tel que modifié, relève du présent règlement (déchets contenant des polluants organiques persistants – déchets contenant des POP)»</w:t>
      </w:r>
      <w:r w:rsidRPr="006A673E">
        <w:t xml:space="preserve"> est remplacée par les mots </w:t>
      </w:r>
      <w:r w:rsidRPr="006A673E">
        <w:rPr>
          <w:i w:val="0"/>
        </w:rPr>
        <w:t>«déchets contenant des POP»</w:t>
      </w:r>
      <w:r w:rsidRPr="006A673E">
        <w:t xml:space="preserve"> et l’ expression </w:t>
      </w:r>
      <w:r w:rsidRPr="006A673E">
        <w:rPr>
          <w:i w:val="0"/>
        </w:rPr>
        <w:t>«règlement CE relatif aux POP»</w:t>
      </w:r>
      <w:r w:rsidRPr="006A673E">
        <w:t xml:space="preserve"> est en conséquence remplacée par «règlement de l’UE relatif aux POP » à chaque occurrence.</w:t>
      </w:r>
    </w:p>
    <w:p w14:paraId="0DE7CD80" w14:textId="77777777" w:rsidR="00D00167" w:rsidRPr="006A673E" w:rsidRDefault="00D00167" w:rsidP="001307A3">
      <w:pPr>
        <w:pStyle w:val="22NovAo2"/>
      </w:pPr>
      <w:r w:rsidRPr="006A673E">
        <w:t xml:space="preserve">94. Dans la partie introductive de l’article 16, paragraphe 7, la formulation </w:t>
      </w:r>
      <w:r w:rsidRPr="006A673E">
        <w:rPr>
          <w:i w:val="0"/>
        </w:rPr>
        <w:t xml:space="preserve">«déchets produits pendant les activités de construction » </w:t>
      </w:r>
      <w:r w:rsidRPr="006A673E">
        <w:t xml:space="preserve">est remplacée par la formulation </w:t>
      </w:r>
      <w:r w:rsidRPr="006A673E">
        <w:rPr>
          <w:i w:val="0"/>
        </w:rPr>
        <w:t xml:space="preserve">«des déchets de construction et de démolition» </w:t>
      </w:r>
      <w:r w:rsidRPr="006A673E">
        <w:t>et les mots «</w:t>
      </w:r>
      <w:r w:rsidRPr="006A673E">
        <w:rPr>
          <w:i w:val="0"/>
        </w:rPr>
        <w:t xml:space="preserve">du matériel» </w:t>
      </w:r>
      <w:r w:rsidRPr="006A673E">
        <w:t>sont insérés au point 1 après le mot «</w:t>
      </w:r>
      <w:r w:rsidRPr="006A673E">
        <w:rPr>
          <w:i w:val="0"/>
        </w:rPr>
        <w:t>valorisation»</w:t>
      </w:r>
      <w:r w:rsidRPr="006A673E">
        <w:t>.</w:t>
      </w:r>
    </w:p>
    <w:p w14:paraId="10C3701C" w14:textId="77777777" w:rsidR="00D00167" w:rsidRPr="006A673E" w:rsidRDefault="00D00167" w:rsidP="001307A3">
      <w:pPr>
        <w:pStyle w:val="21NovAo1"/>
      </w:pPr>
      <w:r w:rsidRPr="006A673E">
        <w:lastRenderedPageBreak/>
        <w:t>95. Le paragraphe 6 suivant est ajouté à l'article 17 :</w:t>
      </w:r>
    </w:p>
    <w:p w14:paraId="34B09606" w14:textId="77777777" w:rsidR="00D00167" w:rsidRPr="006A673E" w:rsidRDefault="00D00167" w:rsidP="001307A3">
      <w:pPr>
        <w:pStyle w:val="51Abs"/>
      </w:pPr>
      <w:r w:rsidRPr="006A673E">
        <w:t>« (6) Le Ministre fédéral de l’action pour le climat, de l’environnement, de l’énergie, de la mobilité, de l’innovation et de la technologie est habilité à adopter des exigences pour les déchets contenant des POP en ce qui concerne les enregistrements électroniques et les notifications figurant dans le registre. »</w:t>
      </w:r>
    </w:p>
    <w:p w14:paraId="75783254" w14:textId="77777777" w:rsidR="00D00167" w:rsidRPr="006A673E" w:rsidRDefault="00D00167" w:rsidP="001307A3">
      <w:pPr>
        <w:pStyle w:val="21NovAo1"/>
      </w:pPr>
      <w:r w:rsidRPr="006A673E">
        <w:t>96. Le titre de l'article 18 est formulé comme suit :</w:t>
      </w:r>
    </w:p>
    <w:p w14:paraId="1F2FABAA" w14:textId="77777777" w:rsidR="00D00167" w:rsidRPr="006A673E" w:rsidRDefault="00D00167" w:rsidP="001307A3">
      <w:pPr>
        <w:pStyle w:val="45UeberschrPara"/>
      </w:pPr>
      <w:r w:rsidRPr="006A673E">
        <w:t>« Transfert de déchets dangereux et de déchets contenant des POP »</w:t>
      </w:r>
    </w:p>
    <w:p w14:paraId="02D96903" w14:textId="77777777" w:rsidR="00D00167" w:rsidRPr="006A673E" w:rsidRDefault="00D00167" w:rsidP="001307A3">
      <w:pPr>
        <w:pStyle w:val="21NovAo1"/>
      </w:pPr>
      <w:r w:rsidRPr="006A673E">
        <w:t>97. La phrase suivante est ajoutée à l’article 18, paragraphe 1 :</w:t>
      </w:r>
    </w:p>
    <w:p w14:paraId="699E39CE" w14:textId="77777777" w:rsidR="00D00167" w:rsidRPr="006A673E" w:rsidRDefault="00D00167" w:rsidP="001307A3">
      <w:pPr>
        <w:pStyle w:val="23SatznachNovao"/>
      </w:pPr>
      <w:r w:rsidRPr="006A673E">
        <w:t>« Les aspects spécifiques des déchets, en particulier s’il s’agit de déchets contenant des POP, doivent être divulgués. »</w:t>
      </w:r>
    </w:p>
    <w:p w14:paraId="761C89FF" w14:textId="77777777" w:rsidR="00D00167" w:rsidRPr="006A673E" w:rsidRDefault="00D00167" w:rsidP="001307A3">
      <w:pPr>
        <w:pStyle w:val="22NovAo2"/>
      </w:pPr>
      <w:r w:rsidRPr="006A673E">
        <w:t xml:space="preserve">98. À l’article 18, paragraphe 3, les mots </w:t>
      </w:r>
      <w:r w:rsidRPr="006A673E">
        <w:rPr>
          <w:i w:val="0"/>
        </w:rPr>
        <w:t>«au moyen du registre conformément à l’article 22 AWG 2002’</w:t>
      </w:r>
      <w:r w:rsidRPr="006A673E">
        <w:t xml:space="preserve"> sont insérés après le mot </w:t>
      </w:r>
      <w:r w:rsidRPr="006A673E">
        <w:rPr>
          <w:i w:val="0"/>
        </w:rPr>
        <w:t>«gouverneur»</w:t>
      </w:r>
      <w:r w:rsidRPr="006A673E">
        <w:t>.</w:t>
      </w:r>
    </w:p>
    <w:p w14:paraId="3FE6FDA3" w14:textId="77777777" w:rsidR="00D00167" w:rsidRPr="006A673E" w:rsidRDefault="00D00167" w:rsidP="001307A3">
      <w:pPr>
        <w:pStyle w:val="21NovAo1"/>
      </w:pPr>
      <w:r w:rsidRPr="006A673E">
        <w:t>99. Le paragraphe 8 suivant est ajouté à l'article 18 :</w:t>
      </w:r>
    </w:p>
    <w:p w14:paraId="1B9D35C0" w14:textId="50FF632D" w:rsidR="00D00167" w:rsidRPr="006A673E" w:rsidRDefault="00D00167" w:rsidP="001307A3">
      <w:pPr>
        <w:pStyle w:val="51Abs"/>
      </w:pPr>
      <w:r w:rsidRPr="006A673E">
        <w:t>«</w:t>
      </w:r>
      <w:r w:rsidR="00253AF6" w:rsidRPr="006A673E">
        <w:t xml:space="preserve"> </w:t>
      </w:r>
      <w:r w:rsidRPr="006A673E">
        <w:t>(8) Les paragraphes 1 et 3 à 7 s’appliquent mutatis mutandis aux déchets non dangereux qui sont des déchets contenant des POP.</w:t>
      </w:r>
      <w:r w:rsidR="00253AF6" w:rsidRPr="006A673E">
        <w:t xml:space="preserve"> </w:t>
      </w:r>
      <w:r w:rsidRPr="006A673E">
        <w:t>»</w:t>
      </w:r>
    </w:p>
    <w:p w14:paraId="7923D0ED" w14:textId="77777777" w:rsidR="00D00167" w:rsidRPr="006A673E" w:rsidRDefault="00D00167" w:rsidP="001307A3">
      <w:pPr>
        <w:pStyle w:val="21NovAo1"/>
      </w:pPr>
      <w:r w:rsidRPr="006A673E">
        <w:t>100. Le titre de l'article 19 est formulé comme suit :</w:t>
      </w:r>
    </w:p>
    <w:p w14:paraId="6E130D8E" w14:textId="77777777" w:rsidR="00D00167" w:rsidRPr="006A673E" w:rsidRDefault="00D00167" w:rsidP="001307A3">
      <w:pPr>
        <w:pStyle w:val="45UeberschrPara"/>
      </w:pPr>
      <w:r w:rsidRPr="006A673E">
        <w:t>« Transport de déchets dangereux et de déchets contenant des POP »</w:t>
      </w:r>
    </w:p>
    <w:p w14:paraId="6BFBEB5B" w14:textId="77777777" w:rsidR="00D00167" w:rsidRPr="006A673E" w:rsidRDefault="00D00167" w:rsidP="001307A3">
      <w:pPr>
        <w:pStyle w:val="21NovAo1"/>
      </w:pPr>
      <w:r w:rsidRPr="006A673E">
        <w:t>101. Le paragraphe 3 suivant est ajouté à l'article 19 :</w:t>
      </w:r>
    </w:p>
    <w:p w14:paraId="3A80FC1E" w14:textId="77777777" w:rsidR="00D00167" w:rsidRPr="006A673E" w:rsidRDefault="00D00167" w:rsidP="001307A3">
      <w:pPr>
        <w:pStyle w:val="51Abs"/>
      </w:pPr>
      <w:r w:rsidRPr="006A673E">
        <w:t>« (3) Les sous-paragraphes 1 et 3 du paragraphe 1 et le paragraphe 2 s’appliquent mutatis mutandis aux déchets non dangereux qui sont des déchets contenant des POP. »</w:t>
      </w:r>
    </w:p>
    <w:p w14:paraId="0154E0B2" w14:textId="77777777" w:rsidR="00D00167" w:rsidRPr="006A673E" w:rsidRDefault="00D00167" w:rsidP="001307A3">
      <w:pPr>
        <w:pStyle w:val="21NovAo1"/>
      </w:pPr>
      <w:r w:rsidRPr="006A673E">
        <w:t>102. À l’article 20, le paragraphe 1 a suivant est inséré après le paragraphe 1 :</w:t>
      </w:r>
    </w:p>
    <w:p w14:paraId="303CBF51" w14:textId="77777777" w:rsidR="00D00167" w:rsidRPr="006A673E" w:rsidRDefault="00D00167" w:rsidP="001307A3">
      <w:pPr>
        <w:pStyle w:val="51Abs"/>
      </w:pPr>
      <w:r w:rsidRPr="006A673E">
        <w:t>« (1 a) Par dérogation au paragraphe 1, l’enregistrement peut également être commencé par l’intermédiaire d’autres registres établis aux fins de l’administration et de l’administration en ligne du Gouvernement fédéral. »</w:t>
      </w:r>
    </w:p>
    <w:p w14:paraId="2584582D" w14:textId="77777777" w:rsidR="00D00167" w:rsidRPr="006A673E" w:rsidRDefault="00D00167" w:rsidP="001307A3">
      <w:pPr>
        <w:pStyle w:val="21NovAo1"/>
      </w:pPr>
      <w:r w:rsidRPr="006A673E">
        <w:t>103. À l’article 21, le paragraphe 1 a suivant est inséré après le paragraphe 1 :</w:t>
      </w:r>
    </w:p>
    <w:p w14:paraId="61377BD8" w14:textId="77777777" w:rsidR="00D00167" w:rsidRPr="006A673E" w:rsidRDefault="00D00167" w:rsidP="001307A3">
      <w:pPr>
        <w:pStyle w:val="51Abs"/>
      </w:pPr>
      <w:r w:rsidRPr="006A673E">
        <w:t>« (1 a) Par dérogation au paragraphe 1, l’enregistrement peut également être commencé par l’intermédiaire d’autres registres établis aux fins de l’administration et de l’administration en ligne du Gouvernement fédéral. »</w:t>
      </w:r>
    </w:p>
    <w:p w14:paraId="2896E639" w14:textId="77777777" w:rsidR="00D00167" w:rsidRPr="006A673E" w:rsidRDefault="00D00167" w:rsidP="001307A3">
      <w:pPr>
        <w:pStyle w:val="22NovAo2"/>
      </w:pPr>
      <w:r w:rsidRPr="006A673E">
        <w:t>104. À l’article 21, paragraphe 2 b, le sous-paragraphe 2 est supprimé.</w:t>
      </w:r>
    </w:p>
    <w:p w14:paraId="400AE549" w14:textId="77777777" w:rsidR="00D00167" w:rsidRPr="006A673E" w:rsidRDefault="00D00167" w:rsidP="001307A3">
      <w:pPr>
        <w:pStyle w:val="21NovAo1"/>
      </w:pPr>
      <w:r w:rsidRPr="006A673E">
        <w:t>105. La phrase suivante est ajoutée à l’article 22, paragraphe 1 :</w:t>
      </w:r>
    </w:p>
    <w:p w14:paraId="7D0AED6B" w14:textId="17671CE3" w:rsidR="00D00167" w:rsidRPr="006A673E" w:rsidRDefault="00D00167" w:rsidP="001307A3">
      <w:pPr>
        <w:pStyle w:val="23SatznachNovao"/>
      </w:pPr>
      <w:r w:rsidRPr="006A673E">
        <w:t>«</w:t>
      </w:r>
      <w:r w:rsidR="00253AF6" w:rsidRPr="006A673E">
        <w:t xml:space="preserve"> </w:t>
      </w:r>
      <w:r w:rsidRPr="006A673E">
        <w:t>Cela inclut l’extension d’interfaces à d’autres registres et fabricants de logiciels pour l’automatisation du traitement des données.</w:t>
      </w:r>
      <w:r w:rsidR="00253AF6" w:rsidRPr="006A673E">
        <w:t xml:space="preserve"> </w:t>
      </w:r>
      <w:r w:rsidRPr="006A673E">
        <w:t>»</w:t>
      </w:r>
    </w:p>
    <w:p w14:paraId="27432226" w14:textId="77777777" w:rsidR="00D00167" w:rsidRPr="006A673E" w:rsidRDefault="00D00167" w:rsidP="001307A3">
      <w:pPr>
        <w:pStyle w:val="21NovAo1"/>
      </w:pPr>
      <w:r w:rsidRPr="006A673E">
        <w:t>106. À la fin de l’article 22, paragraphe 2, sous-paragraphe 17, le point final est remplacé par une virgule et le sous-paragraphe 18 suivant est ajouté :</w:t>
      </w:r>
    </w:p>
    <w:p w14:paraId="5581E472" w14:textId="4D94AAA2" w:rsidR="00D00167" w:rsidRPr="006A673E" w:rsidRDefault="00D00167" w:rsidP="001307A3">
      <w:pPr>
        <w:pStyle w:val="52Aufzaehle1Ziffer"/>
      </w:pPr>
      <w:r w:rsidRPr="006A673E">
        <w:tab/>
        <w:t>« 18.</w:t>
      </w:r>
      <w:r w:rsidRPr="006A673E">
        <w:tab/>
        <w:t>Un logiciel qui a une interface avec les registres et les fabricants de logiciels.</w:t>
      </w:r>
      <w:r w:rsidR="00253AF6" w:rsidRPr="006A673E">
        <w:t xml:space="preserve"> </w:t>
      </w:r>
      <w:r w:rsidRPr="006A673E">
        <w:t>»</w:t>
      </w:r>
    </w:p>
    <w:p w14:paraId="7325BEAE" w14:textId="1B635A87" w:rsidR="00D00167" w:rsidRPr="006A673E" w:rsidRDefault="00D00167" w:rsidP="001307A3">
      <w:pPr>
        <w:pStyle w:val="22NovAo2"/>
      </w:pPr>
      <w:r w:rsidRPr="006A673E">
        <w:t xml:space="preserve">107. À l’article 22, paragraphe 5, point c, les mots </w:t>
      </w:r>
      <w:r w:rsidRPr="006A673E">
        <w:rPr>
          <w:i w:val="0"/>
        </w:rPr>
        <w:t>«ministre fédéral du travail, des affaires sociales, de la santé et de la protection des,</w:t>
      </w:r>
      <w:r w:rsidR="00253AF6" w:rsidRPr="006A673E">
        <w:rPr>
          <w:i w:val="0"/>
        </w:rPr>
        <w:t xml:space="preserve"> </w:t>
      </w:r>
      <w:r w:rsidRPr="006A673E">
        <w:rPr>
          <w:i w:val="0"/>
        </w:rPr>
        <w:t xml:space="preserve">clients» sont </w:t>
      </w:r>
      <w:r w:rsidRPr="006A673E">
        <w:t>remplacés par les mots</w:t>
      </w:r>
      <w:r w:rsidR="00253AF6" w:rsidRPr="006A673E">
        <w:t xml:space="preserve"> </w:t>
      </w:r>
      <w:r w:rsidRPr="006A673E">
        <w:rPr>
          <w:i w:val="0"/>
        </w:rPr>
        <w:t xml:space="preserve">«ministre fédéral des affaires sociales, de la santé, du bien-être et de la protection des consommateurs» </w:t>
      </w:r>
      <w:r w:rsidRPr="006A673E">
        <w:t>et les mots</w:t>
      </w:r>
      <w:r w:rsidR="00253AF6" w:rsidRPr="006A673E">
        <w:t xml:space="preserve"> </w:t>
      </w:r>
      <w:r w:rsidRPr="006A673E">
        <w:rPr>
          <w:i w:val="0"/>
        </w:rPr>
        <w:t xml:space="preserve">«ministre fédéral du travail, des affaires sociales, de la santé et de la protection des consommateurs» </w:t>
      </w:r>
      <w:r w:rsidRPr="006A673E">
        <w:t xml:space="preserve">par les mots </w:t>
      </w:r>
      <w:r w:rsidRPr="006A673E">
        <w:rPr>
          <w:i w:val="0"/>
        </w:rPr>
        <w:t>«ministre fédéral des affaires sociales, de la santé, du bien-être et de la protection des consommateurs»</w:t>
      </w:r>
      <w:r w:rsidRPr="006A673E">
        <w:t>.</w:t>
      </w:r>
    </w:p>
    <w:p w14:paraId="0A110E2D" w14:textId="5B62EE87" w:rsidR="00D00167" w:rsidRPr="006A673E" w:rsidRDefault="00D00167" w:rsidP="001307A3">
      <w:pPr>
        <w:pStyle w:val="21NovAo1"/>
      </w:pPr>
      <w:r w:rsidRPr="006A673E">
        <w:t>108. Au paragraphe 22, le paragraphe 5 e) suivant est inséré après le paragraphe 5 d)</w:t>
      </w:r>
      <w:r w:rsidR="00253AF6" w:rsidRPr="006A673E">
        <w:t xml:space="preserve"> </w:t>
      </w:r>
      <w:r w:rsidRPr="006A673E">
        <w:t>:</w:t>
      </w:r>
    </w:p>
    <w:p w14:paraId="4B599CA7" w14:textId="77777777" w:rsidR="00D00167" w:rsidRPr="006A673E" w:rsidRDefault="00D00167" w:rsidP="001307A3">
      <w:pPr>
        <w:pStyle w:val="51Abs"/>
      </w:pPr>
      <w:r w:rsidRPr="006A673E">
        <w:t>« (5e) Le Ministre fédéral de l’agriculture, des régions et du tourisme est autorisé à traiter les données des registres en coordination avec le Ministre fédéral de l’action pour le climat, de l’environnement, de l’énergie, de la mobilité, de l’innovation et de la technologie, dans le cadre de ses responsabilités dans l’accomplissement de leur mission dans le cadre de leur domaine d’activité. Il en va de même pour les autorités et organes chargés des questions relevant de la compétence du Ministre fédéral de l’agriculture, des régions et du tourisme dans l’administration fédérale indirecte. »</w:t>
      </w:r>
    </w:p>
    <w:p w14:paraId="47DB975F" w14:textId="77777777" w:rsidR="00D00167" w:rsidRPr="006A673E" w:rsidRDefault="00D00167" w:rsidP="001307A3">
      <w:pPr>
        <w:pStyle w:val="21NovAo1"/>
      </w:pPr>
      <w:r w:rsidRPr="006A673E">
        <w:lastRenderedPageBreak/>
        <w:t>109. À l’article 22, le paragraphe 6 a suivant est inséré après le paragraphe 6 :</w:t>
      </w:r>
    </w:p>
    <w:p w14:paraId="4E4AF625" w14:textId="77777777" w:rsidR="00D00167" w:rsidRPr="006A673E" w:rsidRDefault="00D00167" w:rsidP="001307A3">
      <w:pPr>
        <w:pStyle w:val="51Abs"/>
      </w:pPr>
      <w:r w:rsidRPr="006A673E">
        <w:t>« (6a) Les personnes inscrites au registre en vertu de l’article 22 et qui ne peuvent être clairement liées à une personne inscrite au registre des sociétés en vertu de l’article 25 de la Loi fédérale de 2000 sur les statistiques participent à leur identification afin d’établir un lien clair. »</w:t>
      </w:r>
    </w:p>
    <w:p w14:paraId="2CD1D317" w14:textId="77777777" w:rsidR="00D00167" w:rsidRPr="006A673E" w:rsidRDefault="00D00167" w:rsidP="001307A3">
      <w:pPr>
        <w:pStyle w:val="21NovAo1"/>
      </w:pPr>
      <w:r w:rsidRPr="006A673E">
        <w:t>110. Le paragraphe 11 suivant est ajouté à l'article 22 :</w:t>
      </w:r>
    </w:p>
    <w:p w14:paraId="089BF78B" w14:textId="77777777" w:rsidR="00D00167" w:rsidRPr="006A673E" w:rsidRDefault="00D00167" w:rsidP="001307A3">
      <w:pPr>
        <w:pStyle w:val="51Abs"/>
      </w:pPr>
      <w:r w:rsidRPr="006A673E">
        <w:t>«(11) Pour la poursuite du développement des registres, le ministre fédéral de l’action pour le climat, de l’environnement, de l’énergie, de la mobilité, de l’innovation et de la technologie est autorisé à apparier ou à adopter les données maîtresses conformément à l’article 22 paragraphe 2 et les numéros d’identification d’autres registres établis aux fins de l’administration publique ou de l’administration fédérale en ligne et à utiliser les numéros d’identification d’autres registres établis aux fins de l’administration publique ou de l’administration fédérale en ligne qui ont déjà été attribués sur base d’inscriptions dans le registre conformément à l’article 22, paragraphe 1. »</w:t>
      </w:r>
    </w:p>
    <w:p w14:paraId="62744F55" w14:textId="7856A463" w:rsidR="00D00167" w:rsidRPr="006A673E" w:rsidRDefault="00D00167" w:rsidP="001307A3">
      <w:pPr>
        <w:pStyle w:val="21NovAo1"/>
      </w:pPr>
      <w:r w:rsidRPr="006A673E">
        <w:t>111. Au paragraphe 22 a</w:t>
      </w:r>
      <w:r w:rsidR="000427C5" w:rsidRPr="006A673E">
        <w:t xml:space="preserve"> </w:t>
      </w:r>
      <w:r w:rsidRPr="006A673E">
        <w:t>(1) sous-paragraphe 1, la citation « </w:t>
      </w:r>
      <w:r w:rsidRPr="006A673E">
        <w:rPr>
          <w:i w:val="0"/>
        </w:rPr>
        <w:t>et le paragraphe 24a »</w:t>
      </w:r>
      <w:r w:rsidRPr="006A673E">
        <w:t xml:space="preserve"> est insérée au point f après la citation « article</w:t>
      </w:r>
      <w:r w:rsidRPr="006A673E">
        <w:rPr>
          <w:i w:val="0"/>
        </w:rPr>
        <w:t xml:space="preserve"> 37 »</w:t>
      </w:r>
      <w:r w:rsidRPr="006A673E">
        <w:t xml:space="preserve"> et le point g suivant est ajouté :</w:t>
      </w:r>
    </w:p>
    <w:p w14:paraId="231466CB" w14:textId="77777777" w:rsidR="00D00167" w:rsidRPr="006A673E" w:rsidRDefault="00D00167" w:rsidP="001307A3">
      <w:pPr>
        <w:pStyle w:val="52Aufzaehle2Lit"/>
      </w:pPr>
      <w:r w:rsidRPr="006A673E">
        <w:tab/>
        <w:t>« g)</w:t>
      </w:r>
      <w:r w:rsidRPr="006A673E">
        <w:tab/>
        <w:t>le nom, l’adresse, la date de naissance, les domaines de responsabilité des gestionnaires de déchets et des personnes responsables;»</w:t>
      </w:r>
    </w:p>
    <w:p w14:paraId="60B83756" w14:textId="77777777" w:rsidR="00D00167" w:rsidRPr="006A673E" w:rsidRDefault="00D00167" w:rsidP="001307A3">
      <w:pPr>
        <w:pStyle w:val="22NovAo2"/>
      </w:pPr>
      <w:r w:rsidRPr="006A673E">
        <w:t xml:space="preserve">112. À l’article 22a(3a), le mot </w:t>
      </w:r>
      <w:r w:rsidRPr="006A673E">
        <w:rPr>
          <w:i w:val="0"/>
        </w:rPr>
        <w:t>« entrée »</w:t>
      </w:r>
      <w:r w:rsidRPr="006A673E">
        <w:t xml:space="preserve"> est remplacé par le mot </w:t>
      </w:r>
      <w:r w:rsidRPr="006A673E">
        <w:rPr>
          <w:i w:val="0"/>
        </w:rPr>
        <w:t>« enregistrement »</w:t>
      </w:r>
      <w:r w:rsidRPr="006A673E">
        <w:t>.</w:t>
      </w:r>
    </w:p>
    <w:p w14:paraId="162FC3EC" w14:textId="77777777" w:rsidR="00D00167" w:rsidRPr="006A673E" w:rsidRDefault="00D00167" w:rsidP="001307A3">
      <w:pPr>
        <w:pStyle w:val="21NovAo1"/>
      </w:pPr>
      <w:r w:rsidRPr="006A673E">
        <w:t>113. La phrase suivante est ajoutée à l’article 22d(2) :</w:t>
      </w:r>
    </w:p>
    <w:p w14:paraId="417BFADE" w14:textId="77777777" w:rsidR="00D00167" w:rsidRPr="006A673E" w:rsidRDefault="00D00167" w:rsidP="001307A3">
      <w:pPr>
        <w:pStyle w:val="23SatznachNovao"/>
      </w:pPr>
      <w:r w:rsidRPr="006A673E">
        <w:t>« Cela s’applique également à la transmission par l’intermédiaire du service web. »</w:t>
      </w:r>
    </w:p>
    <w:p w14:paraId="4C53F116" w14:textId="77777777" w:rsidR="00D00167" w:rsidRPr="006A673E" w:rsidRDefault="00D00167" w:rsidP="001307A3">
      <w:pPr>
        <w:pStyle w:val="21NovAo1"/>
      </w:pPr>
      <w:r w:rsidRPr="006A673E">
        <w:t>114. Le paragraphe 3 suivant est ajouté à l'article 22d :</w:t>
      </w:r>
    </w:p>
    <w:p w14:paraId="4B54BC0C" w14:textId="77777777" w:rsidR="00D00167" w:rsidRPr="006A673E" w:rsidRDefault="00D00167" w:rsidP="001307A3">
      <w:pPr>
        <w:pStyle w:val="51Abs"/>
      </w:pPr>
      <w:r w:rsidRPr="006A673E">
        <w:t>« (3) Pour l’accès à des zones individuelles des registres, les personnes enregistrées dans leur propre zone de responsabilité peuvent se voir attribuer des mots de passe d’application en fonction des fonctionnalités mises en place. Le paragraphe 2 s’applique également lors de l’utilisation des mots de passe d’application. »</w:t>
      </w:r>
    </w:p>
    <w:p w14:paraId="0CBEF726" w14:textId="77777777" w:rsidR="00D00167" w:rsidRPr="006A673E" w:rsidRDefault="00D00167" w:rsidP="001307A3">
      <w:pPr>
        <w:pStyle w:val="21NovAo1"/>
      </w:pPr>
      <w:r w:rsidRPr="006A673E">
        <w:t>115. Après l’article 22d, l’article 22e ci-après, y compris son titre, est inséré :</w:t>
      </w:r>
    </w:p>
    <w:p w14:paraId="151C17AB" w14:textId="77777777" w:rsidR="00D00167" w:rsidRPr="006A673E" w:rsidRDefault="00D00167" w:rsidP="001307A3">
      <w:pPr>
        <w:pStyle w:val="45UeberschrPara"/>
      </w:pPr>
      <w:r w:rsidRPr="006A673E">
        <w:t>« Dispositions plus détaillées concernant les transmissions électroniques de données</w:t>
      </w:r>
    </w:p>
    <w:p w14:paraId="71C4AAB3" w14:textId="77777777" w:rsidR="00D00167" w:rsidRPr="006A673E" w:rsidRDefault="00D00167" w:rsidP="001307A3">
      <w:pPr>
        <w:pStyle w:val="51Abs"/>
      </w:pPr>
      <w:r w:rsidRPr="006A673E">
        <w:rPr>
          <w:rStyle w:val="991GldSymbol"/>
        </w:rPr>
        <w:t>Article 22 sexies.</w:t>
      </w:r>
      <w:r w:rsidRPr="006A673E">
        <w:t xml:space="preserve"> D’autres règlements sur les transmissions électroniques de données et les demandes de données peuvent être établis par ordonnance du ministre fédéral de l’action pour le climat, de l’environnement, de l’énergie, de la mobilité, de l’innovation et de la technologie. Il convient de veiller à ce que les logiciels ayant une interface avec les registres soient inter-opérables et non discriminatoires et, en particulier, à ce que la transmission des données soit complète et ne soit pas altérée.</w:t>
      </w:r>
    </w:p>
    <w:p w14:paraId="20D57BFB" w14:textId="77777777" w:rsidR="00D00167" w:rsidRPr="006A673E" w:rsidRDefault="00D00167" w:rsidP="001307A3">
      <w:pPr>
        <w:pStyle w:val="51Abs"/>
      </w:pPr>
      <w:r w:rsidRPr="006A673E">
        <w:t>(2) Les spécifications techniques et organisationnelles nécessaires à la transmission des données et aux demandes de données par l’intermédiaire du registre sont tenues à disposition sur edm.gv.at. »</w:t>
      </w:r>
    </w:p>
    <w:p w14:paraId="390215D7" w14:textId="77777777" w:rsidR="00D00167" w:rsidRPr="006A673E" w:rsidRDefault="00D00167" w:rsidP="001307A3">
      <w:pPr>
        <w:pStyle w:val="22NovAo2"/>
      </w:pPr>
      <w:r w:rsidRPr="006A673E">
        <w:t xml:space="preserve">116. À l’article  23, paragraphe 1, la formulation </w:t>
      </w:r>
      <w:r w:rsidRPr="006A673E">
        <w:rPr>
          <w:i w:val="0"/>
        </w:rPr>
        <w:t xml:space="preserve">«y compris l’élimination des substances, mélanges ou composants des déchets avant ou pendant le traitement» </w:t>
      </w:r>
      <w:r w:rsidRPr="006A673E">
        <w:t>est insérée au point 2 avant le point-virgule.</w:t>
      </w:r>
    </w:p>
    <w:p w14:paraId="200CA1CA" w14:textId="77777777" w:rsidR="00D00167" w:rsidRPr="006A673E" w:rsidRDefault="00D00167" w:rsidP="001307A3">
      <w:pPr>
        <w:pStyle w:val="21NovAo1"/>
      </w:pPr>
      <w:r w:rsidRPr="006A673E">
        <w:t>117. À l’article 23, le paragraphe 1 a suivant est inséré après le paragraphe 1 :</w:t>
      </w:r>
    </w:p>
    <w:p w14:paraId="1FA77D34" w14:textId="77777777" w:rsidR="00D00167" w:rsidRPr="006A673E" w:rsidRDefault="00D00167" w:rsidP="001307A3">
      <w:pPr>
        <w:pStyle w:val="51Abs"/>
      </w:pPr>
      <w:r w:rsidRPr="006A673E">
        <w:t>« (1 a) Il est possible de déroger aux dispositions du paragraphe 1 sous-paragraphe 1 si au moins l’une des conditions suivantes est remplie :</w:t>
      </w:r>
    </w:p>
    <w:p w14:paraId="777AFDEB" w14:textId="77777777" w:rsidR="00D00167" w:rsidRPr="006A673E" w:rsidRDefault="00D00167" w:rsidP="001307A3">
      <w:pPr>
        <w:pStyle w:val="52Aufzaehle1Ziffer"/>
      </w:pPr>
      <w:r w:rsidRPr="006A673E">
        <w:tab/>
        <w:t>1.</w:t>
      </w:r>
      <w:r w:rsidRPr="006A673E">
        <w:tab/>
        <w:t>La collecte combinée de certains types de déchets n’affecte pas leur potentiel de préparation en vue d’une réutilisation, d’un recyclage ou d’autres opérations de valorisation conformément aux articles 1, paragraphes 2 et 2, point a), et aboutit à une production de qualité comparable à celle obtenue grâce à une collecte séparée.</w:t>
      </w:r>
    </w:p>
    <w:p w14:paraId="446C0BE5" w14:textId="77777777" w:rsidR="00D00167" w:rsidRPr="006A673E" w:rsidRDefault="00D00167" w:rsidP="001307A3">
      <w:pPr>
        <w:pStyle w:val="52Aufzaehle1Ziffer"/>
      </w:pPr>
      <w:r w:rsidRPr="006A673E">
        <w:tab/>
        <w:t>2.</w:t>
      </w:r>
      <w:r w:rsidRPr="006A673E">
        <w:tab/>
        <w:t>La collecte séparée n’apporte pas les meilleurs résultats environnementaux lorsqu’il s’agit d’examiner les incidences environnementales globales de la gestion des flux de déchets pertinents.</w:t>
      </w:r>
    </w:p>
    <w:p w14:paraId="00111CD9" w14:textId="77777777" w:rsidR="00D00167" w:rsidRPr="006A673E" w:rsidRDefault="00D00167" w:rsidP="001307A3">
      <w:pPr>
        <w:pStyle w:val="52Aufzaehle1Ziffer"/>
      </w:pPr>
      <w:r w:rsidRPr="006A673E">
        <w:tab/>
        <w:t>3.</w:t>
      </w:r>
      <w:r w:rsidRPr="006A673E">
        <w:tab/>
        <w:t>La collecte séparée n'est techniquement pas faisable compte tenu des bonnes pratiques en matière de collecte des déchets.</w:t>
      </w:r>
    </w:p>
    <w:p w14:paraId="2B8C5D57" w14:textId="77777777" w:rsidR="00D00167" w:rsidRPr="006A673E" w:rsidRDefault="00D00167" w:rsidP="001307A3">
      <w:pPr>
        <w:pStyle w:val="52Aufzaehle1Ziffer"/>
      </w:pPr>
      <w:r w:rsidRPr="006A673E">
        <w:tab/>
        <w:t>4.</w:t>
      </w:r>
      <w:r w:rsidRPr="006A673E">
        <w:tab/>
        <w:t>La collecte séparée entraînerait des coûts économiques disproportionnés, compte tenu du coût des incidences néfastes sur l’environnement et la santé de la collecte et du traitement des déchets mixtes, du potentiel d’amélioration de l’efficacité de la collecte et du traitement des déchets, des recettes provenant des ventes de matières premières secondaires ainsi que de l’application du principe pollueur-payeur et de la responsabilité élargie du producteur. »</w:t>
      </w:r>
    </w:p>
    <w:p w14:paraId="42E5A866" w14:textId="77777777" w:rsidR="00D00167" w:rsidRPr="006A673E" w:rsidRDefault="00D00167" w:rsidP="001307A3">
      <w:pPr>
        <w:pStyle w:val="22NovAo2"/>
      </w:pPr>
      <w:r w:rsidRPr="006A673E">
        <w:lastRenderedPageBreak/>
        <w:t>118. À l'article 23(3) sous-paragraphe 4, la formulation « </w:t>
      </w:r>
      <w:r w:rsidRPr="006A673E">
        <w:rPr>
          <w:i w:val="0"/>
        </w:rPr>
        <w:t>avec les termes d’utilisation associés pour assurer une transmission électronique de données efficace et sans problèmes »</w:t>
      </w:r>
      <w:r w:rsidRPr="006A673E">
        <w:t xml:space="preserve"> est insérée après le mot « </w:t>
      </w:r>
      <w:r w:rsidRPr="006A673E">
        <w:rPr>
          <w:i w:val="0"/>
        </w:rPr>
        <w:t>transmissions »</w:t>
      </w:r>
      <w:r w:rsidRPr="006A673E">
        <w:t>.</w:t>
      </w:r>
    </w:p>
    <w:p w14:paraId="7F7A37B4" w14:textId="77777777" w:rsidR="00D00167" w:rsidRPr="006A673E" w:rsidRDefault="00D00167" w:rsidP="001307A3">
      <w:pPr>
        <w:pStyle w:val="22NovAo2"/>
      </w:pPr>
      <w:r w:rsidRPr="006A673E">
        <w:t xml:space="preserve">119. À l’article 23, paragraphe 4, la formulation </w:t>
      </w:r>
      <w:r w:rsidRPr="006A673E">
        <w:rPr>
          <w:i w:val="0"/>
        </w:rPr>
        <w:t>«le ministre fédéral de l’agriculture, des forêts, de l’environnement et de la gestion de l’eau est autorisé,»</w:t>
      </w:r>
      <w:r w:rsidRPr="006A673E">
        <w:t xml:space="preserve"> est remplacée par les mots </w:t>
      </w:r>
      <w:r w:rsidRPr="006A673E">
        <w:rPr>
          <w:i w:val="0"/>
        </w:rPr>
        <w:t>«le ministre fédéral de l’action pour le climat, de l’environnement, de l’énergie, de la mobilité, de l’innovation et de la technologie est habilité, en ce qui concerne le système de notification de la mise en œuvre de la responsabilité élargie du producteur conformément à l’article 8 bis, paragraphe 4, point a, de la directive 2008/98/CE sur les déchets et conformément à l’article 8, paragraphe c, point c, de la directive 2019/904 (SUP) et»</w:t>
      </w:r>
      <w:r w:rsidRPr="006A673E">
        <w:t>.</w:t>
      </w:r>
    </w:p>
    <w:p w14:paraId="0EB7EEC0" w14:textId="77777777" w:rsidR="00D00167" w:rsidRPr="006A673E" w:rsidRDefault="00D00167" w:rsidP="001307A3">
      <w:pPr>
        <w:pStyle w:val="21NovAo1"/>
      </w:pPr>
      <w:r w:rsidRPr="006A673E">
        <w:t>120. Le paragraphe 5 suivant est ajouté à l'article 23 :</w:t>
      </w:r>
    </w:p>
    <w:p w14:paraId="414F070E" w14:textId="77777777" w:rsidR="00D00167" w:rsidRPr="006A673E" w:rsidRDefault="00D00167" w:rsidP="001307A3">
      <w:pPr>
        <w:pStyle w:val="51Abs"/>
      </w:pPr>
      <w:r w:rsidRPr="006A673E">
        <w:t>« (5) Le Ministre fédéral de l’Action pour le climat, de l’Environnement, de l’Énergie, de la Mobilité, de l’Innovation et de la Technologie est autorisé à spécifier des parties du registre conformément à l’article 22 en vue d’une utilisation obligatoire afin d’assurer le traitement électronique des procédures egouvernement. »</w:t>
      </w:r>
    </w:p>
    <w:p w14:paraId="0FCE6C9F" w14:textId="77777777" w:rsidR="00D00167" w:rsidRPr="006A673E" w:rsidRDefault="00D00167" w:rsidP="001307A3">
      <w:pPr>
        <w:pStyle w:val="22NovAo2"/>
      </w:pPr>
      <w:r w:rsidRPr="006A673E">
        <w:t xml:space="preserve">121. Article 26(3), les mots </w:t>
      </w:r>
      <w:r w:rsidRPr="006A673E">
        <w:rPr>
          <w:i w:val="0"/>
        </w:rPr>
        <w:t>« à cet égard »</w:t>
      </w:r>
      <w:r w:rsidRPr="006A673E">
        <w:t xml:space="preserve"> doivent être supprimés et les mots </w:t>
      </w:r>
      <w:r w:rsidRPr="006A673E">
        <w:rPr>
          <w:i w:val="0"/>
        </w:rPr>
        <w:t>« y compris les permis de déchets »</w:t>
      </w:r>
      <w:r w:rsidRPr="006A673E">
        <w:t xml:space="preserve"> doivent être insérés après les mots </w:t>
      </w:r>
      <w:r w:rsidRPr="006A673E">
        <w:rPr>
          <w:i w:val="0"/>
        </w:rPr>
        <w:t>« réglementation des déchets</w:t>
      </w:r>
      <w:r w:rsidRPr="006A673E">
        <w:t> ».</w:t>
      </w:r>
    </w:p>
    <w:p w14:paraId="7D29BCA4" w14:textId="77777777" w:rsidR="00D00167" w:rsidRPr="006A673E" w:rsidRDefault="00D00167" w:rsidP="001307A3">
      <w:pPr>
        <w:pStyle w:val="21NovAo1"/>
      </w:pPr>
      <w:r w:rsidRPr="006A673E">
        <w:t>122. L’article 26(4), sous-paragraphe 1, est formulé comme suit :</w:t>
      </w:r>
    </w:p>
    <w:p w14:paraId="4536D836" w14:textId="77777777" w:rsidR="00D00167" w:rsidRPr="006A673E" w:rsidRDefault="00D00167" w:rsidP="001307A3">
      <w:pPr>
        <w:pStyle w:val="52Aufzaehle1Ziffer"/>
      </w:pPr>
      <w:r w:rsidRPr="006A673E">
        <w:tab/>
        <w:t>« 1.</w:t>
      </w:r>
      <w:r w:rsidRPr="006A673E">
        <w:tab/>
        <w:t>connaissance de la classification, du risque potentiel et de la méthode de traitement des déchets à collecter et à traiter ; »</w:t>
      </w:r>
    </w:p>
    <w:p w14:paraId="64117A8A" w14:textId="77777777" w:rsidR="00D00167" w:rsidRPr="006A673E" w:rsidRDefault="00D00167" w:rsidP="001307A3">
      <w:pPr>
        <w:pStyle w:val="21NovAo1"/>
      </w:pPr>
      <w:r w:rsidRPr="006A673E">
        <w:t>123. À l’article 26, paragraphe 4, la partie finale suivante est ajoutée :</w:t>
      </w:r>
    </w:p>
    <w:p w14:paraId="0D96E1B1" w14:textId="77777777" w:rsidR="00D00167" w:rsidRPr="006A673E" w:rsidRDefault="00D00167" w:rsidP="001307A3">
      <w:pPr>
        <w:pStyle w:val="58Schlussteile0Abs"/>
      </w:pPr>
      <w:r w:rsidRPr="006A673E">
        <w:t>« Il en va de même pour le gouvernement fédéral dans le cadre de la collecte et du traitement des déchets aux fins de la banque de halons, conformément à l’Ordonnance sur la banque de halons, BGBl. II no° 77/2000. »</w:t>
      </w:r>
    </w:p>
    <w:p w14:paraId="705D09CE" w14:textId="77777777" w:rsidR="00D00167" w:rsidRPr="006A673E" w:rsidRDefault="00D00167" w:rsidP="001307A3">
      <w:pPr>
        <w:pStyle w:val="21NovAo1"/>
      </w:pPr>
      <w:r w:rsidRPr="006A673E">
        <w:t>124. Après l’article 26 (5), le paragraphe 5 a est inséré comme suit :</w:t>
      </w:r>
    </w:p>
    <w:p w14:paraId="3C4E211E" w14:textId="77777777" w:rsidR="00D00167" w:rsidRPr="006A673E" w:rsidRDefault="00D00167" w:rsidP="001307A3">
      <w:pPr>
        <w:pStyle w:val="51Abs"/>
      </w:pPr>
      <w:r w:rsidRPr="006A673E">
        <w:t>« (5 a) Le défaut de désignation d’un gestionnaire de déchets ou d’une personne responsable est notifié à l’autorité. »</w:t>
      </w:r>
    </w:p>
    <w:p w14:paraId="1C594A5A" w14:textId="77777777" w:rsidR="00D00167" w:rsidRPr="006A673E" w:rsidRDefault="00D00167" w:rsidP="001307A3">
      <w:pPr>
        <w:pStyle w:val="21NovAo1"/>
      </w:pPr>
      <w:r w:rsidRPr="006A673E">
        <w:t xml:space="preserve">125. À l’article 26, paragraphe 6, après le mot </w:t>
      </w:r>
      <w:r w:rsidRPr="006A673E">
        <w:rPr>
          <w:i w:val="0"/>
        </w:rPr>
        <w:t xml:space="preserve">«exécuté» </w:t>
      </w:r>
      <w:r w:rsidRPr="006A673E">
        <w:t>les mots «</w:t>
      </w:r>
      <w:r w:rsidRPr="006A673E">
        <w:rPr>
          <w:i w:val="0"/>
        </w:rPr>
        <w:t xml:space="preserve">ou le candidat ne parvient pas à démontrer la fiabilité et les compétences et connaissances professionnelles nécessaires pour mener l’activité» </w:t>
      </w:r>
      <w:r w:rsidRPr="006A673E">
        <w:t xml:space="preserve">sont rajoutés, les mots </w:t>
      </w:r>
      <w:r w:rsidRPr="006A673E">
        <w:rPr>
          <w:i w:val="0"/>
        </w:rPr>
        <w:t xml:space="preserve">«à nommer» </w:t>
      </w:r>
      <w:r w:rsidRPr="006A673E">
        <w:t xml:space="preserve">sont remplacés par les mots </w:t>
      </w:r>
      <w:r w:rsidRPr="006A673E">
        <w:rPr>
          <w:i w:val="0"/>
        </w:rPr>
        <w:t>«à désigner»</w:t>
      </w:r>
      <w:r w:rsidRPr="006A673E">
        <w:t xml:space="preserve">, les mots </w:t>
      </w:r>
      <w:r w:rsidRPr="006A673E">
        <w:rPr>
          <w:i w:val="0"/>
        </w:rPr>
        <w:t xml:space="preserve">«doit démontrer la fiabilité et les compétences et connaissances professionnelles» </w:t>
      </w:r>
      <w:r w:rsidRPr="006A673E">
        <w:t xml:space="preserve">sont remplacés par les mots </w:t>
      </w:r>
      <w:r w:rsidRPr="006A673E">
        <w:rPr>
          <w:i w:val="0"/>
        </w:rPr>
        <w:t>«remplit les critères énoncés par le paragraphe 1, points 1 à 3»</w:t>
      </w:r>
      <w:r w:rsidRPr="006A673E">
        <w:t>, et la phrase suivante est ajoutée à la fin:</w:t>
      </w:r>
    </w:p>
    <w:p w14:paraId="288618FE" w14:textId="77777777" w:rsidR="00D00167" w:rsidRPr="006A673E" w:rsidRDefault="00D00167" w:rsidP="001307A3">
      <w:pPr>
        <w:pStyle w:val="23SatznachNovao"/>
      </w:pPr>
      <w:r w:rsidRPr="006A673E">
        <w:t>« La personne responsable est le représentant autorisé responsable au sens de l’article 9 du Code pénal administratif (VStG) et est responsable de l’exercice professionnel rationnel des activités de collecte et de traitement des déchets non dangereux et du respect de la réglementation en matière de déchets, y compris les permis de déchets. »</w:t>
      </w:r>
    </w:p>
    <w:p w14:paraId="3B7987E3" w14:textId="2EED4F6B" w:rsidR="00D00167" w:rsidRPr="006A673E" w:rsidRDefault="00D00167" w:rsidP="001307A3">
      <w:pPr>
        <w:pStyle w:val="22NovAo2"/>
      </w:pPr>
      <w:r w:rsidRPr="006A673E">
        <w:t xml:space="preserve">126. Dans le titre de l’article 27, le mot </w:t>
      </w:r>
      <w:r w:rsidRPr="006A673E">
        <w:rPr>
          <w:i w:val="0"/>
        </w:rPr>
        <w:t>« suspension »</w:t>
      </w:r>
      <w:r w:rsidRPr="006A673E">
        <w:t xml:space="preserve"> est supprimé.</w:t>
      </w:r>
    </w:p>
    <w:p w14:paraId="405EF179" w14:textId="77777777" w:rsidR="00D00167" w:rsidRPr="006A673E" w:rsidRDefault="00D00167" w:rsidP="001307A3">
      <w:pPr>
        <w:pStyle w:val="21NovAo1"/>
      </w:pPr>
      <w:r w:rsidRPr="006A673E">
        <w:t>127. L’article 28b, y compris le titre suivant, est ajouté après l’article 28a :</w:t>
      </w:r>
    </w:p>
    <w:p w14:paraId="156278EA" w14:textId="77777777" w:rsidR="00D00167" w:rsidRPr="006A673E" w:rsidRDefault="00D00167" w:rsidP="001307A3">
      <w:pPr>
        <w:pStyle w:val="45UeberschrPara"/>
      </w:pPr>
      <w:r w:rsidRPr="006A673E">
        <w:t>Collecte séparée pour le papier, le métal, le plastique, le verre, les déchets organiques et textiles</w:t>
      </w:r>
    </w:p>
    <w:p w14:paraId="7DC56732" w14:textId="77777777" w:rsidR="00D00167" w:rsidRPr="006A673E" w:rsidRDefault="00D00167" w:rsidP="001307A3">
      <w:pPr>
        <w:pStyle w:val="51Abs"/>
      </w:pPr>
      <w:r w:rsidRPr="006A673E">
        <w:rPr>
          <w:rStyle w:val="991GldSymbol"/>
        </w:rPr>
        <w:t>Article 28b.</w:t>
      </w:r>
      <w:r w:rsidRPr="006A673E">
        <w:t xml:space="preserve"> (1) Des collectes séparées sont effectuées pour le papier, le métal, le plastique, le verre, les déchets organiques et textiles.</w:t>
      </w:r>
    </w:p>
    <w:p w14:paraId="1914E03A" w14:textId="77777777" w:rsidR="00D00167" w:rsidRPr="006A673E" w:rsidRDefault="00D00167" w:rsidP="001307A3">
      <w:pPr>
        <w:pStyle w:val="51Abs"/>
      </w:pPr>
      <w:r w:rsidRPr="006A673E">
        <w:t>(2) La collecte séparée visée au paragraphe 1 est effectuée de manière à permettre la préparation en vue de la réutilisation ou du recyclage de haute qualité des déchets collectés séparément. »</w:t>
      </w:r>
    </w:p>
    <w:p w14:paraId="50EADCAC" w14:textId="77777777" w:rsidR="00D00167" w:rsidRPr="006A673E" w:rsidRDefault="00D00167" w:rsidP="001307A3">
      <w:pPr>
        <w:pStyle w:val="21NovAo1"/>
      </w:pPr>
      <w:r w:rsidRPr="006A673E">
        <w:lastRenderedPageBreak/>
        <w:t>128. Le titre de la Section 5 est modifié comme suit :</w:t>
      </w:r>
    </w:p>
    <w:p w14:paraId="5D2096E3" w14:textId="77777777" w:rsidR="00D00167" w:rsidRPr="006A673E" w:rsidRDefault="00D00167" w:rsidP="001307A3">
      <w:pPr>
        <w:pStyle w:val="41UeberschrG1"/>
      </w:pPr>
      <w:r w:rsidRPr="006A673E">
        <w:t>« Section 5</w:t>
      </w:r>
    </w:p>
    <w:p w14:paraId="46496B97" w14:textId="77777777" w:rsidR="00D00167" w:rsidRPr="006A673E" w:rsidRDefault="00D00167" w:rsidP="001307A3">
      <w:pPr>
        <w:pStyle w:val="43UeberschrG2"/>
      </w:pPr>
      <w:r w:rsidRPr="006A673E">
        <w:t>Régime étendu de responsabilité des producteurs »</w:t>
      </w:r>
    </w:p>
    <w:p w14:paraId="09B153A1" w14:textId="77777777" w:rsidR="00D00167" w:rsidRPr="006A673E" w:rsidRDefault="00D00167" w:rsidP="001307A3">
      <w:pPr>
        <w:pStyle w:val="21NovAo1"/>
      </w:pPr>
      <w:r w:rsidRPr="006A673E">
        <w:t>129. À la section 5, l’article 28c suivant, y compris son titre, est inséré avant l’article 29 :</w:t>
      </w:r>
    </w:p>
    <w:p w14:paraId="72E1FDCF" w14:textId="77777777" w:rsidR="00D00167" w:rsidRPr="006A673E" w:rsidRDefault="00D00167" w:rsidP="001307A3">
      <w:pPr>
        <w:pStyle w:val="45UeberschrPara"/>
      </w:pPr>
      <w:r w:rsidRPr="006A673E">
        <w:t>« Prescriptions minimales générales</w:t>
      </w:r>
    </w:p>
    <w:p w14:paraId="62D2E27C" w14:textId="77777777" w:rsidR="00D00167" w:rsidRPr="006A673E" w:rsidRDefault="00D00167" w:rsidP="001307A3">
      <w:pPr>
        <w:pStyle w:val="51Abs"/>
      </w:pPr>
      <w:r w:rsidRPr="006A673E">
        <w:rPr>
          <w:rStyle w:val="991GldSymbol"/>
        </w:rPr>
        <w:t>Article 28c.</w:t>
      </w:r>
      <w:r w:rsidRPr="006A673E">
        <w:t> (1) Lors de la mise en place d’un système élargi de responsabilité du producteur, les rôles et responsabilités de tous les acteurs concernés sont définis avec précision et des objectifs mesurables de gestion des déchets définis conformément à la hiérarchie des déchets et, dans la mesure où cela est nécessaire pour atteindre les objectifs et les principes conformes aux articles 1 et 9, objectifs qualitatifs.</w:t>
      </w:r>
    </w:p>
    <w:p w14:paraId="4F47ABA7" w14:textId="77777777" w:rsidR="00D00167" w:rsidRPr="006A673E" w:rsidRDefault="00D00167" w:rsidP="001307A3">
      <w:pPr>
        <w:pStyle w:val="51Abs"/>
      </w:pPr>
      <w:r w:rsidRPr="006A673E">
        <w:t>(2) Lors de l’établissement d’un régime élargi de responsabilité des producteurs, les producteurs ou les systèmes de collecte et de valorisation respectent les exigences minimales suivantes :</w:t>
      </w:r>
    </w:p>
    <w:p w14:paraId="0B910222" w14:textId="77777777" w:rsidR="00D00167" w:rsidRPr="006A673E" w:rsidRDefault="00D00167" w:rsidP="001307A3">
      <w:pPr>
        <w:pStyle w:val="52Aufzaehle1Ziffer"/>
      </w:pPr>
      <w:r w:rsidRPr="006A673E">
        <w:tab/>
        <w:t>1.</w:t>
      </w:r>
      <w:r w:rsidRPr="006A673E">
        <w:tab/>
        <w:t>un système de déclaration doit être mis en place pour recueillir des données sur les produits mis sur le marché par les producteurs de produits soumis à une responsabilité élargie du producteur et des données sur la collecte et le traitement des déchets résultant de ces produits, précisant, le cas échéant, les flux de déchets, ainsi que d’autres données pertinentes aux fins des obligations prévues au sous-paragraphe 2 ;</w:t>
      </w:r>
    </w:p>
    <w:p w14:paraId="550B8B5F" w14:textId="77777777" w:rsidR="00D00167" w:rsidRPr="006A673E" w:rsidRDefault="00D00167" w:rsidP="001307A3">
      <w:pPr>
        <w:pStyle w:val="52Aufzaehle1Ziffer"/>
      </w:pPr>
      <w:r w:rsidRPr="006A673E">
        <w:tab/>
        <w:t>2.</w:t>
      </w:r>
      <w:r w:rsidRPr="006A673E">
        <w:tab/>
        <w:t>l’égalité de traitement des producteurs de produits doit être assurée ;</w:t>
      </w:r>
    </w:p>
    <w:p w14:paraId="36EE9E1E" w14:textId="77777777" w:rsidR="00D00167" w:rsidRPr="006A673E" w:rsidRDefault="00D00167" w:rsidP="001307A3">
      <w:pPr>
        <w:pStyle w:val="52Aufzaehle1Ziffer"/>
      </w:pPr>
      <w:r w:rsidRPr="006A673E">
        <w:tab/>
        <w:t>3.</w:t>
      </w:r>
      <w:r w:rsidRPr="006A673E">
        <w:tab/>
        <w:t>les consommateurs finals doivent être informés des mesures de prévention des déchets, des centres de réutilisation et de préparation aux systèmes de réutilisation, de reprise et de collecte, ainsi que de la prévention des déchets ;</w:t>
      </w:r>
    </w:p>
    <w:p w14:paraId="7B34C03C" w14:textId="77777777" w:rsidR="00D00167" w:rsidRPr="006A673E" w:rsidRDefault="00D00167" w:rsidP="001307A3">
      <w:pPr>
        <w:pStyle w:val="52Aufzaehle1Ziffer"/>
      </w:pPr>
      <w:r w:rsidRPr="006A673E">
        <w:tab/>
        <w:t>4.</w:t>
      </w:r>
      <w:r w:rsidRPr="006A673E">
        <w:tab/>
        <w:t>des mesures visant à inciter les consommateurs finaux à collecter les déchets séparément ;</w:t>
      </w:r>
    </w:p>
    <w:p w14:paraId="31BFA7BF" w14:textId="77777777" w:rsidR="00D00167" w:rsidRPr="006A673E" w:rsidRDefault="00D00167" w:rsidP="001307A3">
      <w:pPr>
        <w:pStyle w:val="52Aufzaehle1Ziffer"/>
      </w:pPr>
      <w:r w:rsidRPr="006A673E">
        <w:tab/>
        <w:t>5.</w:t>
      </w:r>
      <w:r w:rsidRPr="006A673E">
        <w:tab/>
        <w:t>la collecte sur l’ensemble du territoire fédéral doit être assurée et le traitement des déchets produits par les produits mis sur le marché en Autriche ;</w:t>
      </w:r>
    </w:p>
    <w:p w14:paraId="20931E3C" w14:textId="77777777" w:rsidR="00D00167" w:rsidRPr="006A673E" w:rsidRDefault="00D00167" w:rsidP="001307A3">
      <w:pPr>
        <w:pStyle w:val="52Aufzaehle1Ziffer"/>
      </w:pPr>
      <w:r w:rsidRPr="006A673E">
        <w:tab/>
        <w:t>6.</w:t>
      </w:r>
      <w:r w:rsidRPr="006A673E">
        <w:tab/>
        <w:t>les ressources financières nécessaires doivent être assurées et, le cas échéant, l’organisation chargée de s’acquitter des obligations qui lui incombent en vertu de la responsabilité élargie du producteur ;</w:t>
      </w:r>
    </w:p>
    <w:p w14:paraId="46FBA117" w14:textId="77777777" w:rsidR="00D00167" w:rsidRPr="006A673E" w:rsidRDefault="00D00167" w:rsidP="001307A3">
      <w:pPr>
        <w:pStyle w:val="52Aufzaehle1Ziffer"/>
      </w:pPr>
      <w:r w:rsidRPr="006A673E">
        <w:tab/>
        <w:t>7.</w:t>
      </w:r>
      <w:r w:rsidRPr="006A673E">
        <w:tab/>
        <w:t>la mise en place de mécanismes d’auto-contrôle appropriés, soutenus, le cas échéant, par des audits indépendants réguliers pour évaluer leur gestion financière, y compris le respect des exigences visées au paragraphe 3, sous-paragraphes 1 et 2, la qualité des données collectées et transmises ainsi que les exigences du Règlement sur les transferts de déchets ;</w:t>
      </w:r>
    </w:p>
    <w:p w14:paraId="3E5FB929" w14:textId="77777777" w:rsidR="00D00167" w:rsidRPr="006A673E" w:rsidRDefault="00D00167" w:rsidP="001307A3">
      <w:pPr>
        <w:pStyle w:val="52Aufzaehle1Ziffer"/>
      </w:pPr>
      <w:r w:rsidRPr="006A673E">
        <w:tab/>
        <w:t>8.</w:t>
      </w:r>
      <w:r w:rsidRPr="006A673E">
        <w:tab/>
        <w:t>la publication d’informations sur la réalisation des objectifs en matière de gestion des déchets conformément au paragraphe 1, ainsi que, en cas d’exercice collectif de la responsabilité élargie du producteur, des informations sur :</w:t>
      </w:r>
    </w:p>
    <w:p w14:paraId="794F3082" w14:textId="77777777" w:rsidR="00D00167" w:rsidRPr="006A673E" w:rsidRDefault="00D00167" w:rsidP="001307A3">
      <w:pPr>
        <w:pStyle w:val="52Aufzaehle2Lit"/>
      </w:pPr>
      <w:r w:rsidRPr="006A673E">
        <w:tab/>
        <w:t>a)</w:t>
      </w:r>
      <w:r w:rsidRPr="006A673E">
        <w:tab/>
        <w:t>leur propriété et leur appartenance ;</w:t>
      </w:r>
    </w:p>
    <w:p w14:paraId="6E04EA87" w14:textId="77777777" w:rsidR="00D00167" w:rsidRPr="006A673E" w:rsidRDefault="00D00167" w:rsidP="001307A3">
      <w:pPr>
        <w:pStyle w:val="52Aufzaehle2Lit"/>
      </w:pPr>
      <w:r w:rsidRPr="006A673E">
        <w:tab/>
        <w:t>b)</w:t>
      </w:r>
      <w:r w:rsidRPr="006A673E">
        <w:tab/>
        <w:t>les droits de douane et</w:t>
      </w:r>
    </w:p>
    <w:p w14:paraId="4DA62E42" w14:textId="77777777" w:rsidR="00D00167" w:rsidRPr="006A673E" w:rsidRDefault="00D00167" w:rsidP="001307A3">
      <w:pPr>
        <w:pStyle w:val="52Aufzaehle2Lit"/>
      </w:pPr>
      <w:r w:rsidRPr="006A673E">
        <w:tab/>
        <w:t>c)</w:t>
      </w:r>
      <w:r w:rsidRPr="006A673E">
        <w:tab/>
        <w:t>la procédure de sélection des collecteurs et des opérateurs de traitement des déchets.</w:t>
      </w:r>
    </w:p>
    <w:p w14:paraId="7B49857F" w14:textId="77777777" w:rsidR="00D00167" w:rsidRPr="006A673E" w:rsidRDefault="00D00167" w:rsidP="001307A3">
      <w:pPr>
        <w:pStyle w:val="51Abs"/>
      </w:pPr>
      <w:r w:rsidRPr="006A673E">
        <w:t>(3) Lors de la détermination des contributions financières à un régime élargi de responsabilité des producteurs, notamment lors de la détermination des tarifs applicables aux systèmes de collecte et de récupération, les exigences minimales suivantes doivent être respectées :</w:t>
      </w:r>
    </w:p>
    <w:p w14:paraId="4E934C13" w14:textId="77777777" w:rsidR="00D00167" w:rsidRPr="006A673E" w:rsidRDefault="00D00167" w:rsidP="001307A3">
      <w:pPr>
        <w:pStyle w:val="52Aufzaehle1Ziffer"/>
      </w:pPr>
      <w:r w:rsidRPr="006A673E">
        <w:tab/>
        <w:t>1.</w:t>
      </w:r>
      <w:r w:rsidRPr="006A673E">
        <w:tab/>
        <w:t>Les coûts suivants doivent être couverts :</w:t>
      </w:r>
    </w:p>
    <w:p w14:paraId="03DA6752" w14:textId="77777777" w:rsidR="00D00167" w:rsidRPr="006A673E" w:rsidRDefault="00D00167" w:rsidP="001307A3">
      <w:pPr>
        <w:pStyle w:val="52Aufzaehle2Lit"/>
      </w:pPr>
      <w:r w:rsidRPr="006A673E">
        <w:tab/>
        <w:t>a)</w:t>
      </w:r>
      <w:r w:rsidRPr="006A673E">
        <w:tab/>
        <w:t>les coûts de la collecte séparée des déchets et de leur transport et traitement ultérieurs, y compris le traitement nécessaire pour atteindre les objectifs de gestion des déchets visés au paragraphe 1; tenant compte de la fourniture rentable de services et de recettes provenant de la préparation à la réutilisation, de la vente de déchets et des droits de dépôt non réclamés;</w:t>
      </w:r>
    </w:p>
    <w:p w14:paraId="6CBA7646" w14:textId="77777777" w:rsidR="00D00167" w:rsidRPr="006A673E" w:rsidRDefault="00D00167" w:rsidP="001307A3">
      <w:pPr>
        <w:pStyle w:val="52Aufzaehle2Lit"/>
      </w:pPr>
      <w:r w:rsidRPr="006A673E">
        <w:tab/>
        <w:t>b)</w:t>
      </w:r>
      <w:r w:rsidRPr="006A673E">
        <w:tab/>
        <w:t>les coûts liés à la fourniture d’informations appropriées aux détenteurs de déchets conformément au paragraphe 2, sous-paragraphe 3 ;</w:t>
      </w:r>
    </w:p>
    <w:p w14:paraId="48585231" w14:textId="6941D0C1" w:rsidR="00D00167" w:rsidRPr="006A673E" w:rsidRDefault="0051356F" w:rsidP="001307A3">
      <w:pPr>
        <w:pStyle w:val="52Aufzaehle2Lit"/>
      </w:pPr>
      <w:r w:rsidRPr="006A673E">
        <w:tab/>
      </w:r>
      <w:r w:rsidRPr="006A673E">
        <w:tab/>
      </w:r>
      <w:r w:rsidR="00D00167" w:rsidRPr="006A673E">
        <w:t>c) les coûts de la collecte et de la communication des données conformément au paragraphe 2, sous-paragraphe 1 et</w:t>
      </w:r>
      <w:r w:rsidR="00D00167" w:rsidRPr="006A673E">
        <w:tab/>
      </w:r>
    </w:p>
    <w:p w14:paraId="7F55F7E4" w14:textId="77777777" w:rsidR="00D00167" w:rsidRPr="006A673E" w:rsidRDefault="00D00167" w:rsidP="001307A3">
      <w:pPr>
        <w:pStyle w:val="52Aufzaehle2Lit"/>
      </w:pPr>
      <w:r w:rsidRPr="006A673E">
        <w:tab/>
        <w:t>d)</w:t>
      </w:r>
      <w:r w:rsidRPr="006A673E">
        <w:tab/>
        <w:t>les coûts des mesures de sensibilisation et des opérations de nettoyage des déchets pour certains produits éliminés par le biais de systèmes de collecte publics, y compris la création d’infrastructures et leur mise en fonctionnement, ainsi que les coûts de traitement de certains produits et les coûts ultérieurs,de transport et de transport conformément à une ordonnance en vertu de l’article 14.</w:t>
      </w:r>
    </w:p>
    <w:p w14:paraId="2013DAB8" w14:textId="77777777" w:rsidR="00D00167" w:rsidRPr="006A673E" w:rsidRDefault="00D00167" w:rsidP="001307A3">
      <w:pPr>
        <w:pStyle w:val="58Schlussteile1Ziffer"/>
      </w:pPr>
      <w:r w:rsidRPr="006A673E">
        <w:lastRenderedPageBreak/>
        <w:t>Cette disposition ne s’applique pas aux régimes existants de responsabilité élargie des producteurs pour le matériel électrique et électronique, les piles, les accumulateurs et les véhicules au moment de l’entrée en vigueur de l’article 28 quater modifié par la loi relative à la gestion des déchets BGBl. I N° 200/2021.</w:t>
      </w:r>
    </w:p>
    <w:p w14:paraId="34BA861B" w14:textId="77777777" w:rsidR="00D00167" w:rsidRPr="006A673E" w:rsidRDefault="00D00167" w:rsidP="001307A3">
      <w:pPr>
        <w:pStyle w:val="52Aufzaehle1Ziffer"/>
      </w:pPr>
      <w:r w:rsidRPr="006A673E">
        <w:tab/>
        <w:t>2.</w:t>
      </w:r>
      <w:r w:rsidRPr="006A673E">
        <w:tab/>
        <w:t>Lors de la détermination des tarifs applicables à des produits individuels ou à des groupes de produits comparables, les incidences environnementales sur la production, l’utilisation et la gestion des déchets (cycle de vie) doivent être prises en compte conformément à une ordonnance conforme à l’article 36, notamment leur durabilité, leur réparabilité, leur réutilisation et leur recyclabilité, ainsi que la présence de substances dangereuses.</w:t>
      </w:r>
    </w:p>
    <w:p w14:paraId="72B79BAA" w14:textId="77777777" w:rsidR="00D00167" w:rsidRPr="006A673E" w:rsidRDefault="00D00167" w:rsidP="001307A3">
      <w:pPr>
        <w:pStyle w:val="52Aufzaehle1Ziffer"/>
      </w:pPr>
      <w:r w:rsidRPr="006A673E">
        <w:tab/>
        <w:t>3.</w:t>
      </w:r>
      <w:r w:rsidRPr="006A673E">
        <w:tab/>
        <w:t>La fourniture de services de gestion des déchets d’un bon rapport coût-efficacité doit être rendue transparente entre les parties contractantes concernées.</w:t>
      </w:r>
    </w:p>
    <w:p w14:paraId="08DBAB24" w14:textId="77777777" w:rsidR="00D00167" w:rsidRPr="006A673E" w:rsidRDefault="00D00167" w:rsidP="001307A3">
      <w:pPr>
        <w:pStyle w:val="51Abs"/>
      </w:pPr>
      <w:r w:rsidRPr="006A673E">
        <w:t>(4) Par dérogation au paragraphe 2, sous-paragraphe 6, en lien avec le paragraphe 3, sous-paragraphe 1, les producteurs peuvent également supporter moins de 100 % mais au moins 80 % des ressources financières nécessaires si les autres coûts sont supportés par les producteurs de déchets ou les distributeurs. Cette dérogation ne peut pas être utilisée pour réduire la part des coûts supportée par les producteurs de produits dans le cadre de régimes de responsabilité élargie des producteurs établis avant le 4 juillet 2018.</w:t>
      </w:r>
    </w:p>
    <w:p w14:paraId="6E414A95" w14:textId="77777777" w:rsidR="00D00167" w:rsidRPr="006A673E" w:rsidRDefault="00D00167" w:rsidP="001307A3">
      <w:pPr>
        <w:pStyle w:val="51Abs"/>
      </w:pPr>
      <w:r w:rsidRPr="006A673E">
        <w:t>(5) Le ministre fédéral de l’action pour le climat, de l’environnement, de l’énergie, de la mobilité, de l’innovation et de la technologie veille à ce qu’un dialogue régulier ait lieu entre les acteurs concernés participant à la mise en œuvre des régimes élargis de responsabilité des producteurs.</w:t>
      </w:r>
    </w:p>
    <w:p w14:paraId="59D73368" w14:textId="77777777" w:rsidR="00D00167" w:rsidRPr="006A673E" w:rsidRDefault="00D00167" w:rsidP="001307A3">
      <w:pPr>
        <w:pStyle w:val="51Abs"/>
      </w:pPr>
      <w:r w:rsidRPr="006A673E">
        <w:t>(6) Pour les régimes de responsabilité élargie des producteurs établis avant le 4 juillet 2018, les producteurs ou les systèmes de collecte et de valorisation satisfont aux exigences minimales énoncées aux paragraphes 2 et 3 au plus tard le 1er janvier 2023. » </w:t>
      </w:r>
    </w:p>
    <w:p w14:paraId="2FDC1199" w14:textId="77777777" w:rsidR="00D00167" w:rsidRPr="006A673E" w:rsidRDefault="00D00167" w:rsidP="001307A3">
      <w:pPr>
        <w:pStyle w:val="21NovAo1"/>
      </w:pPr>
      <w:r w:rsidRPr="006A673E">
        <w:t>130. À l’article 29(2) sous-paragraphe 7, la phrase suivante est ajoutée :</w:t>
      </w:r>
    </w:p>
    <w:p w14:paraId="289BD4E1" w14:textId="1B0628B8" w:rsidR="00D00167" w:rsidRPr="006A673E" w:rsidRDefault="00D00167" w:rsidP="001307A3">
      <w:pPr>
        <w:pStyle w:val="23SatznachNovao"/>
      </w:pPr>
      <w:r w:rsidRPr="006A673E">
        <w:t>«</w:t>
      </w:r>
      <w:r w:rsidR="0051356F" w:rsidRPr="006A673E">
        <w:t xml:space="preserve"> </w:t>
      </w:r>
      <w:r w:rsidRPr="006A673E">
        <w:t>L’avis d’un auditeur sur le respect des principes tarifaires conformément à l’article 28 quater, paragraphe 3, et en confirmité avec l’interdiction des subventions croisées conformément à l’article 32, paragraphe 3 doit être joint.</w:t>
      </w:r>
      <w:r w:rsidR="0051356F" w:rsidRPr="006A673E">
        <w:t xml:space="preserve"> </w:t>
      </w:r>
      <w:r w:rsidRPr="006A673E">
        <w:rPr>
          <w:i/>
        </w:rPr>
        <w:t>»</w:t>
      </w:r>
    </w:p>
    <w:p w14:paraId="7D427B59" w14:textId="77777777" w:rsidR="00D00167" w:rsidRPr="006A673E" w:rsidRDefault="00D00167" w:rsidP="001307A3">
      <w:pPr>
        <w:pStyle w:val="21NovAo1"/>
      </w:pPr>
      <w:r w:rsidRPr="006A673E">
        <w:t>131. À l’article 29, paragraphe 2, le sous-paragraphe 7b suivant est inséré après le sous-paragraphe 7a :</w:t>
      </w:r>
    </w:p>
    <w:p w14:paraId="7A830DB3" w14:textId="77777777" w:rsidR="00D00167" w:rsidRPr="006A673E" w:rsidRDefault="00D00167" w:rsidP="001307A3">
      <w:pPr>
        <w:pStyle w:val="52Aufzaehle1Ziffer"/>
      </w:pPr>
      <w:r w:rsidRPr="006A673E">
        <w:tab/>
        <w:t>« 7 b. un concept d’auto-contrôle conformément à l’article 28c(2) sous-paragraphe 7, concernant la collecte et la communication des données ainsi que les exigences du Règlement sur les transferts de déchets ; »</w:t>
      </w:r>
    </w:p>
    <w:p w14:paraId="10B17C59" w14:textId="77777777" w:rsidR="00D00167" w:rsidRPr="006A673E" w:rsidRDefault="00D00167" w:rsidP="001307A3">
      <w:pPr>
        <w:pStyle w:val="21NovAo1"/>
      </w:pPr>
      <w:r w:rsidRPr="006A673E">
        <w:t>132. À l’article 29(2) sous-paragraphe 8, les phrases suivantes sont ajoutées :</w:t>
      </w:r>
    </w:p>
    <w:p w14:paraId="03FC209A" w14:textId="1B9E17DD" w:rsidR="00D00167" w:rsidRPr="006A673E" w:rsidRDefault="00D00167" w:rsidP="001307A3">
      <w:pPr>
        <w:pStyle w:val="23SatznachNovao"/>
      </w:pPr>
      <w:r w:rsidRPr="006A673E">
        <w:t>«</w:t>
      </w:r>
      <w:r w:rsidR="0051356F" w:rsidRPr="006A673E">
        <w:t xml:space="preserve"> </w:t>
      </w:r>
      <w:r w:rsidRPr="006A673E">
        <w:t>La sécurité est garantie par une preuve d’insolvabilité, notamment au moyen d’une garantie bancaire, d’une assurance ou d’un compte bancaire ou d’un compte de valeurs mobilières. Le montant correspond aux coûts moyens et aux recettes attendus pour la mise en œuvre du système de collecte et de recouvrement sur une période de trois mois, sur la base d’une moyenne annuelle</w:t>
      </w:r>
      <w:r w:rsidRPr="006A673E">
        <w:rPr>
          <w:i/>
        </w:rPr>
        <w:t>.</w:t>
      </w:r>
      <w:r w:rsidRPr="006A673E">
        <w:t xml:space="preserve"> L’avis d’un auditeur sur cette sécurité, , précisant le montant et la nature de la garantie, est jointe. En cas de résiliation de l’activité du système ou en cas d’insolvabilité d’un système de recouvrement et de recouvrement, la garantie est mise à la disposition des créanciers du système de recouvrement et de recouvrement pour couvrir les services restant à fournir ou non. Le ministre fédéral de l’Action pour le climat, de l’Environnement, de l’Énergie, de la Mobilité, de l’Innovation et de la Technologie peut confier à un organisme compétent le soin de traiter les revendications de ce type. »</w:t>
      </w:r>
    </w:p>
    <w:p w14:paraId="7A7B653F" w14:textId="77777777" w:rsidR="00D00167" w:rsidRPr="006A673E" w:rsidRDefault="00D00167" w:rsidP="001307A3">
      <w:pPr>
        <w:pStyle w:val="21NovAo1"/>
      </w:pPr>
      <w:r w:rsidRPr="006A673E">
        <w:t>133. À l’article 29, paragraphe 2, la phrase finale suivante est ajoutée:</w:t>
      </w:r>
    </w:p>
    <w:p w14:paraId="6AE80FA8" w14:textId="0E5C52E3" w:rsidR="00D00167" w:rsidRPr="006A673E" w:rsidRDefault="00D00167" w:rsidP="001307A3">
      <w:pPr>
        <w:pStyle w:val="58Schlussteile0Abs"/>
      </w:pPr>
      <w:r w:rsidRPr="006A673E">
        <w:t>«</w:t>
      </w:r>
      <w:r w:rsidR="0051356F" w:rsidRPr="006A673E">
        <w:t xml:space="preserve"> </w:t>
      </w:r>
      <w:r w:rsidRPr="006A673E">
        <w:t>La responsabilité de l’auditeur en cas d’avis au titre de l’article 29, paragraphe 2, points 7 et 8, est limitée aux cas d’intention et de négligence grave, en cas de négligence grave à 10 fois le montant minimal d’assurance visé à l’article 11 de la loi de 2017 sur les comptables et les conseillers fiscaux [WTBG], BGBl. I n° 137/2017.</w:t>
      </w:r>
      <w:r w:rsidR="0051356F" w:rsidRPr="006A673E">
        <w:t xml:space="preserve"> </w:t>
      </w:r>
      <w:r w:rsidRPr="006A673E">
        <w:t>»</w:t>
      </w:r>
    </w:p>
    <w:p w14:paraId="63AD7DEA" w14:textId="77777777" w:rsidR="00D00167" w:rsidRPr="006A673E" w:rsidRDefault="00D00167" w:rsidP="001307A3">
      <w:pPr>
        <w:pStyle w:val="21NovAo1"/>
      </w:pPr>
      <w:r w:rsidRPr="006A673E">
        <w:t>134. La deuxième phrase du paragraphe 3 de la section 29 est formulée comme suit :</w:t>
      </w:r>
    </w:p>
    <w:p w14:paraId="11C46AC7" w14:textId="77777777" w:rsidR="00D00167" w:rsidRPr="006A673E" w:rsidRDefault="00D00167" w:rsidP="001307A3">
      <w:pPr>
        <w:pStyle w:val="23SatznachNovao"/>
      </w:pPr>
      <w:r w:rsidRPr="006A673E">
        <w:t>« Les droits de consultation dans le cadre de la présente procédure sont exercés par une commission constituée pour conseiller les questions découlant de l’exécution d’une ordonnance en vertu de l’article 14, paragraphe 1. »</w:t>
      </w:r>
    </w:p>
    <w:p w14:paraId="374115EE" w14:textId="77777777" w:rsidR="00D00167" w:rsidRPr="006A673E" w:rsidRDefault="00D00167" w:rsidP="001307A3">
      <w:pPr>
        <w:pStyle w:val="21NovAo1"/>
      </w:pPr>
      <w:r w:rsidRPr="006A673E">
        <w:t>135. La dernière phrase du paragraphe 4 de l’article 29, point 4, est libellée comme suit:</w:t>
      </w:r>
    </w:p>
    <w:p w14:paraId="56F329CB" w14:textId="0853E0FA" w:rsidR="00D00167" w:rsidRPr="006A673E" w:rsidRDefault="00D00167" w:rsidP="001307A3">
      <w:pPr>
        <w:pStyle w:val="23SatznachNovao"/>
      </w:pPr>
      <w:r w:rsidRPr="006A673E">
        <w:t>«</w:t>
      </w:r>
      <w:r w:rsidR="0051356F" w:rsidRPr="006A673E">
        <w:t xml:space="preserve"> </w:t>
      </w:r>
      <w:r w:rsidRPr="006A673E">
        <w:t>S’il s’agit d’un système de collecte et de valorisation des déchets d’équipements électriques et électroniques, le financement doit également encourager la préparation à la réutilisation des appareils,</w:t>
      </w:r>
      <w:r w:rsidR="0051356F" w:rsidRPr="006A673E">
        <w:t xml:space="preserve"> </w:t>
      </w:r>
      <w:r w:rsidRPr="006A673E">
        <w:t xml:space="preserve">en </w:t>
      </w:r>
      <w:r w:rsidRPr="006A673E">
        <w:lastRenderedPageBreak/>
        <w:t>consacrant, pour l’année 2024, 2,5 % de la somme des redevances annuelles perçues pour la dispense, et 4,5 % pour l’année 2026.»</w:t>
      </w:r>
    </w:p>
    <w:p w14:paraId="499744E2" w14:textId="77777777" w:rsidR="00D00167" w:rsidRPr="006A673E" w:rsidRDefault="00D00167" w:rsidP="001307A3">
      <w:pPr>
        <w:pStyle w:val="21NovAo1"/>
      </w:pPr>
      <w:r w:rsidRPr="006A673E">
        <w:t>136. L'article 29 (4a) est formulé comme suit :</w:t>
      </w:r>
    </w:p>
    <w:p w14:paraId="4B3A80C5" w14:textId="77777777" w:rsidR="00D00167" w:rsidRPr="006A673E" w:rsidRDefault="00D00167" w:rsidP="001307A3">
      <w:pPr>
        <w:pStyle w:val="51Abs"/>
      </w:pPr>
      <w:r w:rsidRPr="006A673E">
        <w:t>« (4a) Les projets de prévention des déchets visés au paragraphe 4 comprennent notamment :</w:t>
      </w:r>
    </w:p>
    <w:p w14:paraId="1E6AEA46" w14:textId="77777777" w:rsidR="00D00167" w:rsidRPr="006A673E" w:rsidRDefault="00D00167" w:rsidP="001307A3">
      <w:pPr>
        <w:pStyle w:val="52Aufzaehle1Ziffer"/>
      </w:pPr>
      <w:r w:rsidRPr="006A673E">
        <w:tab/>
        <w:t>1.</w:t>
      </w:r>
      <w:r w:rsidRPr="006A673E">
        <w:tab/>
        <w:t>des mesures visant à empêcher que les intrants et les équipements n’affectent la qualité des déchets du produit ou de tout sous-produit,</w:t>
      </w:r>
    </w:p>
    <w:p w14:paraId="06AA37B4" w14:textId="77777777" w:rsidR="00D00167" w:rsidRPr="006A673E" w:rsidRDefault="00D00167" w:rsidP="001307A3">
      <w:pPr>
        <w:pStyle w:val="52Aufzaehle1Ziffer"/>
      </w:pPr>
      <w:r w:rsidRPr="006A673E">
        <w:tab/>
        <w:t>2.</w:t>
      </w:r>
      <w:r w:rsidRPr="006A673E">
        <w:tab/>
        <w:t>des mesures conduisant à une réduction des déchets de production,</w:t>
      </w:r>
    </w:p>
    <w:p w14:paraId="4B27B7AD" w14:textId="77777777" w:rsidR="00D00167" w:rsidRPr="006A673E" w:rsidRDefault="00D00167" w:rsidP="001307A3">
      <w:pPr>
        <w:pStyle w:val="52Aufzaehle1Ziffer"/>
      </w:pPr>
      <w:r w:rsidRPr="006A673E">
        <w:tab/>
        <w:t>3.</w:t>
      </w:r>
      <w:r w:rsidRPr="006A673E">
        <w:tab/>
        <w:t>des mesures conduisant à une réduction des déchets d’emballages, notamment l’introduction d’emballages réutilisables,</w:t>
      </w:r>
    </w:p>
    <w:p w14:paraId="4DBE4608" w14:textId="77777777" w:rsidR="00D00167" w:rsidRPr="006A673E" w:rsidRDefault="00D00167" w:rsidP="001307A3">
      <w:pPr>
        <w:pStyle w:val="52Aufzaehle1Ziffer"/>
      </w:pPr>
      <w:r w:rsidRPr="006A673E">
        <w:tab/>
        <w:t>4.</w:t>
      </w:r>
      <w:r w:rsidRPr="006A673E">
        <w:tab/>
        <w:t>les mesures qui contribuent à la prévention des déchets en optimisant la logistique,</w:t>
      </w:r>
    </w:p>
    <w:p w14:paraId="1791871C" w14:textId="77777777" w:rsidR="00D00167" w:rsidRPr="006A673E" w:rsidRDefault="00D00167" w:rsidP="001307A3">
      <w:pPr>
        <w:pStyle w:val="52Aufzaehle1Ziffer"/>
      </w:pPr>
      <w:r w:rsidRPr="006A673E">
        <w:tab/>
        <w:t>5.</w:t>
      </w:r>
      <w:r w:rsidRPr="006A673E">
        <w:tab/>
        <w:t>des mesures de prévention des déchets par la sensibilisation, la formation continue ou la mise en place de réseaux appropriés, ou</w:t>
      </w:r>
    </w:p>
    <w:p w14:paraId="44F90DB8" w14:textId="77777777" w:rsidR="00D00167" w:rsidRPr="006A673E" w:rsidRDefault="00D00167" w:rsidP="001307A3">
      <w:pPr>
        <w:pStyle w:val="52Aufzaehle1Ziffer"/>
      </w:pPr>
      <w:r w:rsidRPr="006A673E">
        <w:tab/>
        <w:t>6.</w:t>
      </w:r>
      <w:r w:rsidRPr="006A673E">
        <w:tab/>
        <w:t>des mesures du programme de prévention des déchets conformément à l’article 9a.</w:t>
      </w:r>
    </w:p>
    <w:p w14:paraId="21902FCD" w14:textId="77777777" w:rsidR="00D00167" w:rsidRPr="006A673E" w:rsidRDefault="00D00167" w:rsidP="001307A3">
      <w:pPr>
        <w:pStyle w:val="58Schlussteile0Abs"/>
      </w:pPr>
      <w:r w:rsidRPr="006A673E">
        <w:t>Ne peuvent bénéficier d’un financement les mesures et les mesures anti-déchets destinées uniquement à la séparation ou à la récupération des déchets, par exemple les îles de séparation, les conteneurs de collecte, le démontage ou le traitement des déchets. »</w:t>
      </w:r>
    </w:p>
    <w:p w14:paraId="33868ACA" w14:textId="77777777" w:rsidR="00D00167" w:rsidRPr="006A673E" w:rsidRDefault="00D00167" w:rsidP="001307A3">
      <w:pPr>
        <w:pStyle w:val="21NovAo1"/>
      </w:pPr>
      <w:r w:rsidRPr="006A673E">
        <w:t>137. L'article 29 (9) est formulé comme suit :</w:t>
      </w:r>
    </w:p>
    <w:p w14:paraId="4B872D84" w14:textId="77777777" w:rsidR="00D00167" w:rsidRPr="006A673E" w:rsidRDefault="00D00167" w:rsidP="001307A3">
      <w:pPr>
        <w:pStyle w:val="51Abs"/>
      </w:pPr>
      <w:r w:rsidRPr="006A673E">
        <w:t>« (9) Les systèmes de collecte et de récupération publient et, le cas échéant, mettent à jour</w:t>
      </w:r>
    </w:p>
    <w:p w14:paraId="1BE9FB65" w14:textId="77777777" w:rsidR="00D00167" w:rsidRPr="006A673E" w:rsidRDefault="00D00167" w:rsidP="001307A3">
      <w:pPr>
        <w:pStyle w:val="52Aufzaehle1Ziffer"/>
      </w:pPr>
      <w:r w:rsidRPr="006A673E">
        <w:tab/>
        <w:t>1. leur propriété,</w:t>
      </w:r>
      <w:r w:rsidRPr="006A673E">
        <w:tab/>
      </w:r>
    </w:p>
    <w:p w14:paraId="7A5E0E61" w14:textId="77777777" w:rsidR="00D00167" w:rsidRPr="006A673E" w:rsidRDefault="00D00167" w:rsidP="001307A3">
      <w:pPr>
        <w:pStyle w:val="52Aufzaehle1Ziffer"/>
      </w:pPr>
      <w:r w:rsidRPr="006A673E">
        <w:tab/>
        <w:t>2. les tarifs applicables,</w:t>
      </w:r>
      <w:r w:rsidRPr="006A673E">
        <w:tab/>
      </w:r>
    </w:p>
    <w:p w14:paraId="055AA464" w14:textId="77777777" w:rsidR="00D00167" w:rsidRPr="006A673E" w:rsidRDefault="00D00167" w:rsidP="001307A3">
      <w:pPr>
        <w:pStyle w:val="52Aufzaehle1Ziffer"/>
      </w:pPr>
      <w:r w:rsidRPr="006A673E">
        <w:tab/>
        <w:t>3. la procédure de sélection des entreprises opérationnelles pour la collecte et la récupération, et</w:t>
      </w:r>
      <w:r w:rsidRPr="006A673E">
        <w:tab/>
      </w:r>
    </w:p>
    <w:p w14:paraId="01613B44" w14:textId="4E75E8FD" w:rsidR="00D00167" w:rsidRPr="006A673E" w:rsidRDefault="00D00167" w:rsidP="001307A3">
      <w:pPr>
        <w:pStyle w:val="52Aufzaehle1Ziffer"/>
      </w:pPr>
      <w:r w:rsidRPr="006A673E">
        <w:t>4.</w:t>
      </w:r>
      <w:r w:rsidRPr="006A673E">
        <w:tab/>
        <w:t>informations sur la réalisation des objectifs de gestion des déchets</w:t>
      </w:r>
    </w:p>
    <w:p w14:paraId="0A2B5641" w14:textId="77777777" w:rsidR="00D00167" w:rsidRPr="006A673E" w:rsidRDefault="00D00167" w:rsidP="001307A3">
      <w:pPr>
        <w:pStyle w:val="58Schlussteile0Abs"/>
      </w:pPr>
      <w:r w:rsidRPr="006A673E">
        <w:t>sur leur site internet. »</w:t>
      </w:r>
    </w:p>
    <w:p w14:paraId="3B98B815" w14:textId="77777777" w:rsidR="00D00167" w:rsidRPr="006A673E" w:rsidRDefault="00D00167" w:rsidP="001307A3">
      <w:pPr>
        <w:pStyle w:val="21NovAo1"/>
      </w:pPr>
      <w:r w:rsidRPr="006A673E">
        <w:t>138. Les paragraphes 10 à 14 suivants sont ajoutés à l’article 29 :</w:t>
      </w:r>
    </w:p>
    <w:p w14:paraId="6CDAD302" w14:textId="77777777" w:rsidR="00D00167" w:rsidRPr="006A673E" w:rsidRDefault="00D00167" w:rsidP="001307A3">
      <w:pPr>
        <w:pStyle w:val="51Abs"/>
      </w:pPr>
      <w:r w:rsidRPr="006A673E">
        <w:t>« 10. Les systèmes de collecte et de récupération publient sur leur site internet et mettent à jour mensuellement une liste des participants au système et, le cas échéant, leur mandataire, ventilée par division de produits et ventilée par secteur d’activité. Cette obligation ne s’applique pas</w:t>
      </w:r>
    </w:p>
    <w:p w14:paraId="21DDDFED" w14:textId="36AED1A9" w:rsidR="00D00167" w:rsidRPr="006A673E" w:rsidRDefault="00D00167" w:rsidP="001307A3">
      <w:pPr>
        <w:pStyle w:val="52Aufzaehle1Ziffer"/>
      </w:pPr>
      <w:r w:rsidRPr="006A673E">
        <w:tab/>
        <w:t>1. si les producteurs concernés doivent s’inscrire au registre conformément à l’article 22, et</w:t>
      </w:r>
      <w:r w:rsidR="006C201A" w:rsidRPr="006A673E">
        <w:t xml:space="preserve"> </w:t>
      </w:r>
    </w:p>
    <w:p w14:paraId="57E445A9" w14:textId="77777777" w:rsidR="00D00167" w:rsidRPr="006A673E" w:rsidRDefault="00D00167" w:rsidP="001307A3">
      <w:pPr>
        <w:pStyle w:val="52Aufzaehle1Ziffer"/>
      </w:pPr>
      <w:r w:rsidRPr="006A673E">
        <w:tab/>
        <w:t>2) dans le cas des systèmes de collecte et de récupération des emballages ;</w:t>
      </w:r>
      <w:r w:rsidRPr="006A673E">
        <w:tab/>
        <w:t xml:space="preserve">ils doivent transmettre chaque mois les données pertinentes à l’organisme de coordination des emballages conformément à l’article 30a pour publication sur son site internet. </w:t>
      </w:r>
    </w:p>
    <w:p w14:paraId="6B5157EE" w14:textId="77777777" w:rsidR="00D00167" w:rsidRPr="006A673E" w:rsidRDefault="00D00167" w:rsidP="001307A3">
      <w:pPr>
        <w:pStyle w:val="51Abs"/>
      </w:pPr>
      <w:r w:rsidRPr="006A673E">
        <w:t>(11) Les systèmes autorisés de collecte et de recouvrement adaptent la garantie financière aux critères énoncés au paragraphe 2, point 8, pour la première fois au plus tard le 31 décembre 2021.</w:t>
      </w:r>
    </w:p>
    <w:p w14:paraId="2AA7491D" w14:textId="77777777" w:rsidR="00D00167" w:rsidRPr="006A673E" w:rsidRDefault="00D00167" w:rsidP="001307A3">
      <w:pPr>
        <w:pStyle w:val="51Abs"/>
      </w:pPr>
      <w:r w:rsidRPr="006A673E">
        <w:t>(12) Les systèmes de recouvrement et de recouvrement adaptent chaque année la garantie financière conformément au paragraphe 2, sous-paragraphe 8. En cas de résiliation de l’activité du système ou en cas d’insolvabilité d’un système de recouvrement et de recouvrement, la garantie est mise à la disposition des créanciers respectifs du système de collecte et de recouvrement pour couvrir les services impayés. Le Ministre fédéral de l'action pour le climat, de l'environnement, de l'énergie, de la mobilité, de l'innovation et de la technologie peut confier à un organisme compétent le soin de recevoir des demandes de ce type.</w:t>
      </w:r>
    </w:p>
    <w:p w14:paraId="6EAC968E" w14:textId="77777777" w:rsidR="00D00167" w:rsidRPr="006A673E" w:rsidRDefault="00D00167" w:rsidP="001307A3">
      <w:pPr>
        <w:pStyle w:val="51Abs"/>
      </w:pPr>
      <w:r w:rsidRPr="006A673E">
        <w:t>(13) Les systèmes de gestion collective et de recouvrement veillent contractuellement à ce que les organismes de coordination auxquels une compétence d’audit a été déléguée en vertu de l’article 13, paragraphe 1, sous-paragraphe 10, ou de l’article 30a, paragraphe 1, sous-paragraphe 4, ou du paragraphe 2, sous-paragraphe 4, soient autorisés à effectuer des audits sur leurs participants et à ce que tous les documents nécessaires soient mis à la disposition de ces derniers.</w:t>
      </w:r>
    </w:p>
    <w:p w14:paraId="6E18A830" w14:textId="77777777" w:rsidR="00D00167" w:rsidRPr="006A673E" w:rsidRDefault="00D00167" w:rsidP="001307A3">
      <w:pPr>
        <w:pStyle w:val="51Abs"/>
      </w:pPr>
      <w:r w:rsidRPr="006A673E">
        <w:t>(14) Lorsqu’il est découvert au cours d’un contrôle d’un participant au système que la masse annuelle totale respective par catégorie tarifaire n’a pas été suffisamment indiquée de plus de 5 %, les systèmes de collecte et de récupération appliquent une pénalité de 20 % sur le déficit. Cette sanction est imposée indépendamment de toute faute du participant au système en plus du paiement supplémentaire des frais de participation et ne peut être atténuée par un juge. Les systèmes de collecte et de recouvrement tiennent des registres des astreintes et les consignent dans leur rapport annuel. Les sanctions perçues sont immédiatement remises à l’organisme de coordination concerné et utilisées pour leurs tâches de contrôle. »</w:t>
      </w:r>
    </w:p>
    <w:p w14:paraId="42F93B23" w14:textId="77777777" w:rsidR="00D00167" w:rsidRPr="006A673E" w:rsidRDefault="00D00167" w:rsidP="001307A3">
      <w:pPr>
        <w:pStyle w:val="21NovAo1"/>
      </w:pPr>
      <w:r w:rsidRPr="006A673E">
        <w:lastRenderedPageBreak/>
        <w:t>139. La phrase suivante est ajoutée à l’article 29b(3) :</w:t>
      </w:r>
    </w:p>
    <w:p w14:paraId="6E5E97BC" w14:textId="77777777" w:rsidR="00D00167" w:rsidRPr="006A673E" w:rsidRDefault="00D00167" w:rsidP="001307A3">
      <w:pPr>
        <w:pStyle w:val="23SatznachNovao"/>
      </w:pPr>
      <w:r w:rsidRPr="006A673E">
        <w:t>« En outre, un système de collecte et de récupération des emballages ménagers notifie par voie électronique, par l’intermédiaire du registre, conformément à l’article 22, les quantités d’emballage ménager mises sur le marché par ses participants en Autriche ou importées pour leur propre usage au cours d’une année civile par catégorie tarifaire au sens d’une ordonnance au sens de l’article 14, paragraphe 1, (masses de participation) au plus tard le 10 avril de l’année civile suivante. »</w:t>
      </w:r>
    </w:p>
    <w:p w14:paraId="3DF00853" w14:textId="6D6BC9E5" w:rsidR="00D00167" w:rsidRPr="006A673E" w:rsidRDefault="00D00167" w:rsidP="001307A3">
      <w:pPr>
        <w:pStyle w:val="22NovAo2"/>
      </w:pPr>
      <w:r w:rsidRPr="006A673E">
        <w:t xml:space="preserve">140. À l’article 29 ter, paragraphe 10, les mots </w:t>
      </w:r>
      <w:r w:rsidRPr="006A673E">
        <w:rPr>
          <w:i w:val="0"/>
        </w:rPr>
        <w:t xml:space="preserve">«loi fédérale sur les marchés publics de 2006 </w:t>
      </w:r>
      <w:r w:rsidR="006C201A" w:rsidRPr="006A673E">
        <w:rPr>
          <w:i w:val="0"/>
        </w:rPr>
        <w:t xml:space="preserve">– </w:t>
      </w:r>
      <w:r w:rsidRPr="006A673E">
        <w:rPr>
          <w:i w:val="0"/>
        </w:rPr>
        <w:t xml:space="preserve"> BVergG 2006, BGBl. I n° 17/2006,» </w:t>
      </w:r>
      <w:r w:rsidRPr="006A673E">
        <w:t xml:space="preserve">sont remplacés par les mots </w:t>
      </w:r>
      <w:r w:rsidRPr="006A673E">
        <w:rPr>
          <w:i w:val="0"/>
        </w:rPr>
        <w:t xml:space="preserve">«loi fédérale sur les marchés publics de 2006 </w:t>
      </w:r>
      <w:r w:rsidR="00994567" w:rsidRPr="006A673E">
        <w:rPr>
          <w:i w:val="0"/>
        </w:rPr>
        <w:t xml:space="preserve">– </w:t>
      </w:r>
      <w:r w:rsidRPr="006A673E">
        <w:rPr>
          <w:i w:val="0"/>
        </w:rPr>
        <w:t>BVergG 2018, BGBl. I n° 65/2018,»</w:t>
      </w:r>
      <w:r w:rsidRPr="006A673E">
        <w:t>.</w:t>
      </w:r>
    </w:p>
    <w:p w14:paraId="3C7C29E6" w14:textId="77777777" w:rsidR="00D00167" w:rsidRPr="006A673E" w:rsidRDefault="00D00167" w:rsidP="001307A3">
      <w:pPr>
        <w:pStyle w:val="21NovAo1"/>
      </w:pPr>
      <w:r w:rsidRPr="006A673E">
        <w:t>141. La phrase suivante est ajoutée à l’article 29d(2) :</w:t>
      </w:r>
    </w:p>
    <w:p w14:paraId="02603CEB" w14:textId="77777777" w:rsidR="00D00167" w:rsidRPr="006A673E" w:rsidRDefault="00D00167" w:rsidP="001307A3">
      <w:pPr>
        <w:pStyle w:val="23SatznachNovao"/>
      </w:pPr>
      <w:r w:rsidRPr="006A673E">
        <w:t>« En outre, un système de collecte et de récupération des emballages commerciaux notifie par voie électronique, par l’intermédiaire du registre, conformément à l'article 22, les quantités d’emballages commerciaux mises sur le marché par ses participants ou importées pour leur propre usage au cours d’une année civile par catégorie tarifaire au sens d’une ordonnance au sens de l’article 14, paragraphe 1, (masses de participation) au plus tard le 10 avril de l’année civile suivante. »</w:t>
      </w:r>
    </w:p>
    <w:p w14:paraId="410DA71D" w14:textId="43363435" w:rsidR="00D00167" w:rsidRPr="006A673E" w:rsidRDefault="00D00167" w:rsidP="001307A3">
      <w:pPr>
        <w:pStyle w:val="22NovAo2"/>
      </w:pPr>
      <w:r w:rsidRPr="006A673E">
        <w:t>142. À l’article 29 quinquies, paragraphe 4, les mots</w:t>
      </w:r>
      <w:r w:rsidR="00994567" w:rsidRPr="006A673E">
        <w:t xml:space="preserve"> </w:t>
      </w:r>
      <w:r w:rsidRPr="006A673E">
        <w:rPr>
          <w:i w:val="0"/>
        </w:rPr>
        <w:t xml:space="preserve">«et annuel» </w:t>
      </w:r>
      <w:r w:rsidRPr="006A673E">
        <w:t>sont insérés dans la première phrase après le mot «</w:t>
      </w:r>
      <w:r w:rsidRPr="006A673E">
        <w:rPr>
          <w:i w:val="0"/>
        </w:rPr>
        <w:t>mensuel»</w:t>
      </w:r>
      <w:r w:rsidRPr="006A673E">
        <w:t>.</w:t>
      </w:r>
    </w:p>
    <w:p w14:paraId="43D0CFAA" w14:textId="77777777" w:rsidR="00D00167" w:rsidRPr="006A673E" w:rsidRDefault="00D00167" w:rsidP="001307A3">
      <w:pPr>
        <w:pStyle w:val="22NovAo2"/>
      </w:pPr>
      <w:r w:rsidRPr="006A673E">
        <w:t xml:space="preserve">143. À l’article 30a(1) sous-paragraphe 1, les mots </w:t>
      </w:r>
      <w:r w:rsidRPr="006A673E">
        <w:rPr>
          <w:i w:val="0"/>
        </w:rPr>
        <w:t>« coordination de »</w:t>
      </w:r>
      <w:r w:rsidRPr="006A673E">
        <w:t xml:space="preserve"> sont supprimés.</w:t>
      </w:r>
    </w:p>
    <w:p w14:paraId="3CBB8C38" w14:textId="77777777" w:rsidR="00D00167" w:rsidRPr="006A673E" w:rsidRDefault="00D00167" w:rsidP="001307A3">
      <w:pPr>
        <w:pStyle w:val="21NovAo1"/>
      </w:pPr>
      <w:r w:rsidRPr="006A673E">
        <w:t>144. Le sous-paragraphe de l'article 30a(1) et le sous-paragraphe 4 du paragraphe 2, sont formulés comme suit :</w:t>
      </w:r>
    </w:p>
    <w:p w14:paraId="01FF038F" w14:textId="77777777" w:rsidR="00D00167" w:rsidRPr="006A673E" w:rsidRDefault="00D00167" w:rsidP="001307A3">
      <w:pPr>
        <w:pStyle w:val="52Aufzaehle1Ziffer"/>
      </w:pPr>
      <w:r w:rsidRPr="006A673E">
        <w:tab/>
        <w:t>« 4.</w:t>
      </w:r>
      <w:r w:rsidRPr="006A673E">
        <w:tab/>
        <w:t>fusionner et, si nécessaire, modifier les concepts de contrôle conformément à l’article 29, paragraphe 2, sous-paragraphe 8 a, et leur mise en œuvre coordonnée ; le quota de 80 % des masses contractées par rapport à la catégorie de collecte concernée est lié à la masse totale de participation de tous les systèmes de collecte et de récupération ; pour les catégories de collecte qui représentent moins de 10 % de la masse totale de participation, ce quota de 80 % peut être exclu si le quota de 80 % est respecté pour toutes les catégories de collecte ; une modification du concept de contrôle n’aboutit pas à une approbation d’amendement conformément à l’article 29, paragraphe 1 .»</w:t>
      </w:r>
    </w:p>
    <w:p w14:paraId="2F3835CE" w14:textId="77777777" w:rsidR="00D00167" w:rsidRPr="006A673E" w:rsidRDefault="00D00167" w:rsidP="001307A3">
      <w:pPr>
        <w:pStyle w:val="21NovAo1"/>
      </w:pPr>
      <w:r w:rsidRPr="006A673E">
        <w:t>145. À l’article 30a, paragraphe 1, à la fin du sous-paragraphe 5, le point final est remplacé par un point-virgule et les sous-paragraphes 6 à 8 suivants sont ajoutés :</w:t>
      </w:r>
    </w:p>
    <w:p w14:paraId="1A74E3CD" w14:textId="77777777" w:rsidR="00D00167" w:rsidRPr="006A673E" w:rsidRDefault="00D00167" w:rsidP="001307A3">
      <w:pPr>
        <w:pStyle w:val="52Aufzaehle1Ziffer"/>
      </w:pPr>
      <w:r w:rsidRPr="006A673E">
        <w:tab/>
        <w:t>« 6.</w:t>
      </w:r>
      <w:r w:rsidRPr="006A673E">
        <w:tab/>
        <w:t>publication et mise à jour mensuelle d’une liste des participants aux systèmes de collecte et de récupération des emballages conformément à l’article 29, paragraphe 10, sur le site internet de l’organisme de coordination des emballages,</w:t>
      </w:r>
    </w:p>
    <w:p w14:paraId="1153F04A" w14:textId="77777777" w:rsidR="00D00167" w:rsidRPr="006A673E" w:rsidRDefault="00D00167" w:rsidP="001307A3">
      <w:pPr>
        <w:pStyle w:val="52Aufzaehle1Ziffer"/>
      </w:pPr>
      <w:r w:rsidRPr="006A673E">
        <w:tab/>
        <w:t>7.</w:t>
      </w:r>
      <w:r w:rsidRPr="006A673E">
        <w:tab/>
        <w:t>tests de plausibilité de la ventilation mensuelle par part de marché des quantités de déchets collectées par province et par catégorie de collecte,</w:t>
      </w:r>
    </w:p>
    <w:p w14:paraId="5C35FEEE" w14:textId="77777777" w:rsidR="00D00167" w:rsidRPr="006A673E" w:rsidRDefault="00D00167" w:rsidP="001307A3">
      <w:pPr>
        <w:pStyle w:val="52Aufzaehle1Ziffer"/>
      </w:pPr>
      <w:r w:rsidRPr="006A673E">
        <w:tab/>
        <w:t>8.</w:t>
      </w:r>
      <w:r w:rsidRPr="006A673E">
        <w:tab/>
        <w:t>réception des données et établissement d’un rapport conformément à l’article 14 ter, paragraphe 6.»</w:t>
      </w:r>
    </w:p>
    <w:p w14:paraId="1E81C535" w14:textId="77777777" w:rsidR="00D00167" w:rsidRPr="006A673E" w:rsidRDefault="00D00167" w:rsidP="001307A3">
      <w:pPr>
        <w:pStyle w:val="21NovAo1"/>
      </w:pPr>
      <w:r w:rsidRPr="006A673E">
        <w:t>146. À l’article 30a, paragraphe 2, à la fin du sous-paragraphe 5, l’arrêt complet est remplacé par un point-virgule et les sous-paragraphes 6 et 7 suivants sont ajoutés :</w:t>
      </w:r>
    </w:p>
    <w:p w14:paraId="73774670" w14:textId="77777777" w:rsidR="00D00167" w:rsidRPr="006A673E" w:rsidRDefault="00D00167" w:rsidP="001307A3">
      <w:pPr>
        <w:pStyle w:val="52Aufzaehle1Ziffer"/>
      </w:pPr>
      <w:r w:rsidRPr="006A673E">
        <w:tab/>
        <w:t>« 6.</w:t>
      </w:r>
      <w:r w:rsidRPr="006A673E">
        <w:tab/>
        <w:t>publication et mise à jour mensuelle d’une liste des participants aux systèmes de collecte et de récupération des emballages conformément à l’article 29, paragraphe 10, sur le site internet de l’organisme de coordination des emballages,</w:t>
      </w:r>
    </w:p>
    <w:p w14:paraId="41D61BC4" w14:textId="77777777" w:rsidR="00D00167" w:rsidRPr="006A673E" w:rsidRDefault="00D00167" w:rsidP="001307A3">
      <w:pPr>
        <w:pStyle w:val="52Aufzaehle1Ziffer"/>
      </w:pPr>
      <w:r w:rsidRPr="006A673E">
        <w:tab/>
        <w:t>7.</w:t>
      </w:r>
      <w:r w:rsidRPr="006A673E">
        <w:tab/>
        <w:t>tests de plausibilité de la ventilation mensuelle par part de marché des quantités de déchets collectées par province et par catégorie de collecte. »</w:t>
      </w:r>
    </w:p>
    <w:p w14:paraId="4DF40964" w14:textId="77777777" w:rsidR="00D00167" w:rsidRPr="006A673E" w:rsidRDefault="00D00167" w:rsidP="001307A3">
      <w:pPr>
        <w:pStyle w:val="22NovAo2"/>
      </w:pPr>
      <w:r w:rsidRPr="006A673E">
        <w:t>147. Les articles 33 à 35, ainsi que les titres, sont supprimés.</w:t>
      </w:r>
    </w:p>
    <w:p w14:paraId="26191D58" w14:textId="77777777" w:rsidR="00D00167" w:rsidRPr="006A673E" w:rsidRDefault="00D00167" w:rsidP="001307A3">
      <w:pPr>
        <w:pStyle w:val="22NovAo2"/>
      </w:pPr>
      <w:r w:rsidRPr="006A673E">
        <w:t xml:space="preserve">148. Au paragraphe 36, point 2, la formulation </w:t>
      </w:r>
      <w:r w:rsidRPr="006A673E">
        <w:rPr>
          <w:i w:val="0"/>
        </w:rPr>
        <w:t>«Principes tarifaires et critères d’efficacité»</w:t>
      </w:r>
      <w:r w:rsidRPr="006A673E">
        <w:t xml:space="preserve"> est remplacée par la formulation</w:t>
      </w:r>
      <w:r w:rsidRPr="006A673E">
        <w:rPr>
          <w:i w:val="0"/>
        </w:rPr>
        <w:t>«Exigences pour le calcul des tarifs (principes tarifaires, par exemple principe de contribution) et critères d’efficacité ; de telles exigences peuvent également inclure des surtaxes et des réductions ou des remboursements pour tenir compte de l’impact environnemental de certains produits»</w:t>
      </w:r>
      <w:r w:rsidRPr="006A673E">
        <w:t>.</w:t>
      </w:r>
    </w:p>
    <w:p w14:paraId="2C876E8B" w14:textId="77777777" w:rsidR="00D00167" w:rsidRPr="006A673E" w:rsidRDefault="00D00167" w:rsidP="001307A3">
      <w:pPr>
        <w:pStyle w:val="22NovAo2"/>
      </w:pPr>
      <w:r w:rsidRPr="006A673E">
        <w:t>149. À l’article 36, à la fin du sous-paragraphe 6, le point final est remplacé par un point-virgule et les mots « </w:t>
      </w:r>
      <w:r w:rsidRPr="006A673E">
        <w:rPr>
          <w:i w:val="0"/>
        </w:rPr>
        <w:t>et les fractions collectives »</w:t>
      </w:r>
      <w:r w:rsidRPr="006A673E">
        <w:t xml:space="preserve"> sont ajoutés.</w:t>
      </w:r>
    </w:p>
    <w:p w14:paraId="62A89F77" w14:textId="77777777" w:rsidR="00D00167" w:rsidRPr="006A673E" w:rsidRDefault="00D00167" w:rsidP="001307A3">
      <w:pPr>
        <w:pStyle w:val="21NovAo1"/>
      </w:pPr>
      <w:r w:rsidRPr="006A673E">
        <w:lastRenderedPageBreak/>
        <w:t>150. Le sous-paragraphe 7 suivant est ajouté à l’article 36 :</w:t>
      </w:r>
    </w:p>
    <w:p w14:paraId="79FA7151" w14:textId="77777777" w:rsidR="00D00167" w:rsidRPr="006A673E" w:rsidRDefault="00D00167" w:rsidP="001307A3">
      <w:pPr>
        <w:pStyle w:val="52Aufzaehle1Ziffer"/>
      </w:pPr>
      <w:r w:rsidRPr="006A673E">
        <w:tab/>
        <w:t>« 7.</w:t>
      </w:r>
      <w:r w:rsidRPr="006A673E">
        <w:tab/>
        <w:t>Dispositions relatives aux contributions financières aux entreprises socio-économiques dans le cadre de la préparation des produits en vue de leur réutilisation. »</w:t>
      </w:r>
    </w:p>
    <w:p w14:paraId="17DA2F82" w14:textId="77777777" w:rsidR="00D00167" w:rsidRPr="006A673E" w:rsidRDefault="00D00167" w:rsidP="001307A3">
      <w:pPr>
        <w:pStyle w:val="22NovAo2"/>
      </w:pPr>
      <w:r w:rsidRPr="006A673E">
        <w:t xml:space="preserve">151. À l’article 37, paragraphe 4, point 7, les mots </w:t>
      </w:r>
      <w:r w:rsidRPr="006A673E">
        <w:rPr>
          <w:i w:val="0"/>
        </w:rPr>
        <w:t xml:space="preserve">«ou l’achèvement des mesures de suivi de la décharge» </w:t>
      </w:r>
      <w:r w:rsidRPr="006A673E">
        <w:t xml:space="preserve">sont insérés après les mots </w:t>
      </w:r>
      <w:r w:rsidRPr="006A673E">
        <w:rPr>
          <w:i w:val="0"/>
        </w:rPr>
        <w:t>«d’une zone partielle de la décharge»</w:t>
      </w:r>
      <w:r w:rsidRPr="006A673E">
        <w:t>.</w:t>
      </w:r>
    </w:p>
    <w:p w14:paraId="285D441A" w14:textId="77777777" w:rsidR="00D00167" w:rsidRPr="006A673E" w:rsidRDefault="00D00167" w:rsidP="001307A3">
      <w:pPr>
        <w:pStyle w:val="21NovAo1"/>
      </w:pPr>
      <w:r w:rsidRPr="006A673E">
        <w:t>152. À l’article 47, paragraphe 1, et à l’article 52, paragraphe 2, la dernière partie suivante est ajoutée :</w:t>
      </w:r>
    </w:p>
    <w:p w14:paraId="1D0A63ED" w14:textId="77777777" w:rsidR="00D00167" w:rsidRPr="006A673E" w:rsidRDefault="00D00167" w:rsidP="001307A3">
      <w:pPr>
        <w:pStyle w:val="58Schlussteile0Abs"/>
      </w:pPr>
      <w:r w:rsidRPr="006A673E">
        <w:t>« Pour les stations de traitement, le numéro d’identification du plan de traitement est indiqué dans le registre. »</w:t>
      </w:r>
    </w:p>
    <w:p w14:paraId="32A843B4" w14:textId="77777777" w:rsidR="00D00167" w:rsidRPr="006A673E" w:rsidRDefault="00D00167" w:rsidP="001307A3">
      <w:pPr>
        <w:pStyle w:val="22NovAo2"/>
      </w:pPr>
      <w:r w:rsidRPr="006A673E">
        <w:t xml:space="preserve">153. À l’article 51, paragraphe 2, dans la troisième phrase, après les mots </w:t>
      </w:r>
      <w:r w:rsidRPr="006A673E">
        <w:rPr>
          <w:i w:val="0"/>
        </w:rPr>
        <w:t>«conformément à l’article 37, paragraphe 4, point 9»</w:t>
      </w:r>
      <w:r w:rsidRPr="006A673E">
        <w:t>les mots</w:t>
      </w:r>
      <w:r w:rsidRPr="006A673E">
        <w:rPr>
          <w:i w:val="0"/>
        </w:rPr>
        <w:t xml:space="preserve"> «outre les documents de demande conformément à l’article 39, dans la mesure où ces documents sont nécessaires,» sont insérés</w:t>
      </w:r>
      <w:r w:rsidRPr="006A673E">
        <w:t>.</w:t>
      </w:r>
    </w:p>
    <w:p w14:paraId="7C3A2A9A" w14:textId="77777777" w:rsidR="00D00167" w:rsidRPr="006A673E" w:rsidRDefault="00D00167" w:rsidP="001307A3">
      <w:pPr>
        <w:pStyle w:val="21NovAo1"/>
      </w:pPr>
      <w:r w:rsidRPr="006A673E">
        <w:t>154. À l’article 51, paragraphe 2, la quatrième phrase est formulée comme suit:</w:t>
      </w:r>
    </w:p>
    <w:p w14:paraId="5E814A75" w14:textId="77777777" w:rsidR="00D00167" w:rsidRPr="006A673E" w:rsidRDefault="00D00167" w:rsidP="001307A3">
      <w:pPr>
        <w:pStyle w:val="23SatznachNovao"/>
      </w:pPr>
      <w:r w:rsidRPr="006A673E">
        <w:t>«Les notifications visées à l’article 37, paragraphe 4, point 9, ne sont notifiées par l’autorité par voie de décision officielle, les notifications visées à l’article 37, paragraphe 4, points 5 à 7 et 4 bis uniquement sur demande.«</w:t>
      </w:r>
    </w:p>
    <w:p w14:paraId="211255BA" w14:textId="77777777" w:rsidR="00D00167" w:rsidRPr="006A673E" w:rsidRDefault="00D00167" w:rsidP="001307A3">
      <w:pPr>
        <w:pStyle w:val="22NovAo2"/>
      </w:pPr>
      <w:r w:rsidRPr="006A673E">
        <w:t>155. À l’article 51, paragraphe 2, dans l’avant-dernière phrase après le numéro «</w:t>
      </w:r>
      <w:r w:rsidRPr="006A673E">
        <w:rPr>
          <w:i w:val="0"/>
        </w:rPr>
        <w:t>6»</w:t>
      </w:r>
      <w:r w:rsidRPr="006A673E">
        <w:t xml:space="preserve">, la mention </w:t>
      </w:r>
      <w:r w:rsidRPr="006A673E">
        <w:rPr>
          <w:i w:val="0"/>
        </w:rPr>
        <w:t>«et le point 9»</w:t>
      </w:r>
      <w:r w:rsidRPr="006A673E">
        <w:t xml:space="preserve"> est ajoutée et dans la dernière phrase après le numéro </w:t>
      </w:r>
      <w:r w:rsidRPr="006A673E">
        <w:rPr>
          <w:i w:val="0"/>
        </w:rPr>
        <w:t>«8»</w:t>
      </w:r>
      <w:r w:rsidRPr="006A673E">
        <w:t>, le numéro </w:t>
      </w:r>
      <w:r w:rsidRPr="006A673E">
        <w:rPr>
          <w:i w:val="0"/>
        </w:rPr>
        <w:t>«9»</w:t>
      </w:r>
      <w:r w:rsidRPr="006A673E">
        <w:t xml:space="preserve"> est ajouté.</w:t>
      </w:r>
    </w:p>
    <w:p w14:paraId="576F97A3" w14:textId="77777777" w:rsidR="00D00167" w:rsidRPr="006A673E" w:rsidRDefault="00D00167" w:rsidP="001307A3">
      <w:pPr>
        <w:pStyle w:val="21NovAo1"/>
      </w:pPr>
      <w:r w:rsidRPr="006A673E">
        <w:t>156. À l’article 65, paragraphe 1, la partie finale suivante est ajoutée :</w:t>
      </w:r>
    </w:p>
    <w:p w14:paraId="6F192499" w14:textId="77777777" w:rsidR="00D00167" w:rsidRPr="006A673E" w:rsidRDefault="00D00167" w:rsidP="001307A3">
      <w:pPr>
        <w:pStyle w:val="58Schlussteile0Abs"/>
      </w:pPr>
      <w:r w:rsidRPr="006A673E">
        <w:t>« Dans le cas de déterminations effectuées conformément au sous-paragraphe 1 en ce qui concerne l’état de la technique en matière de prévention et de rétention des substances pouvant pénétrer dans l’eau, et dans le cas de déterminations effectuées conformément au sous-paragraphe 3a, un accord doit être conclu avec le Ministre fédéral de l’agriculture, des régions et du tourisme. »</w:t>
      </w:r>
    </w:p>
    <w:p w14:paraId="329E005D" w14:textId="77777777" w:rsidR="00D00167" w:rsidRPr="006A673E" w:rsidRDefault="00D00167" w:rsidP="001307A3">
      <w:pPr>
        <w:pStyle w:val="21NovAo1"/>
      </w:pPr>
      <w:r w:rsidRPr="006A673E">
        <w:t>157. La phrase suivante est ajoutée à l’article 67, paragraphe 1 :</w:t>
      </w:r>
    </w:p>
    <w:p w14:paraId="7280B025" w14:textId="77777777" w:rsidR="00D00167" w:rsidRPr="006A673E" w:rsidRDefault="00D00167" w:rsidP="001307A3">
      <w:pPr>
        <w:pStyle w:val="23SatznachNovao"/>
      </w:pPr>
      <w:r w:rsidRPr="006A673E">
        <w:t>« Cette demande est présentée électroniquement par l’intermédiaire du registre conformément à l’article 22, paragraphe 1. »</w:t>
      </w:r>
    </w:p>
    <w:p w14:paraId="4DF27CC4" w14:textId="77777777" w:rsidR="00D00167" w:rsidRPr="006A673E" w:rsidRDefault="00D00167" w:rsidP="001307A3">
      <w:pPr>
        <w:pStyle w:val="21NovAo1"/>
      </w:pPr>
      <w:r w:rsidRPr="006A673E">
        <w:t>158. La phrase suivante est ajoutée à l’article 67, paragraphe 2 :</w:t>
      </w:r>
    </w:p>
    <w:p w14:paraId="6AA958D2" w14:textId="77777777" w:rsidR="00D00167" w:rsidRPr="006A673E" w:rsidRDefault="00D00167" w:rsidP="001307A3">
      <w:pPr>
        <w:pStyle w:val="23SatznachNovao"/>
      </w:pPr>
      <w:r w:rsidRPr="006A673E">
        <w:t>« Cette transmission peut être effectuée par voie électronique en cas de consentement de l’autorité étrangère compétente concernée, conformément à l’article 26, paragraphe 4, du Règlement sur les transferts de déchets. »</w:t>
      </w:r>
    </w:p>
    <w:p w14:paraId="7DC16686" w14:textId="77777777" w:rsidR="00D00167" w:rsidRPr="006A673E" w:rsidRDefault="00D00167" w:rsidP="001307A3">
      <w:pPr>
        <w:pStyle w:val="21NovAo1"/>
      </w:pPr>
      <w:r w:rsidRPr="006A673E">
        <w:t>159. À l’article 68, paragraphe 1, à la fin du sous-paragraphe 5, le mot « </w:t>
      </w:r>
      <w:r w:rsidRPr="006A673E">
        <w:rPr>
          <w:i w:val="0"/>
        </w:rPr>
        <w:t>et »</w:t>
      </w:r>
      <w:r w:rsidRPr="006A673E">
        <w:t xml:space="preserve"> est supprimé et le sous-paragraphe 5a suivant est inséré après le sous-paragraphe 5 :</w:t>
      </w:r>
    </w:p>
    <w:p w14:paraId="7F8714A4" w14:textId="77777777" w:rsidR="00D00167" w:rsidRPr="006A673E" w:rsidRDefault="00D00167" w:rsidP="001307A3">
      <w:pPr>
        <w:pStyle w:val="52Aufzaehle1Ziffer"/>
      </w:pPr>
      <w:r w:rsidRPr="006A673E">
        <w:tab/>
        <w:t>« 5a. les éléments de preuve conformément à l’article 69, paragraphe 10, de l’AWG 2002 ; »</w:t>
      </w:r>
    </w:p>
    <w:p w14:paraId="7C2FE26B" w14:textId="77777777" w:rsidR="00D00167" w:rsidRPr="006A673E" w:rsidRDefault="00D00167" w:rsidP="001307A3">
      <w:pPr>
        <w:pStyle w:val="21NovAo1"/>
      </w:pPr>
      <w:r w:rsidRPr="006A673E">
        <w:t>160. La dernière phrase de l’article 68, paragraphe 1, est formulée comme suit :</w:t>
      </w:r>
    </w:p>
    <w:p w14:paraId="540E130A" w14:textId="77777777" w:rsidR="00D00167" w:rsidRPr="006A673E" w:rsidRDefault="00D00167" w:rsidP="001307A3">
      <w:pPr>
        <w:pStyle w:val="23SatznachNovao"/>
      </w:pPr>
      <w:r w:rsidRPr="006A673E">
        <w:t>« Si le consentement de l’autorité compétente étrangère concernée à transmettre la notification par voie électronique n’est pas disponible, une copie écrite de la notification est envoyée séparément à cette autorité. »</w:t>
      </w:r>
    </w:p>
    <w:p w14:paraId="3AFD3D53" w14:textId="77777777" w:rsidR="00D00167" w:rsidRPr="006A673E" w:rsidRDefault="00D00167" w:rsidP="001307A3">
      <w:pPr>
        <w:pStyle w:val="21NovAo1"/>
      </w:pPr>
      <w:r w:rsidRPr="006A673E">
        <w:t>161. À l’article 69, le paragraphe (7 c) suivant est inséré après le paragraphe (7 b) :</w:t>
      </w:r>
    </w:p>
    <w:p w14:paraId="20267910" w14:textId="77777777" w:rsidR="00D00167" w:rsidRPr="006A673E" w:rsidRDefault="00D00167" w:rsidP="001307A3">
      <w:pPr>
        <w:pStyle w:val="51Abs"/>
      </w:pPr>
      <w:r w:rsidRPr="006A673E">
        <w:t>«(7 quater) Le transfert de déchets mélangés, combinés ou pré-traités (par ajout d’autres choses ou matériaux) provenant de procédés de traitement industriel de différents producteurs ou sites de déchets ainsi que de déchets mélangés, combinés ou pré-traités provenant de procédés de traitement industriel de différents numéros clés de déchets conformément à la liste autrichienne des déchets vers l’Autriche aux fins de mise en décharge ou de solidification, de stabilisation ou d’immobilisation avant la mise en décharge n’est pas autorisé. Sont exclus de cette interdiction les déchets mélangés, combinés ou pré-traités jusqu’à 25 tonnes qui sont transportés en Autriche à des fins expérimentales techniques avec notification écrite et consentement conformément aux exigences du Règlement sur le transport des déchets et qui sont destinés à être mis en décharge ou solidifiés, stabilisés ou immobilisés avant la mise en décharge après l’achèvement des expériences. » La collecte conjointe de déchets de même type et de même qualité et ayant une teneur comparable en polluants ne constitue pas un mélange ou un mélange au sens de la présente disposition. La même qualité est démontrée dans la procédure de notification.»</w:t>
      </w:r>
    </w:p>
    <w:p w14:paraId="7EFF2177" w14:textId="77777777" w:rsidR="00D00167" w:rsidRPr="006A673E" w:rsidRDefault="00D00167" w:rsidP="001307A3">
      <w:pPr>
        <w:pStyle w:val="21NovAo1"/>
      </w:pPr>
      <w:r w:rsidRPr="006A673E">
        <w:lastRenderedPageBreak/>
        <w:t>162. L'article 69 (10) est formulé comme suit :</w:t>
      </w:r>
    </w:p>
    <w:p w14:paraId="1CB3DD73" w14:textId="77777777" w:rsidR="00D00167" w:rsidRPr="006A673E" w:rsidRDefault="00D00167" w:rsidP="001307A3">
      <w:pPr>
        <w:pStyle w:val="51Abs"/>
      </w:pPr>
      <w:r w:rsidRPr="006A673E">
        <w:t>«(10) Le transport de déchets d’un total de dix tonnes ou plus avec une distance de transport par route de</w:t>
      </w:r>
    </w:p>
    <w:p w14:paraId="3B434B23" w14:textId="77777777" w:rsidR="00D00167" w:rsidRPr="006A673E" w:rsidRDefault="00D00167" w:rsidP="001307A3">
      <w:pPr>
        <w:pStyle w:val="52Aufzaehle1Ziffer"/>
      </w:pPr>
      <w:r w:rsidRPr="006A673E">
        <w:tab/>
        <w:t>1.</w:t>
      </w:r>
      <w:r w:rsidRPr="006A673E">
        <w:tab/>
        <w:t>300 km en Autriche à partir du 1er janvier 2023 </w:t>
      </w:r>
    </w:p>
    <w:p w14:paraId="1FA646B3" w14:textId="77777777" w:rsidR="00D00167" w:rsidRPr="006A673E" w:rsidRDefault="00D00167" w:rsidP="001307A3">
      <w:pPr>
        <w:pStyle w:val="52Aufzaehle1Ziffer"/>
      </w:pPr>
      <w:r w:rsidRPr="006A673E">
        <w:tab/>
        <w:t>2.</w:t>
      </w:r>
      <w:r w:rsidRPr="006A673E">
        <w:tab/>
        <w:t>200 km en Autriche à partir du 1er janvier 2024 </w:t>
      </w:r>
    </w:p>
    <w:p w14:paraId="48F2F15B" w14:textId="77777777" w:rsidR="00D00167" w:rsidRPr="006A673E" w:rsidRDefault="00D00167" w:rsidP="001307A3">
      <w:pPr>
        <w:pStyle w:val="52Aufzaehle1Ziffer"/>
      </w:pPr>
      <w:r w:rsidRPr="006A673E">
        <w:tab/>
        <w:t>3.</w:t>
      </w:r>
      <w:r w:rsidRPr="006A673E">
        <w:tab/>
        <w:t>100 km en Autriche à compter du 1er janvier 2026,</w:t>
      </w:r>
    </w:p>
    <w:p w14:paraId="2B220FF8" w14:textId="77777777" w:rsidR="00D00167" w:rsidRPr="006A673E" w:rsidRDefault="00D00167" w:rsidP="001307A3">
      <w:pPr>
        <w:pStyle w:val="58Schlussteile0Abs"/>
      </w:pPr>
      <w:r w:rsidRPr="006A673E">
        <w:t>doit être effectué par chemin de fer ou par d’autres moyens de transport ayant un potentiel équivalent ou inférieur à celui des polluants ou des gaz à effet de serre (ex.: propulsion par moteur électrique ou pile à combustible). Cela ne s’applique pas s’il est prouvé qu’aucune capacité correspondante ne peut être fournie par chemin de fer ou si, dans le cas du transport ferroviaire, la distance à parcourir par la route pour le trajet à destination et en provenance du point de chargement serait égale ou supérieure à 25 % par rapport au transport exclusivement routier. Les pièces justificatives pertinentes doivent être transportées pendant le transport et présentées à l’autorité qui en fait la demande. Le 1er décembre 2022 au plus tard, le Ministère fédéral de l'action pour le climat, de l'environnement, de l'énergie, de la mobilité, de l'innovation et de la technologie mettra en place, en coordination avec la Chambre de commerce autrichienne, une plate-forme numérique qui permettra d'examiner les offres de transport de déchets dans le transport ferroviaire de marchandises et, si aucune capacité correspondante n'est disponible, de le confirmer dans un délai de deux jours ouvrables. Seule la confirmation par la plateforme numérique est considérée comme la preuve qu’aucune capacité correspondante ne peut être fournie. Le Ministre fédéral de l’action pour le climat, de l’environnement, de l’énergie, de la mobilité, de l’innovation et de la technologie évalue l’efficacité de ce dispositif au plus tard le 31 décembre 2024. » Dans le cadre de l’évaluation, le suivi de la concurrence, notamment en ce qui concerne l’évolution de l’intensité de la concurrence, est effectué avec l’aide de l’autorité fédérale de la concurrence.»</w:t>
      </w:r>
    </w:p>
    <w:p w14:paraId="54CB63C0" w14:textId="77777777" w:rsidR="00D00167" w:rsidRPr="006A673E" w:rsidRDefault="00D00167" w:rsidP="001307A3">
      <w:pPr>
        <w:pStyle w:val="21NovAo1"/>
      </w:pPr>
      <w:r w:rsidRPr="006A673E">
        <w:t>163. L’article 72b, y compris le titre suivant, est ajouté après l’article 72a :</w:t>
      </w:r>
    </w:p>
    <w:p w14:paraId="19BEA19B" w14:textId="77777777" w:rsidR="00D00167" w:rsidRPr="006A673E" w:rsidRDefault="00D00167" w:rsidP="001307A3">
      <w:pPr>
        <w:pStyle w:val="45UeberschrPara"/>
      </w:pPr>
      <w:r w:rsidRPr="006A673E">
        <w:t>« Notifications électroniques en cas de mouvements trans-frontaliers</w:t>
      </w:r>
    </w:p>
    <w:p w14:paraId="414A7D84" w14:textId="77777777" w:rsidR="00D00167" w:rsidRPr="006A673E" w:rsidRDefault="00D00167" w:rsidP="001307A3">
      <w:pPr>
        <w:pStyle w:val="51Abs"/>
      </w:pPr>
      <w:r w:rsidRPr="006A673E">
        <w:rPr>
          <w:rStyle w:val="991GldSymbol"/>
        </w:rPr>
        <w:t>Article 72b.</w:t>
      </w:r>
      <w:r w:rsidRPr="006A673E">
        <w:t xml:space="preserve"> (1) Les notifications visées à l’article 16, point (b), du Règlement sur les transferts de déchets sont transmises par voie électronique par l’intermédiaire du registre conformément à l’article 22, paragraphe 1, en cas de transferts en provenance d’Autriche.</w:t>
      </w:r>
    </w:p>
    <w:p w14:paraId="61BE125C" w14:textId="77777777" w:rsidR="00D00167" w:rsidRPr="006A673E" w:rsidRDefault="00D00167" w:rsidP="001307A3">
      <w:pPr>
        <w:pStyle w:val="51Abs"/>
      </w:pPr>
      <w:r w:rsidRPr="006A673E">
        <w:t>(2) Les notifications visées à l’article 15, points (c) et (d), et à l’article 16, points (d) et (e), du Règlement sur les transferts de déchets sont transmises par voie électronique par l’intermédiaire du registre conformément à l’article 22, paragraphe 1, en cas de transferts vers l’Autriche.</w:t>
      </w:r>
    </w:p>
    <w:p w14:paraId="53D3325B" w14:textId="77777777" w:rsidR="00D00167" w:rsidRPr="006A673E" w:rsidRDefault="00D00167" w:rsidP="001307A3">
      <w:pPr>
        <w:pStyle w:val="51Abs"/>
      </w:pPr>
      <w:r w:rsidRPr="006A673E">
        <w:t>(3) Toute personne qui déplace des déchets hors d’Autriche doit déclarer la quantité de déchets recyclés et de déchets préparés en vue de leur réutilisation au Ministre fédéral de l’action climatique, de l’environnement, de l’énergie, de la mobilité, de l’innovation et de la technologie conformément aux spécifications pour le calcul selon l’</w:t>
      </w:r>
      <w:r w:rsidRPr="006A673E">
        <w:rPr>
          <w:b/>
        </w:rPr>
        <w:t>Annexe 1a</w:t>
      </w:r>
      <w:r w:rsidRPr="006A673E">
        <w:t>. Si elle établie, la notification est effectuée par l’intermédiaire du registre conformément à l'article 22. »</w:t>
      </w:r>
    </w:p>
    <w:p w14:paraId="683FAC37" w14:textId="77777777" w:rsidR="00D00167" w:rsidRPr="006A673E" w:rsidRDefault="00D00167" w:rsidP="001307A3">
      <w:pPr>
        <w:pStyle w:val="22NovAo2"/>
      </w:pPr>
      <w:r w:rsidRPr="006A673E">
        <w:t xml:space="preserve">164. À l’article 73, paragraphe 3, la formulation </w:t>
      </w:r>
      <w:r w:rsidRPr="006A673E">
        <w:rPr>
          <w:i w:val="0"/>
        </w:rPr>
        <w:t xml:space="preserve">«et commercialement» </w:t>
      </w:r>
      <w:r w:rsidRPr="006A673E">
        <w:t>est supprimée.</w:t>
      </w:r>
    </w:p>
    <w:p w14:paraId="6DBEAE0B" w14:textId="77777777" w:rsidR="00D00167" w:rsidRPr="006A673E" w:rsidRDefault="00D00167" w:rsidP="001307A3">
      <w:pPr>
        <w:pStyle w:val="22NovAo2"/>
      </w:pPr>
      <w:r w:rsidRPr="006A673E">
        <w:t xml:space="preserve">165. À l’article 75, paragraphe 2, la citation </w:t>
      </w:r>
      <w:r w:rsidRPr="006A673E">
        <w:rPr>
          <w:i w:val="0"/>
        </w:rPr>
        <w:t>«, à l’article  13 undecies, aux articles 13 quaterdecies à 13 octodecies, à l’article 14 ter, à l’article 14 quater, à l’article 15,paragraphe 9 et à l’article 69, paragraphe 10»</w:t>
      </w:r>
      <w:r w:rsidRPr="006A673E">
        <w:t xml:space="preserve"> est ajoutée après la citation </w:t>
      </w:r>
      <w:r w:rsidRPr="006A673E">
        <w:rPr>
          <w:i w:val="0"/>
        </w:rPr>
        <w:t>«13 septies»</w:t>
      </w:r>
      <w:r w:rsidRPr="006A673E">
        <w:t xml:space="preserve">, et la citation </w:t>
      </w:r>
      <w:r w:rsidRPr="006A673E">
        <w:rPr>
          <w:i w:val="0"/>
        </w:rPr>
        <w:t xml:space="preserve">«et article 14 bis» </w:t>
      </w:r>
      <w:r w:rsidRPr="006A673E">
        <w:t xml:space="preserve">est ajoutée après la citation </w:t>
      </w:r>
      <w:r w:rsidRPr="006A673E">
        <w:rPr>
          <w:i w:val="0"/>
        </w:rPr>
        <w:t>«article 14»</w:t>
      </w:r>
      <w:r w:rsidRPr="006A673E">
        <w:t>.</w:t>
      </w:r>
    </w:p>
    <w:p w14:paraId="4727C3B2" w14:textId="77777777" w:rsidR="00D00167" w:rsidRPr="006A673E" w:rsidRDefault="00D00167" w:rsidP="001307A3">
      <w:pPr>
        <w:pStyle w:val="21NovAo1"/>
      </w:pPr>
      <w:r w:rsidRPr="006A673E">
        <w:t>166. Le paragraphe 8 suivant est ajouté à l'article 75 :</w:t>
      </w:r>
    </w:p>
    <w:p w14:paraId="5B8B6C7D" w14:textId="77777777" w:rsidR="00D00167" w:rsidRPr="006A673E" w:rsidRDefault="00D00167" w:rsidP="001307A3">
      <w:pPr>
        <w:pStyle w:val="51Abs"/>
      </w:pPr>
      <w:r w:rsidRPr="006A673E">
        <w:t>« (8) Le Ministre fédéral de l’action pour le climat, de l’environnement, de l’énergie, de la mobilité, de l’innovation et de la technologie est l’autorité compétente chargée de la surveillance du marché dans le domaine des ordonnances visées à l’article 14. Dans le cas de produits originaires de pays tiers entrant sur le marché de l’Union, l’autorité douanière participe, dans le cadre de sa compétence, à cet égard, conformément au Chapitre VII du Règlement (UE) 2019/1020 relatif à la surveillance du marché et à la conformité des produits et modifiant la Directive 2004/42/CE et les Règlements (CE) n° 765/2008 et (UE) n° 305/2011, JO L 169 du 25/06/2019, p. 1. »</w:t>
      </w:r>
    </w:p>
    <w:p w14:paraId="0ECDD5AC" w14:textId="77777777" w:rsidR="00D00167" w:rsidRPr="006A673E" w:rsidRDefault="00D00167" w:rsidP="001307A3">
      <w:pPr>
        <w:pStyle w:val="22NovAo2"/>
      </w:pPr>
      <w:r w:rsidRPr="006A673E">
        <w:t xml:space="preserve">167. À l’article 75b(1), les mots </w:t>
      </w:r>
      <w:r w:rsidRPr="006A673E">
        <w:rPr>
          <w:i w:val="0"/>
        </w:rPr>
        <w:t>« le gouverneur, »</w:t>
      </w:r>
      <w:r w:rsidRPr="006A673E">
        <w:t xml:space="preserve"> sont insérés après les mots </w:t>
      </w:r>
      <w:r w:rsidRPr="006A673E">
        <w:rPr>
          <w:i w:val="0"/>
        </w:rPr>
        <w:t>« l’autorité administrative de district, »</w:t>
      </w:r>
      <w:r w:rsidRPr="006A673E">
        <w:t>.</w:t>
      </w:r>
    </w:p>
    <w:p w14:paraId="098AEE4C" w14:textId="77777777" w:rsidR="00D00167" w:rsidRPr="006A673E" w:rsidRDefault="00D00167" w:rsidP="001307A3">
      <w:pPr>
        <w:pStyle w:val="22NovAo2"/>
      </w:pPr>
      <w:r w:rsidRPr="006A673E">
        <w:t xml:space="preserve">168. À l’article 75b(1) sous-paragraphe 1 lettre b, après le mot </w:t>
      </w:r>
      <w:r w:rsidRPr="006A673E">
        <w:rPr>
          <w:i w:val="0"/>
        </w:rPr>
        <w:t>« immédiatement »</w:t>
      </w:r>
      <w:r w:rsidRPr="006A673E">
        <w:t xml:space="preserve">, les mots </w:t>
      </w:r>
      <w:r w:rsidRPr="006A673E">
        <w:rPr>
          <w:i w:val="0"/>
        </w:rPr>
        <w:t>« avant la fin du contrôle officiel »</w:t>
      </w:r>
      <w:r w:rsidRPr="006A673E">
        <w:t xml:space="preserve"> sont insérés.</w:t>
      </w:r>
    </w:p>
    <w:p w14:paraId="31E47FAD" w14:textId="77777777" w:rsidR="00D00167" w:rsidRPr="006A673E" w:rsidRDefault="00D00167" w:rsidP="001307A3">
      <w:pPr>
        <w:pStyle w:val="21NovAo1"/>
      </w:pPr>
      <w:r w:rsidRPr="006A673E">
        <w:lastRenderedPageBreak/>
        <w:t>169. La phrase suivante est ajoutée à l’article 75b(1) :</w:t>
      </w:r>
    </w:p>
    <w:p w14:paraId="2602CDD1" w14:textId="77777777" w:rsidR="00D00167" w:rsidRPr="006A673E" w:rsidRDefault="00D00167" w:rsidP="001307A3">
      <w:pPr>
        <w:pStyle w:val="23SatznachNovao"/>
      </w:pPr>
      <w:r w:rsidRPr="006A673E">
        <w:t>« Si ni la personne en charge, ni le responsable du traitement ni le propriétaire de l’usine de traitement ne sont présents, le certificat de saisie temporaire est délivré au moyen d’un avis sur place ou d’un avis sur le tableau d’affichage officiel ; la saisie temporaire prend effet immédiatement dans ce cas. »</w:t>
      </w:r>
    </w:p>
    <w:p w14:paraId="549E86B8" w14:textId="77777777" w:rsidR="00D00167" w:rsidRPr="006A673E" w:rsidRDefault="00D00167" w:rsidP="001307A3">
      <w:pPr>
        <w:pStyle w:val="22NovAo2"/>
      </w:pPr>
      <w:r w:rsidRPr="006A673E">
        <w:t xml:space="preserve">170. À l'article 75b(2), les mots </w:t>
      </w:r>
      <w:r w:rsidRPr="006A673E">
        <w:rPr>
          <w:i w:val="0"/>
        </w:rPr>
        <w:t>« ordonner la saisie par décision officielle »</w:t>
      </w:r>
      <w:r w:rsidRPr="006A673E">
        <w:t xml:space="preserve"> sont remplacés par les mots </w:t>
      </w:r>
      <w:r w:rsidRPr="006A673E">
        <w:rPr>
          <w:i w:val="0"/>
        </w:rPr>
        <w:t>« ordonner la saisie par décision officielle »</w:t>
      </w:r>
      <w:r w:rsidRPr="006A673E">
        <w:t>.</w:t>
      </w:r>
    </w:p>
    <w:p w14:paraId="60A318BC" w14:textId="77777777" w:rsidR="00D00167" w:rsidRPr="006A673E" w:rsidRDefault="00D00167" w:rsidP="001307A3">
      <w:pPr>
        <w:pStyle w:val="21NovAo1"/>
      </w:pPr>
      <w:r w:rsidRPr="006A673E">
        <w:t>171. Les paragraphes 26 et 27 suivants sont ajoutés à l’article 78:</w:t>
      </w:r>
    </w:p>
    <w:p w14:paraId="6BF8C09B" w14:textId="77777777" w:rsidR="00D00167" w:rsidRPr="006A673E" w:rsidRDefault="00D00167" w:rsidP="001307A3">
      <w:pPr>
        <w:pStyle w:val="51Abs"/>
      </w:pPr>
      <w:r w:rsidRPr="006A673E">
        <w:t>«(26) Si l’activité de collecte et de traitement des déchets non dangereux ou du ciment d’amiante n’est pas exercée par une personne physique au moment de l’entrée en vigueur de la loi fédérale, BGBl. I n° 200/2021, et une personne responsable n’a pas encore été nommée qui remplit les critères de l’article 26, paragraphe 1, points 1 à 3, une personne responsable conformément à l’article 26, paragraphe 6, est nommée à l’autorité au plus tard le 1er juin 2022.»</w:t>
      </w:r>
    </w:p>
    <w:p w14:paraId="4101F21F" w14:textId="77777777" w:rsidR="00D00167" w:rsidRPr="006A673E" w:rsidRDefault="00D00167" w:rsidP="001307A3">
      <w:pPr>
        <w:pStyle w:val="51Abs"/>
      </w:pPr>
      <w:r w:rsidRPr="006A673E">
        <w:t>(27) Les stocks résiduels de boissons dans des emballages en plastique ou en métal à usage unique sur lesquels aucune consigne n’a été facturée conformément à l’article 14 quater, paragraphe 1, en liaison avec l’ordonnance en vertu de l’article 14 quater, paragraphe 2, peuvent être vendus jusqu’à la fin du 31 décembre 2025.»</w:t>
      </w:r>
    </w:p>
    <w:p w14:paraId="02B253D3" w14:textId="77777777" w:rsidR="00D00167" w:rsidRPr="006A673E" w:rsidRDefault="00D00167" w:rsidP="001307A3">
      <w:pPr>
        <w:pStyle w:val="22NovAo2"/>
      </w:pPr>
      <w:r w:rsidRPr="006A673E">
        <w:t xml:space="preserve">172. À l’article 79, paragraphe 1, la mention </w:t>
      </w:r>
      <w:r w:rsidRPr="006A673E">
        <w:rPr>
          <w:i w:val="0"/>
        </w:rPr>
        <w:t>«article 15, paragraphes 1, 3 ou 4»</w:t>
      </w:r>
      <w:r w:rsidRPr="006A673E">
        <w:t xml:space="preserve"> est remplacée au point 1 par la mention </w:t>
      </w:r>
      <w:r w:rsidRPr="006A673E">
        <w:rPr>
          <w:i w:val="0"/>
        </w:rPr>
        <w:t>«article 15, paragraphe 1, ,3, 4 ou 4 ter»</w:t>
      </w:r>
      <w:r w:rsidRPr="006A673E">
        <w:t>.</w:t>
      </w:r>
    </w:p>
    <w:p w14:paraId="0E4680D9" w14:textId="77777777" w:rsidR="00D00167" w:rsidRPr="006A673E" w:rsidRDefault="00D00167" w:rsidP="001307A3">
      <w:pPr>
        <w:pStyle w:val="21NovAo1"/>
      </w:pPr>
      <w:r w:rsidRPr="006A673E">
        <w:t>173. L’article 79(1), sous-paragraphe 5, est formulé comme suit :</w:t>
      </w:r>
    </w:p>
    <w:p w14:paraId="41C9CB58" w14:textId="77777777" w:rsidR="00D00167" w:rsidRPr="006A673E" w:rsidRDefault="00D00167" w:rsidP="001307A3">
      <w:pPr>
        <w:pStyle w:val="52Aufzaehle1Ziffer"/>
      </w:pPr>
      <w:r w:rsidRPr="006A673E">
        <w:tab/>
        <w:t>« 5.</w:t>
      </w:r>
      <w:r w:rsidRPr="006A673E">
        <w:tab/>
        <w:t>traite des déchets en violation de l’article 16, paragraphe 4, ou manipule des déchets en violation des dispositions de l’article 7 du Règlement de l’UE sur les POP, »</w:t>
      </w:r>
    </w:p>
    <w:p w14:paraId="758AB686" w14:textId="77777777" w:rsidR="00D00167" w:rsidRPr="006A673E" w:rsidRDefault="00D00167" w:rsidP="001307A3">
      <w:pPr>
        <w:pStyle w:val="21NovAo1"/>
      </w:pPr>
      <w:r w:rsidRPr="006A673E">
        <w:t>174. À l’article 79, paragraphe 1, le sous-paragraphe 7c suivant est inséré après le sous-paragraphe 7b :</w:t>
      </w:r>
    </w:p>
    <w:p w14:paraId="65891E6D" w14:textId="77777777" w:rsidR="00D00167" w:rsidRPr="006A673E" w:rsidRDefault="00D00167" w:rsidP="001307A3">
      <w:pPr>
        <w:pStyle w:val="52Aufzaehle1Ziffer"/>
      </w:pPr>
      <w:r w:rsidRPr="006A673E">
        <w:tab/>
        <w:t>« 7c. contrairement à l’article 28b, ne procède pas à une collecte séparée, »</w:t>
      </w:r>
    </w:p>
    <w:p w14:paraId="58611D3A" w14:textId="77777777" w:rsidR="00D00167" w:rsidRPr="006A673E" w:rsidRDefault="00D00167" w:rsidP="001307A3">
      <w:pPr>
        <w:pStyle w:val="22NovAo2"/>
      </w:pPr>
      <w:r w:rsidRPr="006A673E">
        <w:t xml:space="preserve">175. À l'article 79(1) sous-paragraphe 15a, les mots </w:t>
      </w:r>
      <w:r w:rsidRPr="006A673E">
        <w:rPr>
          <w:i w:val="0"/>
        </w:rPr>
        <w:t>« ou 7c »</w:t>
      </w:r>
      <w:r w:rsidRPr="006A673E">
        <w:t xml:space="preserve"> sont insérés après la mention « </w:t>
      </w:r>
      <w:r w:rsidRPr="006A673E">
        <w:rPr>
          <w:i w:val="0"/>
        </w:rPr>
        <w:t>article 69(7) »</w:t>
      </w:r>
      <w:r w:rsidRPr="006A673E">
        <w:t>.</w:t>
      </w:r>
    </w:p>
    <w:p w14:paraId="20AB2DE9" w14:textId="77777777" w:rsidR="00D00167" w:rsidRPr="006A673E" w:rsidRDefault="00D00167" w:rsidP="001307A3">
      <w:pPr>
        <w:pStyle w:val="22NovAo2"/>
      </w:pPr>
      <w:r w:rsidRPr="006A673E">
        <w:t xml:space="preserve">176. À l’article 79, paragraphe 1, point 15 ter, la mention </w:t>
      </w:r>
      <w:r w:rsidRPr="006A673E">
        <w:rPr>
          <w:i w:val="0"/>
        </w:rPr>
        <w:t>«Article 2, point 35, lettre a, c ou e,»</w:t>
      </w:r>
      <w:r w:rsidRPr="006A673E">
        <w:t xml:space="preserve"> est remplacée par la mention </w:t>
      </w:r>
      <w:r w:rsidRPr="006A673E">
        <w:rPr>
          <w:i w:val="0"/>
        </w:rPr>
        <w:t>«Article 2, point 35, lettre a, c, e ou g, point (iii)»</w:t>
      </w:r>
      <w:r w:rsidRPr="006A673E">
        <w:t>.</w:t>
      </w:r>
    </w:p>
    <w:p w14:paraId="620D1670" w14:textId="77777777" w:rsidR="00D00167" w:rsidRPr="006A673E" w:rsidRDefault="00D00167" w:rsidP="001307A3">
      <w:pPr>
        <w:pStyle w:val="22NovAo2"/>
      </w:pPr>
      <w:r w:rsidRPr="006A673E">
        <w:t xml:space="preserve">177. À l’article 79, paragraphe 2, point 1, la mention </w:t>
      </w:r>
      <w:r w:rsidRPr="006A673E">
        <w:rPr>
          <w:i w:val="0"/>
        </w:rPr>
        <w:t>«article 14 bis, article 14 quater»</w:t>
      </w:r>
      <w:r w:rsidRPr="006A673E">
        <w:t xml:space="preserve"> est insérée après la mention </w:t>
      </w:r>
      <w:r w:rsidRPr="006A673E">
        <w:rPr>
          <w:i w:val="0"/>
        </w:rPr>
        <w:t>«article 14, paragraphe 1 ou 2 ter»</w:t>
      </w:r>
      <w:r w:rsidRPr="006A673E">
        <w:t>.</w:t>
      </w:r>
    </w:p>
    <w:p w14:paraId="2B22BBE0" w14:textId="77777777" w:rsidR="00D00167" w:rsidRPr="006A673E" w:rsidRDefault="00D00167" w:rsidP="001307A3">
      <w:pPr>
        <w:pStyle w:val="21NovAo1"/>
      </w:pPr>
      <w:r w:rsidRPr="006A673E">
        <w:t>178. À l’article 79, paragraphe 2, les points 2 bis et 2 ter sont remplacés par les points 2 bis à 2 novovicies suivants:</w:t>
      </w:r>
    </w:p>
    <w:p w14:paraId="6E8E5D82" w14:textId="77777777" w:rsidR="00D00167" w:rsidRPr="006A673E" w:rsidRDefault="00D00167" w:rsidP="001307A3">
      <w:pPr>
        <w:pStyle w:val="52Aufzaehle1Ziffer"/>
      </w:pPr>
      <w:r w:rsidRPr="006A673E">
        <w:tab/>
        <w:t>« 2a. contrairement à l’article 12b, paragraphe 1, ne désigne pas de mandataire,</w:t>
      </w:r>
    </w:p>
    <w:p w14:paraId="66A63BF6" w14:textId="77777777" w:rsidR="00D00167" w:rsidRPr="006A673E" w:rsidRDefault="00D00167" w:rsidP="001307A3">
      <w:pPr>
        <w:pStyle w:val="52Aufzaehle1Ziffer"/>
      </w:pPr>
      <w:r w:rsidRPr="006A673E">
        <w:tab/>
        <w:t xml:space="preserve">2 octovicies. </w:t>
      </w:r>
      <w:r w:rsidRPr="006A673E">
        <w:tab/>
        <w:t>contrairement à l’article 12 quater, paragraphe 1, ne garantit pas que les producteurs ou les entités primaires tenues respectent les exigences de l’article 13 bis, paragraphe 1, et les exigences respectives d’une ordonnance en vertu de l’article 14, paragraphe 1, concernant la collecte et le recouvrement et l’obligation de participer à un système de collecte et de recouvrement conformément à l’article 13 bis, paragraphes 3 et 4, et à l’article 13 octies, paragraphe 2, ou, contrairement à l’article 12 quater, paragraphe 1, n’exclut pas le producteur ou l’entité primaire tenue d’utiliser le marché électronique;</w:t>
      </w:r>
    </w:p>
    <w:p w14:paraId="12573066" w14:textId="77777777" w:rsidR="00D00167" w:rsidRPr="006A673E" w:rsidRDefault="00D00167" w:rsidP="001307A3">
      <w:pPr>
        <w:pStyle w:val="52Aufzaehle1Ziffer"/>
      </w:pPr>
      <w:r w:rsidRPr="006A673E">
        <w:tab/>
        <w:t>2 novodecies.</w:t>
      </w:r>
      <w:r w:rsidRPr="006A673E">
        <w:tab/>
        <w:t>contrairement à l’article 12 quater, paragraphe 2, ne garantit pas que les producteurs respectent les exigences de l’article 13 bis, paragraphe 1, concernant la collecte et la valorisation ou l’obligation de participer à un système de collecte et de valorisation conformément à l’article 13 bis, paragraphe 3, et à l’article 13 octies, paragraphe 2, ou, contrairement à l’article  2 quater, paragraphe 2, ne s’abstiennent pas de stocker, d’emballage, d’adresse ou d’expédition,</w:t>
      </w:r>
    </w:p>
    <w:p w14:paraId="35E87F57" w14:textId="77777777" w:rsidR="00D00167" w:rsidRPr="006A673E" w:rsidRDefault="00D00167" w:rsidP="001307A3">
      <w:pPr>
        <w:pStyle w:val="52Aufzaehle1Ziffer"/>
      </w:pPr>
      <w:r w:rsidRPr="006A673E">
        <w:tab/>
        <w:t>2b. contrairement à l’article 13a, paragraphe 1, n’établit pas de manière adéquate les points de collecte ou n’accepte pas gratuitement les DEEE ou les piles ou accumulateurs d’appareils à ces points de collecte,</w:t>
      </w:r>
    </w:p>
    <w:p w14:paraId="3369EE9E" w14:textId="77777777" w:rsidR="00D00167" w:rsidRPr="006A673E" w:rsidRDefault="00D00167" w:rsidP="001307A3">
      <w:pPr>
        <w:pStyle w:val="52Aufzaehle1Ziffer"/>
      </w:pPr>
      <w:r w:rsidRPr="006A673E">
        <w:tab/>
        <w:t>2 ba.</w:t>
      </w:r>
      <w:r w:rsidRPr="006A673E">
        <w:tab/>
        <w:t>contrairement à l’article 13 bis, paragraphe 3 ou 7, ou à l’article 13 octies, paragraphes 2 à 4, ou à l’article 13 decies, ne participe pas à un système de collecte et de récupération ou participe insuffisamment,»</w:t>
      </w:r>
    </w:p>
    <w:p w14:paraId="01F3FE37" w14:textId="77777777" w:rsidR="00D00167" w:rsidRPr="006A673E" w:rsidRDefault="00D00167" w:rsidP="001307A3">
      <w:pPr>
        <w:pStyle w:val="21NovAo1"/>
      </w:pPr>
      <w:r w:rsidRPr="006A673E">
        <w:lastRenderedPageBreak/>
        <w:t>179. À l’article 79, paragraphe 2, les sous-paragraphes 2d et 2e suivants sont insérés après le sous-paragraphe 2c :</w:t>
      </w:r>
    </w:p>
    <w:p w14:paraId="086C3D28" w14:textId="77777777" w:rsidR="00D00167" w:rsidRPr="006A673E" w:rsidRDefault="00D00167" w:rsidP="001307A3">
      <w:pPr>
        <w:pStyle w:val="52Aufzaehle1Ziffer"/>
      </w:pPr>
      <w:r w:rsidRPr="006A673E">
        <w:tab/>
        <w:t>« 2d. contrairement à l’article 13n, met sur le marché des produits plastiques à usage unique ou contraire à l’article 13o, met sur le marché des produits plastiques oxo-dégradables,</w:t>
      </w:r>
    </w:p>
    <w:p w14:paraId="3B72CB5A" w14:textId="77777777" w:rsidR="00D00167" w:rsidRPr="006A673E" w:rsidRDefault="00D00167" w:rsidP="001307A3">
      <w:pPr>
        <w:pStyle w:val="52Aufzaehle1Ziffer"/>
      </w:pPr>
      <w:r w:rsidRPr="006A673E">
        <w:tab/>
        <w:t>2 sexies.</w:t>
      </w:r>
      <w:r w:rsidRPr="006A673E">
        <w:tab/>
        <w:t>contrairement à l’article 14 ter, paragraphes 2, 3 ou 4, n’offre pas suffisamment le type de boisson correspondant à un point de vente sous une forme réutilisable dans une mesure suffisante ou contrairement à l’article 14 ter, paragraphe 4 bis ne vend pas de boissons proposées dans des emballages réutilisables dans une mesure suffisante.»</w:t>
      </w:r>
    </w:p>
    <w:p w14:paraId="3DEFFF6C" w14:textId="77777777" w:rsidR="00D00167" w:rsidRPr="006A673E" w:rsidRDefault="00D00167" w:rsidP="001307A3">
      <w:pPr>
        <w:pStyle w:val="22NovAo2"/>
      </w:pPr>
      <w:r w:rsidRPr="006A673E">
        <w:t>180. À l'article 79(2), la mention « article</w:t>
      </w:r>
      <w:r w:rsidRPr="006A673E">
        <w:rPr>
          <w:i w:val="0"/>
        </w:rPr>
        <w:t xml:space="preserve"> 15(1), (3) ou (4) »</w:t>
      </w:r>
      <w:r w:rsidRPr="006A673E">
        <w:t xml:space="preserve"> est remplacée au sous-paragraphe 3 par la mention « article</w:t>
      </w:r>
      <w:r w:rsidRPr="006A673E">
        <w:rPr>
          <w:i w:val="0"/>
        </w:rPr>
        <w:t xml:space="preserve"> 15(1), (3), (4) ou (4b) »</w:t>
      </w:r>
      <w:r w:rsidRPr="006A673E">
        <w:t>.</w:t>
      </w:r>
    </w:p>
    <w:p w14:paraId="3B26A495" w14:textId="77777777" w:rsidR="00D00167" w:rsidRPr="006A673E" w:rsidRDefault="00D00167" w:rsidP="00A421F6">
      <w:pPr>
        <w:pStyle w:val="21NovAo1"/>
        <w:ind w:right="-113"/>
      </w:pPr>
      <w:r w:rsidRPr="006A673E">
        <w:t>181. À l’article 79, paragraphe 2, le sous-paragraphe 23 a suivant est inséré après le sous-paragraphe 23 :</w:t>
      </w:r>
    </w:p>
    <w:p w14:paraId="5484B381" w14:textId="77777777" w:rsidR="00D00167" w:rsidRPr="006A673E" w:rsidRDefault="00D00167" w:rsidP="001307A3">
      <w:pPr>
        <w:pStyle w:val="52Aufzaehle1Ziffer"/>
      </w:pPr>
      <w:r w:rsidRPr="006A673E">
        <w:tab/>
        <w:t>« 23a. effectue des transports contraires aux prescriptions de l’article 15, paragraphe 9, ou de l’article 69, paragraphe 10, »</w:t>
      </w:r>
      <w:r w:rsidRPr="006A673E">
        <w:tab/>
      </w:r>
    </w:p>
    <w:p w14:paraId="01E751BB" w14:textId="77777777" w:rsidR="00D00167" w:rsidRPr="006A673E" w:rsidRDefault="00D00167" w:rsidP="001307A3">
      <w:pPr>
        <w:pStyle w:val="21NovAo1"/>
      </w:pPr>
      <w:r w:rsidRPr="006A673E">
        <w:t>182. À l’article 79, paragraphe 2, la phrase suivante est ajoutée dans la dernière partie avant le point final:</w:t>
      </w:r>
    </w:p>
    <w:p w14:paraId="22371BB2" w14:textId="77777777" w:rsidR="00D00167" w:rsidRPr="006A673E" w:rsidRDefault="00D00167" w:rsidP="001307A3">
      <w:pPr>
        <w:pStyle w:val="23SatznachNovao"/>
      </w:pPr>
      <w:r w:rsidRPr="006A673E">
        <w:t>„ ; toutefois, quiconque commet une infraction administrative en ne vendant pas suffisamment de boissons dans des emballages réutilisables en violation de l’article 14 ter, paragraphe 4, point 2 sexies, est passible d’une amende pouvant aller jusqu’à 4 500 EUR pour les entreprises ayant jusqu’à 10 points de vente, jusqu’à 50 000 EUR pour les entreprises ayant jusqu’à 500 points de vente et jusqu’à 100 000 EUR pour les entreprises ayant plus de 500 points de vente»</w:t>
      </w:r>
    </w:p>
    <w:p w14:paraId="372E4E50" w14:textId="77777777" w:rsidR="00D00167" w:rsidRPr="006A673E" w:rsidRDefault="00D00167" w:rsidP="001307A3">
      <w:pPr>
        <w:pStyle w:val="22NovAo2"/>
      </w:pPr>
      <w:r w:rsidRPr="006A673E">
        <w:t>183. À l'article 79(3), la mention « article</w:t>
      </w:r>
      <w:r w:rsidRPr="006A673E">
        <w:rPr>
          <w:i w:val="0"/>
        </w:rPr>
        <w:t xml:space="preserve"> 5(4) »</w:t>
      </w:r>
      <w:r w:rsidRPr="006A673E">
        <w:t xml:space="preserve"> au paragraphe 1 est remplacée par la mention « article</w:t>
      </w:r>
      <w:r w:rsidRPr="006A673E">
        <w:rPr>
          <w:i w:val="0"/>
        </w:rPr>
        <w:t xml:space="preserve"> 2(3a), article 5(1a), (4) »</w:t>
      </w:r>
      <w:r w:rsidRPr="006A673E">
        <w:t>.</w:t>
      </w:r>
    </w:p>
    <w:p w14:paraId="067F2AF5" w14:textId="77777777" w:rsidR="00D00167" w:rsidRPr="006A673E" w:rsidRDefault="00D00167" w:rsidP="001307A3">
      <w:pPr>
        <w:pStyle w:val="22NovAo2"/>
      </w:pPr>
      <w:r w:rsidRPr="006A673E">
        <w:t xml:space="preserve">184. À l’article 79, paragraphe 3, la mention </w:t>
      </w:r>
      <w:r w:rsidRPr="006A673E">
        <w:rPr>
          <w:i w:val="0"/>
        </w:rPr>
        <w:t>«articles 13, 13 bis, paragraphes 1 ter, 3, 4 ou 4 bis, article 13 octies, paragraphe 3 ou  4»</w:t>
      </w:r>
      <w:r w:rsidRPr="006A673E">
        <w:t xml:space="preserve"> au point 1 est remplacée par la mention </w:t>
      </w:r>
      <w:r w:rsidRPr="006A673E">
        <w:rPr>
          <w:i w:val="0"/>
        </w:rPr>
        <w:t>«articles 12 ter, paragraphe 3, articles 13 et 13 bis, paragraphes 4, 5 ou 6 , article 13 octies, paragraphes 3 à 5»</w:t>
      </w:r>
      <w:r w:rsidRPr="006A673E">
        <w:t>.</w:t>
      </w:r>
    </w:p>
    <w:p w14:paraId="579FAEF3" w14:textId="77777777" w:rsidR="00D00167" w:rsidRPr="006A673E" w:rsidRDefault="00D00167" w:rsidP="001307A3">
      <w:pPr>
        <w:pStyle w:val="22NovAo2"/>
      </w:pPr>
      <w:r w:rsidRPr="006A673E">
        <w:t xml:space="preserve">185. À l’article 79, paragraphe 3, point 1, la mention </w:t>
      </w:r>
      <w:r w:rsidRPr="006A673E">
        <w:rPr>
          <w:i w:val="0"/>
        </w:rPr>
        <w:t>«article 14 bis, paragraphe 1»</w:t>
      </w:r>
      <w:r w:rsidRPr="006A673E">
        <w:t xml:space="preserve"> est insérée après la mention </w:t>
      </w:r>
      <w:r w:rsidRPr="006A673E">
        <w:rPr>
          <w:i w:val="0"/>
        </w:rPr>
        <w:t>«article 14, paragraphe 2 ter».</w:t>
      </w:r>
    </w:p>
    <w:p w14:paraId="24079817" w14:textId="77777777" w:rsidR="00D00167" w:rsidRPr="006A673E" w:rsidRDefault="00D00167" w:rsidP="001307A3">
      <w:pPr>
        <w:pStyle w:val="22NovAo2"/>
      </w:pPr>
      <w:r w:rsidRPr="006A673E">
        <w:t xml:space="preserve">186. À l’article 79, paragraphe 3, la mention </w:t>
      </w:r>
      <w:r w:rsidRPr="006A673E">
        <w:rPr>
          <w:i w:val="0"/>
        </w:rPr>
        <w:t>«article 17, paragraphes 1, 3, 4 ou 5»</w:t>
      </w:r>
      <w:r w:rsidRPr="006A673E">
        <w:t xml:space="preserve"> est remplacée au point 1 par la mention </w:t>
      </w:r>
      <w:r w:rsidRPr="006A673E">
        <w:rPr>
          <w:i w:val="0"/>
        </w:rPr>
        <w:t>«article 17, paragraphes 1, 3, 4, 5 ou 6».</w:t>
      </w:r>
    </w:p>
    <w:p w14:paraId="52626ED7" w14:textId="77777777" w:rsidR="00D00167" w:rsidRPr="006A673E" w:rsidRDefault="00D00167" w:rsidP="001307A3">
      <w:pPr>
        <w:pStyle w:val="22NovAo2"/>
      </w:pPr>
      <w:r w:rsidRPr="006A673E">
        <w:t>187. À l’article 79(3), la mention</w:t>
      </w:r>
      <w:r w:rsidRPr="006A673E">
        <w:rPr>
          <w:i w:val="0"/>
        </w:rPr>
        <w:t xml:space="preserve"> « article 18(3), (4) ou (5) »</w:t>
      </w:r>
      <w:r w:rsidRPr="006A673E">
        <w:t xml:space="preserve"> est remplacée au sous-paragraphe 1 par la mention</w:t>
      </w:r>
      <w:r w:rsidRPr="006A673E">
        <w:rPr>
          <w:i w:val="0"/>
        </w:rPr>
        <w:t xml:space="preserve"> « article 18(3), (4), (5), (7) ou (8) »</w:t>
      </w:r>
      <w:r w:rsidRPr="006A673E">
        <w:t>.</w:t>
      </w:r>
    </w:p>
    <w:p w14:paraId="254308B2" w14:textId="77777777" w:rsidR="00D00167" w:rsidRPr="006A673E" w:rsidRDefault="00D00167" w:rsidP="001307A3">
      <w:pPr>
        <w:pStyle w:val="22NovAo2"/>
      </w:pPr>
      <w:r w:rsidRPr="006A673E">
        <w:t xml:space="preserve">188. À l'article 79(3), les termes </w:t>
      </w:r>
      <w:r w:rsidRPr="006A673E">
        <w:rPr>
          <w:i w:val="0"/>
        </w:rPr>
        <w:t>« et 6a »</w:t>
      </w:r>
      <w:r w:rsidRPr="006A673E">
        <w:t xml:space="preserve"> sont insérés au sous-paragraphe 1 après la mention « </w:t>
      </w:r>
      <w:r w:rsidRPr="006A673E">
        <w:rPr>
          <w:i w:val="0"/>
        </w:rPr>
        <w:t>article 22(6) »</w:t>
      </w:r>
      <w:r w:rsidRPr="006A673E">
        <w:t>.</w:t>
      </w:r>
    </w:p>
    <w:p w14:paraId="17B15F4C" w14:textId="77777777" w:rsidR="00D00167" w:rsidRPr="006A673E" w:rsidRDefault="00D00167" w:rsidP="001307A3">
      <w:pPr>
        <w:pStyle w:val="22NovAo2"/>
      </w:pPr>
      <w:r w:rsidRPr="006A673E">
        <w:t>189. Au paragraphe 79(3), la citation»</w:t>
      </w:r>
      <w:r w:rsidRPr="006A673E">
        <w:rPr>
          <w:i w:val="0"/>
        </w:rPr>
        <w:t>§ 29(8) et (9)»</w:t>
      </w:r>
      <w:r w:rsidRPr="006A673E">
        <w:t xml:space="preserve"> est remplacée au paragraphe 1 par la citation </w:t>
      </w:r>
      <w:r w:rsidRPr="006A673E">
        <w:rPr>
          <w:i w:val="0"/>
        </w:rPr>
        <w:t>'§ 29(8) à (10)</w:t>
      </w:r>
      <w:r w:rsidRPr="006A673E">
        <w:t>.</w:t>
      </w:r>
    </w:p>
    <w:p w14:paraId="0AA196CB" w14:textId="77777777" w:rsidR="00D00167" w:rsidRPr="006A673E" w:rsidRDefault="00D00167" w:rsidP="001307A3">
      <w:pPr>
        <w:pStyle w:val="21NovAo1"/>
      </w:pPr>
      <w:r w:rsidRPr="006A673E">
        <w:t>190. À l’article 79, paragraphe 3, les sous-paragraphes 3 a et 3 b suivants sont insérés après le sous-paragraphe 3 :</w:t>
      </w:r>
    </w:p>
    <w:p w14:paraId="7422955A" w14:textId="77777777" w:rsidR="00D00167" w:rsidRPr="006A673E" w:rsidRDefault="00D00167" w:rsidP="001307A3">
      <w:pPr>
        <w:pStyle w:val="52Aufzaehle1Ziffer"/>
      </w:pPr>
      <w:r w:rsidRPr="006A673E">
        <w:tab/>
        <w:t>« 3a. contrairement à l’article 13p, met sur le marché des produits en plastique à usage unique sans marquage approprié.</w:t>
      </w:r>
    </w:p>
    <w:p w14:paraId="6DC892F5" w14:textId="77777777" w:rsidR="00D00167" w:rsidRPr="006A673E" w:rsidRDefault="00D00167" w:rsidP="001307A3">
      <w:pPr>
        <w:pStyle w:val="52Aufzaehle1Ziffer"/>
      </w:pPr>
      <w:r w:rsidRPr="006A673E">
        <w:tab/>
        <w:t>3b. contrairement à l’article 13q, manque d'étiqueter les emballages de boissons à usage unique et réutilisables au point de vente d’une manière clairement visible et lisible ; »</w:t>
      </w:r>
    </w:p>
    <w:p w14:paraId="42BAA52F" w14:textId="4A292F20" w:rsidR="00D00167" w:rsidRPr="006A673E" w:rsidRDefault="00D00167" w:rsidP="001307A3">
      <w:pPr>
        <w:pStyle w:val="22NovAo2"/>
      </w:pPr>
      <w:r w:rsidRPr="006A673E">
        <w:t xml:space="preserve">191. À l’article 79, paragraphe 3, la mention </w:t>
      </w:r>
      <w:r w:rsidRPr="006A673E">
        <w:rPr>
          <w:i w:val="0"/>
        </w:rPr>
        <w:t>«</w:t>
      </w:r>
      <w:r w:rsidR="00BE0375" w:rsidRPr="006A673E">
        <w:rPr>
          <w:i w:val="0"/>
        </w:rPr>
        <w:t xml:space="preserve"> </w:t>
      </w:r>
      <w:r w:rsidRPr="006A673E">
        <w:rPr>
          <w:i w:val="0"/>
        </w:rPr>
        <w:t>article 15, paragraphes 7 et 8</w:t>
      </w:r>
      <w:r w:rsidR="00BE0375" w:rsidRPr="006A673E">
        <w:rPr>
          <w:i w:val="0"/>
        </w:rPr>
        <w:t xml:space="preserve"> </w:t>
      </w:r>
      <w:r w:rsidRPr="006A673E">
        <w:rPr>
          <w:i w:val="0"/>
        </w:rPr>
        <w:t>»</w:t>
      </w:r>
      <w:r w:rsidRPr="006A673E">
        <w:t xml:space="preserve"> est remplacée au point 4 bis par la mention </w:t>
      </w:r>
      <w:r w:rsidRPr="006A673E">
        <w:rPr>
          <w:i w:val="0"/>
        </w:rPr>
        <w:t>«</w:t>
      </w:r>
      <w:r w:rsidR="00BE0375" w:rsidRPr="006A673E">
        <w:rPr>
          <w:i w:val="0"/>
        </w:rPr>
        <w:t xml:space="preserve"> </w:t>
      </w:r>
      <w:r w:rsidRPr="006A673E">
        <w:rPr>
          <w:i w:val="0"/>
        </w:rPr>
        <w:t>article 15, paragraphes 7 à 9 ou article 69, paragraphe 10»</w:t>
      </w:r>
      <w:r w:rsidRPr="006A673E">
        <w:t>.</w:t>
      </w:r>
    </w:p>
    <w:p w14:paraId="0D5FD05F" w14:textId="789BA29A" w:rsidR="00D00167" w:rsidRPr="006A673E" w:rsidRDefault="00D00167" w:rsidP="001307A3">
      <w:pPr>
        <w:pStyle w:val="22NovAo2"/>
      </w:pPr>
      <w:r w:rsidRPr="006A673E">
        <w:t xml:space="preserve">192. À l’article 79, paragraphe 3, point 7, les mots </w:t>
      </w:r>
      <w:r w:rsidRPr="006A673E">
        <w:rPr>
          <w:i w:val="0"/>
        </w:rPr>
        <w:t>«</w:t>
      </w:r>
      <w:r w:rsidR="00BE0375" w:rsidRPr="006A673E">
        <w:rPr>
          <w:i w:val="0"/>
        </w:rPr>
        <w:t xml:space="preserve"> </w:t>
      </w:r>
      <w:r w:rsidRPr="006A673E">
        <w:rPr>
          <w:i w:val="0"/>
        </w:rPr>
        <w:t>ou déchets contenant des POP</w:t>
      </w:r>
      <w:r w:rsidR="00BE0375" w:rsidRPr="006A673E">
        <w:rPr>
          <w:i w:val="0"/>
        </w:rPr>
        <w:t xml:space="preserve"> </w:t>
      </w:r>
      <w:r w:rsidRPr="006A673E">
        <w:t>» sont insérés après les mots «</w:t>
      </w:r>
      <w:r w:rsidR="00BE0375" w:rsidRPr="006A673E">
        <w:t xml:space="preserve"> </w:t>
      </w:r>
      <w:r w:rsidRPr="006A673E">
        <w:t>déchets dangereux</w:t>
      </w:r>
      <w:r w:rsidR="00BE0375" w:rsidRPr="006A673E">
        <w:t xml:space="preserve"> </w:t>
      </w:r>
      <w:r w:rsidRPr="006A673E">
        <w:t xml:space="preserve">» et les mots </w:t>
      </w:r>
      <w:r w:rsidRPr="006A673E">
        <w:rPr>
          <w:i w:val="0"/>
        </w:rPr>
        <w:t>«</w:t>
      </w:r>
      <w:r w:rsidR="00BE0375" w:rsidRPr="006A673E">
        <w:rPr>
          <w:i w:val="0"/>
        </w:rPr>
        <w:t xml:space="preserve"> </w:t>
      </w:r>
      <w:r w:rsidRPr="006A673E">
        <w:rPr>
          <w:i w:val="0"/>
        </w:rPr>
        <w:t>ou aspects spéciaux des déchets</w:t>
      </w:r>
      <w:r w:rsidR="00BE0375" w:rsidRPr="006A673E">
        <w:rPr>
          <w:i w:val="0"/>
        </w:rPr>
        <w:t xml:space="preserve"> </w:t>
      </w:r>
      <w:r w:rsidRPr="006A673E">
        <w:rPr>
          <w:i w:val="0"/>
        </w:rPr>
        <w:t>»</w:t>
      </w:r>
      <w:r w:rsidRPr="006A673E">
        <w:t xml:space="preserve"> après les mots </w:t>
      </w:r>
      <w:r w:rsidRPr="006A673E">
        <w:rPr>
          <w:i w:val="0"/>
        </w:rPr>
        <w:t>«</w:t>
      </w:r>
      <w:r w:rsidR="00BE0375" w:rsidRPr="006A673E">
        <w:rPr>
          <w:i w:val="0"/>
        </w:rPr>
        <w:t xml:space="preserve"> </w:t>
      </w:r>
      <w:r w:rsidRPr="006A673E">
        <w:rPr>
          <w:i w:val="0"/>
        </w:rPr>
        <w:t>dangers spéciaux</w:t>
      </w:r>
      <w:r w:rsidR="00BE0375" w:rsidRPr="006A673E">
        <w:rPr>
          <w:i w:val="0"/>
        </w:rPr>
        <w:t xml:space="preserve"> </w:t>
      </w:r>
      <w:r w:rsidRPr="006A673E">
        <w:rPr>
          <w:i w:val="0"/>
        </w:rPr>
        <w:t>»</w:t>
      </w:r>
      <w:r w:rsidRPr="006A673E">
        <w:t>.</w:t>
      </w:r>
    </w:p>
    <w:p w14:paraId="2FC98D40" w14:textId="77777777" w:rsidR="00D00167" w:rsidRPr="006A673E" w:rsidRDefault="00D00167" w:rsidP="001307A3">
      <w:pPr>
        <w:pStyle w:val="22NovAo2"/>
      </w:pPr>
      <w:r w:rsidRPr="006A673E">
        <w:t xml:space="preserve">193. Au paragraphe 79(3) à la fin du sous-paragraphe 10, les mots </w:t>
      </w:r>
      <w:r w:rsidRPr="006A673E">
        <w:rPr>
          <w:i w:val="0"/>
        </w:rPr>
        <w:t>« ou le défaut de nomination conformément au paragraphe 26(5a) n’est pas notifié »</w:t>
      </w:r>
      <w:r w:rsidRPr="006A673E">
        <w:t xml:space="preserve"> sont ajoutés avant la virgule.</w:t>
      </w:r>
    </w:p>
    <w:p w14:paraId="623CA7B1" w14:textId="77777777" w:rsidR="00D00167" w:rsidRPr="006A673E" w:rsidRDefault="00D00167" w:rsidP="001307A3">
      <w:pPr>
        <w:pStyle w:val="21NovAo1"/>
      </w:pPr>
      <w:r w:rsidRPr="006A673E">
        <w:lastRenderedPageBreak/>
        <w:t>194. L’article 79, paragraphe 3, sous-paragraphe 10 a, est formulé comme suit :</w:t>
      </w:r>
    </w:p>
    <w:p w14:paraId="4BFA0A2A" w14:textId="77777777" w:rsidR="00D00167" w:rsidRPr="006A673E" w:rsidRDefault="00D00167" w:rsidP="001307A3">
      <w:pPr>
        <w:pStyle w:val="52Aufzaehle1Ziffer"/>
      </w:pPr>
      <w:r w:rsidRPr="006A673E">
        <w:tab/>
        <w:t>« 10a. contrairement à l’article 29, paragraphe 9, ne publie pas de liste des participants ni ne notifie l’organisme de coordination pour les emballages, »</w:t>
      </w:r>
    </w:p>
    <w:p w14:paraId="5264D76E" w14:textId="77777777" w:rsidR="00D00167" w:rsidRPr="006A673E" w:rsidRDefault="00D00167" w:rsidP="001307A3">
      <w:pPr>
        <w:pStyle w:val="22NovAo2"/>
      </w:pPr>
      <w:r w:rsidRPr="006A673E">
        <w:t xml:space="preserve">195. À l’article 79, paragraphe 3, point 13 bis, la citation </w:t>
      </w:r>
      <w:r w:rsidRPr="006A673E">
        <w:rPr>
          <w:i w:val="0"/>
        </w:rPr>
        <w:t>«article 15, paragraphe 9 ou article 69, paragraphe 10, ou contraire à»</w:t>
      </w:r>
      <w:r w:rsidRPr="006A673E">
        <w:t xml:space="preserve"> est ajoutée après les mots </w:t>
      </w:r>
      <w:r w:rsidRPr="006A673E">
        <w:rPr>
          <w:i w:val="0"/>
        </w:rPr>
        <w:t>«contraire à»</w:t>
      </w:r>
      <w:r w:rsidRPr="006A673E">
        <w:t>.</w:t>
      </w:r>
    </w:p>
    <w:p w14:paraId="01A97F91" w14:textId="77777777" w:rsidR="00D00167" w:rsidRPr="006A673E" w:rsidRDefault="00D00167" w:rsidP="001307A3">
      <w:pPr>
        <w:pStyle w:val="22NovAo2"/>
      </w:pPr>
      <w:r w:rsidRPr="006A673E">
        <w:t xml:space="preserve">196. À l’article 79, paragraphe 3, point 16, les mots </w:t>
      </w:r>
      <w:r w:rsidRPr="006A673E">
        <w:rPr>
          <w:i w:val="0"/>
        </w:rPr>
        <w:t>«ou article 72 ter»</w:t>
      </w:r>
      <w:r w:rsidRPr="006A673E">
        <w:t xml:space="preserve"> sont insérés après les mots </w:t>
      </w:r>
      <w:r w:rsidRPr="006A673E">
        <w:rPr>
          <w:i w:val="0"/>
        </w:rPr>
        <w:t>«règlement sur les transferts de déchets»</w:t>
      </w:r>
      <w:r w:rsidRPr="006A673E">
        <w:t>.</w:t>
      </w:r>
    </w:p>
    <w:p w14:paraId="5E8F80AA" w14:textId="77777777" w:rsidR="00D00167" w:rsidRPr="006A673E" w:rsidRDefault="00D00167" w:rsidP="001307A3">
      <w:pPr>
        <w:pStyle w:val="22NovAo2"/>
      </w:pPr>
      <w:r w:rsidRPr="006A673E">
        <w:t xml:space="preserve">197. À l’article 79, paragraphe 5 bis, les mots </w:t>
      </w:r>
      <w:r w:rsidRPr="006A673E">
        <w:rPr>
          <w:i w:val="0"/>
        </w:rPr>
        <w:t xml:space="preserve">«ou négligent de jeter ou de laisser derrière [...] dans un espace public, ou à proximité immédiate d’un espace public (livraison)» </w:t>
      </w:r>
      <w:r w:rsidRPr="006A673E">
        <w:t>sont insérés après les mots</w:t>
      </w:r>
      <w:r w:rsidRPr="006A673E">
        <w:rPr>
          <w:i w:val="0"/>
        </w:rPr>
        <w:t xml:space="preserve"> «ou fournissent»</w:t>
      </w:r>
      <w:r w:rsidRPr="006A673E">
        <w:t>.</w:t>
      </w:r>
    </w:p>
    <w:p w14:paraId="4247F34B" w14:textId="77777777" w:rsidR="00D00167" w:rsidRPr="006A673E" w:rsidRDefault="00D00167" w:rsidP="001307A3">
      <w:pPr>
        <w:pStyle w:val="22NovAo2"/>
      </w:pPr>
      <w:r w:rsidRPr="006A673E">
        <w:t xml:space="preserve">198. Au paragraphe 82, paragraphe 6, les mots </w:t>
      </w:r>
      <w:r w:rsidRPr="006A673E">
        <w:rPr>
          <w:i w:val="0"/>
        </w:rPr>
        <w:t>«ministère fédéral de l’agriculture, des forêts, de l’environnement et de la gestion de l’eau»</w:t>
      </w:r>
      <w:r w:rsidRPr="006A673E">
        <w:t xml:space="preserve"> sont remplacés par les mots </w:t>
      </w:r>
      <w:r w:rsidRPr="006A673E">
        <w:rPr>
          <w:i w:val="0"/>
        </w:rPr>
        <w:t>«ministère fédéral de l’action pour le climat, de l’environnement, de l’énergie, de la mobilité, de l’innovation et de la technologie»</w:t>
      </w:r>
      <w:r w:rsidRPr="006A673E">
        <w:t xml:space="preserve"> et les mots allemands pour un </w:t>
      </w:r>
      <w:r w:rsidRPr="006A673E">
        <w:rPr>
          <w:i w:val="0"/>
        </w:rPr>
        <w:t>«ministre fédéral de l’intérieur»</w:t>
      </w:r>
      <w:r w:rsidRPr="006A673E">
        <w:t xml:space="preserve"> féminin par les mots allemands pour un </w:t>
      </w:r>
      <w:r w:rsidRPr="006A673E">
        <w:rPr>
          <w:i w:val="0"/>
        </w:rPr>
        <w:t>«ministre fédéral de l’intérieur»</w:t>
      </w:r>
      <w:r w:rsidRPr="006A673E">
        <w:t xml:space="preserve"> masculin.</w:t>
      </w:r>
    </w:p>
    <w:p w14:paraId="5D4D5B03" w14:textId="77777777" w:rsidR="00D00167" w:rsidRPr="006A673E" w:rsidRDefault="00D00167" w:rsidP="001307A3">
      <w:pPr>
        <w:pStyle w:val="22NovAo2"/>
      </w:pPr>
      <w:r w:rsidRPr="006A673E">
        <w:t xml:space="preserve">199. À l'article 83(1) à la fin du sous-paragraphe 1, les mots </w:t>
      </w:r>
      <w:r w:rsidRPr="006A673E">
        <w:rPr>
          <w:i w:val="0"/>
        </w:rPr>
        <w:t>« et les pièces justificatives conformément aux articles 15(9) et 69(10) »</w:t>
      </w:r>
      <w:r w:rsidRPr="006A673E">
        <w:t xml:space="preserve"> sont ajoutés avant la virgule.</w:t>
      </w:r>
    </w:p>
    <w:p w14:paraId="7BA968F7" w14:textId="77777777" w:rsidR="00D00167" w:rsidRPr="006A673E" w:rsidRDefault="00D00167" w:rsidP="001307A3">
      <w:pPr>
        <w:pStyle w:val="22NovAo2"/>
      </w:pPr>
      <w:r w:rsidRPr="006A673E">
        <w:t xml:space="preserve">200. À l’article 87, paragraphe 2, les mots </w:t>
      </w:r>
      <w:r w:rsidRPr="006A673E">
        <w:rPr>
          <w:i w:val="0"/>
        </w:rPr>
        <w:t>«et pour le respect des obligations de déclaration de l’UE et des obligations internationales»</w:t>
      </w:r>
      <w:r w:rsidRPr="006A673E">
        <w:t xml:space="preserve"> sont insérés après les mots </w:t>
      </w:r>
      <w:r w:rsidRPr="006A673E">
        <w:rPr>
          <w:i w:val="0"/>
        </w:rPr>
        <w:t>«plan fédéral de gestion des déchets»</w:t>
      </w:r>
      <w:r w:rsidRPr="006A673E">
        <w:t>.</w:t>
      </w:r>
    </w:p>
    <w:p w14:paraId="2D2CB4A2" w14:textId="77777777" w:rsidR="00D00167" w:rsidRPr="006A673E" w:rsidRDefault="00D00167" w:rsidP="001307A3">
      <w:pPr>
        <w:pStyle w:val="22NovAo2"/>
      </w:pPr>
      <w:r w:rsidRPr="006A673E">
        <w:t xml:space="preserve">201. À l’article 87, paragraphe 7, après les mots </w:t>
      </w:r>
      <w:r w:rsidRPr="006A673E">
        <w:rPr>
          <w:i w:val="0"/>
        </w:rPr>
        <w:t>«conformément à la loi sur l’association, BGBl. I n° 66/2002»</w:t>
      </w:r>
      <w:r w:rsidRPr="006A673E">
        <w:t xml:space="preserve">, le mot </w:t>
      </w:r>
      <w:r w:rsidRPr="006A673E">
        <w:rPr>
          <w:i w:val="0"/>
        </w:rPr>
        <w:t>«et»</w:t>
      </w:r>
      <w:r w:rsidRPr="006A673E">
        <w:t xml:space="preserve"> est supprimé et après les mots </w:t>
      </w:r>
      <w:r w:rsidRPr="006A673E">
        <w:rPr>
          <w:i w:val="0"/>
        </w:rPr>
        <w:t>«conformément à l’article 6, paragraphe 4, de la loi sur le gouvernement électronique, BGBl. I n° 10/2004,»</w:t>
      </w:r>
      <w:r w:rsidRPr="006A673E">
        <w:t xml:space="preserve"> les mots </w:t>
      </w:r>
      <w:r w:rsidRPr="006A673E">
        <w:rPr>
          <w:i w:val="0"/>
        </w:rPr>
        <w:t>«et le registre des sociétés conformément à l’article 25 de la loi fédérale de 2000 sur les statistiques, BGBl. I n° 163/1999, telle que modifiée par le BGBl. I n° 40/2014,»</w:t>
      </w:r>
      <w:r w:rsidRPr="006A673E">
        <w:t xml:space="preserve"> sont insérés.</w:t>
      </w:r>
    </w:p>
    <w:p w14:paraId="271A69B8" w14:textId="77777777" w:rsidR="00D00167" w:rsidRPr="006A673E" w:rsidRDefault="00D00167" w:rsidP="001307A3">
      <w:pPr>
        <w:pStyle w:val="21NovAo1"/>
      </w:pPr>
      <w:r w:rsidRPr="006A673E">
        <w:t>202. Le paragraphe 10 suivant est ajouté à l'article 87 :</w:t>
      </w:r>
    </w:p>
    <w:p w14:paraId="3B567A88" w14:textId="55876559" w:rsidR="00D00167" w:rsidRPr="006A673E" w:rsidRDefault="00D00167" w:rsidP="001307A3">
      <w:pPr>
        <w:pStyle w:val="51Abs"/>
      </w:pPr>
      <w:r w:rsidRPr="006A673E">
        <w:t>« </w:t>
      </w:r>
      <w:r w:rsidR="008B67A7" w:rsidRPr="006A673E">
        <w:t>(</w:t>
      </w:r>
      <w:r w:rsidRPr="006A673E">
        <w:t>10</w:t>
      </w:r>
      <w:r w:rsidR="008B67A7" w:rsidRPr="006A673E">
        <w:t>)</w:t>
      </w:r>
      <w:r w:rsidRPr="006A673E">
        <w:t>. Sans préjudice des dispositions du Règlement (UE) 2019/1020, les autorités douanières transmettent à l’autorité compétente, aux fins de la surveillance du marché, de l’évaluation des risques et de l’évaluation de la conformité, des données, y compris des données à caractère personnel, concernant l’importation de produits, conformément à une ordonnance conforme à l’article 14. » ;</w:t>
      </w:r>
    </w:p>
    <w:p w14:paraId="7FA78034" w14:textId="77777777" w:rsidR="00D00167" w:rsidRPr="006A673E" w:rsidRDefault="00D00167" w:rsidP="001307A3">
      <w:pPr>
        <w:pStyle w:val="21NovAo1"/>
      </w:pPr>
      <w:r w:rsidRPr="006A673E">
        <w:t>203. Le paragraphe 7 suivant est ajouté à l’article 87a :</w:t>
      </w:r>
    </w:p>
    <w:p w14:paraId="57EE520F" w14:textId="77777777" w:rsidR="00D00167" w:rsidRPr="006A673E" w:rsidRDefault="00D00167" w:rsidP="001307A3">
      <w:pPr>
        <w:pStyle w:val="51Abs"/>
      </w:pPr>
      <w:r w:rsidRPr="006A673E">
        <w:t>« (7) Dans le registre conformément à l’article 22, paragraphe 1, sous-paragraphe 1, chaque personne a accès au nom et au siège de l’exploitant, à l’emplacement de l’installation, à la puissance thermique du combustible (MW), au type d’installation (moteur diesel, turbine à gaz, moteur bi-carburant, autre moteur, autre installation de combustion moyenne), au type et à la proportion de combustibles utilisés par catégorie de carburant (biomasse solide ; autres combustibles solides ; gazole, combustibles liquides, autres que le gazole ; gaz naturel, combustibles gazeux autres que le gaz naturel), date d’entrée en service, industrie (code de l’industrie), nombre estimatif d’heures d’exploitation annuelles et charge d’exploitation moyenne. »</w:t>
      </w:r>
    </w:p>
    <w:p w14:paraId="6CCEFD5C" w14:textId="77777777" w:rsidR="00D00167" w:rsidRPr="006A673E" w:rsidRDefault="00D00167" w:rsidP="001307A3">
      <w:pPr>
        <w:pStyle w:val="22NovAo2"/>
      </w:pPr>
      <w:r w:rsidRPr="006A673E">
        <w:t>204. À l’article 87c, la mention « </w:t>
      </w:r>
      <w:r w:rsidRPr="006A673E">
        <w:rPr>
          <w:i w:val="0"/>
        </w:rPr>
        <w:t>Article 132(5) Loi constitutionnelle fédérale »</w:t>
      </w:r>
      <w:r w:rsidRPr="006A673E">
        <w:t xml:space="preserve"> au paragraphe (1) est remplacée par la mention « </w:t>
      </w:r>
      <w:r w:rsidRPr="006A673E">
        <w:rPr>
          <w:i w:val="0"/>
        </w:rPr>
        <w:t>Article 132(5) Loi constitutionnelle fédérale »</w:t>
      </w:r>
      <w:r w:rsidRPr="006A673E">
        <w:t>.</w:t>
      </w:r>
    </w:p>
    <w:p w14:paraId="5BDAB28C" w14:textId="77777777" w:rsidR="00D00167" w:rsidRPr="006A673E" w:rsidRDefault="00D00167" w:rsidP="001307A3">
      <w:pPr>
        <w:pStyle w:val="22NovAo2"/>
      </w:pPr>
      <w:r w:rsidRPr="006A673E">
        <w:t xml:space="preserve">205. À l’article 87c, dans la dernière phrase du paragraphe (2), les mots </w:t>
      </w:r>
      <w:r w:rsidRPr="006A673E">
        <w:rPr>
          <w:i w:val="0"/>
        </w:rPr>
        <w:t>« à l’exception des décisions d’autorisation conformément à l’article 25a(1)’</w:t>
      </w:r>
      <w:r w:rsidRPr="006A673E">
        <w:t xml:space="preserve"> sont insérés après les mots </w:t>
      </w:r>
      <w:r w:rsidRPr="006A673E">
        <w:rPr>
          <w:i w:val="0"/>
        </w:rPr>
        <w:t>‘décision rendue sur base de la présente loi fédérale, »</w:t>
      </w:r>
      <w:r w:rsidRPr="006A673E">
        <w:t>.</w:t>
      </w:r>
    </w:p>
    <w:p w14:paraId="70009613" w14:textId="77777777" w:rsidR="00D00167" w:rsidRPr="006A673E" w:rsidRDefault="00D00167" w:rsidP="001307A3">
      <w:pPr>
        <w:pStyle w:val="21NovAo1"/>
      </w:pPr>
      <w:r w:rsidRPr="006A673E">
        <w:t>206. Le paragraphe 6 suivant est ajouté à l'article 87c :</w:t>
      </w:r>
    </w:p>
    <w:p w14:paraId="618A4259" w14:textId="77777777" w:rsidR="00D00167" w:rsidRPr="006A673E" w:rsidRDefault="00D00167" w:rsidP="001307A3">
      <w:pPr>
        <w:pStyle w:val="51Abs"/>
      </w:pPr>
      <w:r w:rsidRPr="006A673E">
        <w:t>« (6) Les décisions dont la délivrance a été transférée au registre conformément à l’article 22a, paragraphe 1, sous-paragraphe 1, lettre f, sont réputées signifiées comme telles dès réception dans la zone officielle du registre auquel le Ministre fédéral de l’action pour le climat, de l’environnement, de l’énergie, de la mobilité, de l’innovation et de la technologie a accès. »</w:t>
      </w:r>
    </w:p>
    <w:p w14:paraId="10203C75" w14:textId="77777777" w:rsidR="00D00167" w:rsidRPr="006A673E" w:rsidRDefault="00D00167" w:rsidP="001307A3">
      <w:pPr>
        <w:pStyle w:val="21NovAo1"/>
      </w:pPr>
      <w:r w:rsidRPr="006A673E">
        <w:lastRenderedPageBreak/>
        <w:t>207. Le paragraphe 4 suivant est ajouté à l'article 88 :</w:t>
      </w:r>
    </w:p>
    <w:p w14:paraId="3FBC0C1A" w14:textId="77777777" w:rsidR="00D00167" w:rsidRPr="006A673E" w:rsidRDefault="00D00167" w:rsidP="001307A3">
      <w:pPr>
        <w:pStyle w:val="51Abs"/>
      </w:pPr>
      <w:r w:rsidRPr="006A673E">
        <w:t>« (4) Dans la mesure où la présente Loi fédéral fait référence à des dispositions de lois juridiques de l’Union européenne, ces dispositions s’appliquent dans leur version actuelle. »</w:t>
      </w:r>
    </w:p>
    <w:p w14:paraId="2C2912BE" w14:textId="77777777" w:rsidR="00D00167" w:rsidRPr="006A673E" w:rsidRDefault="00D00167" w:rsidP="001307A3">
      <w:pPr>
        <w:pStyle w:val="21NovAo1"/>
      </w:pPr>
      <w:r w:rsidRPr="006A673E">
        <w:t>208. À l'article 89, paragraphe 1, à la fin de la lettre (d), au paragraphe 1, le point final est remplacé par un point-virgule et la lettre e suivante est ajoutée :</w:t>
      </w:r>
    </w:p>
    <w:p w14:paraId="3EC0DFEF" w14:textId="77777777" w:rsidR="00D00167" w:rsidRPr="006A673E" w:rsidRDefault="00D00167" w:rsidP="001307A3">
      <w:pPr>
        <w:pStyle w:val="52Aufzaehle2Lit"/>
      </w:pPr>
      <w:r w:rsidRPr="006A673E">
        <w:tab/>
        <w:t>« e) Directive (UE) 2018/851 modifiant la Directive 2008/98/CE relative aux déchets, JO L 150 du 14/06/2018, p. 109. »</w:t>
      </w:r>
      <w:r w:rsidRPr="006A673E">
        <w:tab/>
      </w:r>
    </w:p>
    <w:p w14:paraId="085BB6A9" w14:textId="77777777" w:rsidR="00D00167" w:rsidRPr="006A673E" w:rsidRDefault="00D00167" w:rsidP="001307A3">
      <w:pPr>
        <w:pStyle w:val="21NovAo1"/>
      </w:pPr>
      <w:r w:rsidRPr="006A673E">
        <w:t>209. Le sous-paragraphe 5 suivant est ajouté à l’article 89 :</w:t>
      </w:r>
    </w:p>
    <w:p w14:paraId="417B14E9" w14:textId="77777777" w:rsidR="00D00167" w:rsidRPr="006A673E" w:rsidRDefault="00D00167" w:rsidP="001307A3">
      <w:pPr>
        <w:pStyle w:val="52Aufzaehle2Lit"/>
      </w:pPr>
      <w:r w:rsidRPr="006A673E">
        <w:tab/>
        <w:t>(5.a)</w:t>
      </w:r>
      <w:r w:rsidRPr="006A673E">
        <w:tab/>
        <w:t>Directive (UE) 2018/852 modifiant la Directive 94/62/CE relative aux emballages et aux déchets d’emballages, JO L 150 du 14/06/2018, p.141 ;</w:t>
      </w:r>
    </w:p>
    <w:p w14:paraId="29DE0C3B" w14:textId="77777777" w:rsidR="00D00167" w:rsidRPr="006A673E" w:rsidRDefault="00D00167" w:rsidP="001307A3">
      <w:pPr>
        <w:pStyle w:val="52Aufzaehle2Lit"/>
      </w:pPr>
      <w:r w:rsidRPr="006A673E">
        <w:tab/>
        <w:t>b)</w:t>
      </w:r>
      <w:r w:rsidRPr="006A673E">
        <w:tab/>
        <w:t>Directive (UE) 2018/849 modifiant la Directive 2000/53/CE relative aux véhicules hors d’usage, la Directive 2006/66/CE relative aux piles et accumulateurs et aux déchets de piles et d’accumulateurs et la Directive 2012/19/UE relative aux déchets d’équipements électriques et électroniques, JO L 150 du 14/06/2018, p. 93 ;</w:t>
      </w:r>
    </w:p>
    <w:p w14:paraId="46880841" w14:textId="77777777" w:rsidR="00D00167" w:rsidRPr="006A673E" w:rsidRDefault="00D00167" w:rsidP="001307A3">
      <w:pPr>
        <w:pStyle w:val="52Aufzaehle2Lit"/>
      </w:pPr>
      <w:r w:rsidRPr="006A673E">
        <w:tab/>
        <w:t>c)</w:t>
      </w:r>
      <w:r w:rsidRPr="006A673E">
        <w:tab/>
        <w:t>Directive (UE) 2019/904 relative à la réduction de l’impact de certains produits plastiques sur l’environnement, JO L 155 du 12/06/2019, p. 1. »</w:t>
      </w:r>
    </w:p>
    <w:p w14:paraId="6BB170C4" w14:textId="77777777" w:rsidR="00D00167" w:rsidRPr="006A673E" w:rsidRDefault="00D00167" w:rsidP="001307A3">
      <w:pPr>
        <w:pStyle w:val="21NovAo1"/>
      </w:pPr>
      <w:r w:rsidRPr="006A673E">
        <w:t>210. Le nu</w:t>
      </w:r>
      <w:r w:rsidRPr="006A673E">
        <w:rPr>
          <w:i w:val="0"/>
        </w:rPr>
        <w:t>méro de paragraphe « (1) » est attribué au texte de l’article 89a et le paragraphe (2) suivant est ajouté :</w:t>
      </w:r>
    </w:p>
    <w:p w14:paraId="113FF02A" w14:textId="77777777" w:rsidR="00D00167" w:rsidRPr="006A673E" w:rsidRDefault="00D00167" w:rsidP="001307A3">
      <w:pPr>
        <w:pStyle w:val="51Abs"/>
      </w:pPr>
      <w:r w:rsidRPr="006A673E">
        <w:t>«(2) La loi fédérale modifiant la loi de 2002 sur la gestion des déchets (AWG-Novelle Kreislaufwirtschaftspaket), BGBl. 1 n° 20/2021, a été notifiée conformément aux dispositions de la directive 98/34/CE établissant une procédure d’information dans le domaine des réglementations techniques et des règles applicables aux services de la société de l’information, JO L 204 du 21/07/1998, p. 37, modifiée par la directive 98/48/CE, JO L 217 du 05/08/1998, p. 18 (notification n°: 2021/0262/A).»</w:t>
      </w:r>
    </w:p>
    <w:p w14:paraId="5CED3088" w14:textId="77777777" w:rsidR="00D00167" w:rsidRPr="006A673E" w:rsidRDefault="00D00167" w:rsidP="001307A3">
      <w:pPr>
        <w:pStyle w:val="22NovAo2"/>
      </w:pPr>
      <w:r w:rsidRPr="006A673E">
        <w:t>211. L'article 91, paragraphe 39, qui stipule que l'article 22 (5a) et l'article 87 a (3), respectivement, tel qu'amendé par le BGBl. I n° 104/2019, entre en vigueur le 1er juillet 2020 et qui a été inséré par l’amendement BGBl. I n° 104/2019, sera re-numéroté « </w:t>
      </w:r>
      <w:r w:rsidRPr="006A673E">
        <w:rPr>
          <w:i w:val="0"/>
        </w:rPr>
        <w:t>(39a) »</w:t>
      </w:r>
      <w:r w:rsidRPr="006A673E">
        <w:t>.</w:t>
      </w:r>
    </w:p>
    <w:p w14:paraId="126BB0DE" w14:textId="77777777" w:rsidR="00D00167" w:rsidRPr="006A673E" w:rsidRDefault="00D00167" w:rsidP="001307A3">
      <w:pPr>
        <w:pStyle w:val="21NovAo1"/>
      </w:pPr>
      <w:r w:rsidRPr="006A673E">
        <w:t>212. Les paragraphes 43 à 47 suivants sont ajoutés à l’article 91 :</w:t>
      </w:r>
    </w:p>
    <w:p w14:paraId="486CF7DC" w14:textId="77777777" w:rsidR="00D00167" w:rsidRPr="006A673E" w:rsidRDefault="00D00167" w:rsidP="001307A3">
      <w:pPr>
        <w:pStyle w:val="51Abs"/>
      </w:pPr>
      <w:r w:rsidRPr="006A673E">
        <w:t xml:space="preserve">«(43) Les entrées de la </w:t>
      </w:r>
      <w:r w:rsidRPr="006A673E">
        <w:rPr>
          <w:b/>
        </w:rPr>
        <w:t>table des matières</w:t>
      </w:r>
      <w:r w:rsidRPr="006A673E">
        <w:t xml:space="preserve"> pour les articles 9, 12 bis, 12 ter, 13 bis, 13 quindecies à 13 octodecies, 14 bis, 14 ter, 18, 19, 22 sexies, 27, 28 ter, 28 quater et 72 ter ainsi que les annexes 1 bis et 1 ter et le titre de la section 5, article 1, paragraphes 1 et 2 bis, article 2, paragraphes 3 bis,4, 5, 7, 8 et 10, article 3, paragraphe 1, article 4, article 5, paragraphes 1 à 7, article 6, paragraphes 1, 5et 7, article 7, paragraphe 1 et 4 à 7, article 8, paragraphes 2 et 3, article 9 ainsi que son titre, article 9 bis, paragraphe 2, article 11, paragraphe 2, article 12 bis ainsi que son titre, article 12 ter ainsi que son titre, article 13 ainsi que son titre, article 13 bis ainsi que son titre, article 13 ter, paragraphes 2, 3 et 5, article 13 quinquies, paragraphes 1 à 3, article 13 sexies, paragraphes 1 et 2, article 13, septies, article 13 octies, paragraphes 3 et 5,article 13 nonies, paragraphe 1, article 13 quindecies ainsi que son titre, article 13 sexdecies ainsi que son titre, article 13 septdecies ainsi que son titre, article 13 octodecies ainsi que son titre, article 14, paragraphes 1 à 4, 6 et 7, article 14 bis ainsi que son titre, article 14 ter ainsi que son titre, article 14 quater ainsi que son titre, article 15, paragraphes 4 ter et 9, article 16, paragraphes 3, 4 et 7, article 17, paragraphe 6, le titre des articles 18, article 18, paragraphes 1, 3 et 8, les titre des articles 19,article 19, paragraphe 3, article 20, paragraphes 1 bis et 3, article 21, paragraphes 1 bis, 2, 2 ter et 3 ter, article 22, paragraphes 1, 2, 4, 5, 5 bis, 5 ter, 5 sexies, 6, 6 bis, 10 et 11, article 22 bis, paragraphes 1 et 3 bis, article 22 quinquies, paragraphes 2 et 3, article 22 sexies ainsi que son titre, les articles 23, paragraphes 1, 1 bis, 3 à 5, article 26, paragraphes 3, 4, 5 bis et 6, le titre de l’article 27, l’article 28 ter ainsi que son titre, le titre de la section 5, l’article 28 quater ainsi que son titre, les articles 29, paragraphes 2, 3, 4, 4 bis et 9 à 12, article 29 ter, paragraphe 3, article 29 quinquies, paragraphes 2 et 4, article 30 bis, paragraphes 1 et 2, article 36, article 37, paragraphe 4, article 42, paragraphes 1, 1 bis et 3, article 47, paragraphe 1, article 51, paragraphe 2, article 65, paragraphe 1, article 67, paragraphe 2, article 68, paragraphe 1, article 69, paragraphes 7 quater et 10, article 72 ter, paragraphe 3 ainsi que son titre, article 75 ter, paragraphes 1 et 2, article 78, paragraphe 26, article 79, paragraphes 1 et 2, article 79, paragraphe 3, points 1 et 3 ter à 16, article 83, paragraphe 1, article 87, paragraphes 2 et 7, article 87 bis, paragraphe 7, article 87 quater, paragraphes 1, 2 et 6, article 88, paragraphe 4, article 89, points 1 et 5, article 89 bis, paragraphes 1 et 2, article 91, paragraphe 39 bis, annexe 1 bis, annexe 1 ter et annexe 2, tableau 1 dans la version du BGBl. I n°. xxx entreront en vigueur le jour suivant leur promulgation.</w:t>
      </w:r>
    </w:p>
    <w:p w14:paraId="176D8A24" w14:textId="77777777" w:rsidR="00D00167" w:rsidRPr="006A673E" w:rsidRDefault="00D00167" w:rsidP="001307A3">
      <w:pPr>
        <w:pStyle w:val="51Abs"/>
      </w:pPr>
      <w:r w:rsidRPr="006A673E">
        <w:lastRenderedPageBreak/>
        <w:t>(45) Les articles 13 octodecies, 21, paragraphes 2 ter et 29, paragraphes 13 et 14 dans la version du BGBl. I n° 200/2021 entreront en vigueur le 1er juillet 2022.</w:t>
      </w:r>
    </w:p>
    <w:p w14:paraId="60594B09" w14:textId="77777777" w:rsidR="00D00167" w:rsidRPr="006A673E" w:rsidRDefault="00D00167" w:rsidP="001307A3">
      <w:pPr>
        <w:pStyle w:val="51Abs"/>
      </w:pPr>
      <w:r w:rsidRPr="006A673E">
        <w:t>(45) Les articles 67, paragraphe 1 et 72 ter, paragraphes 1 et 2 dans la version du BGBl. I n° 200/2021 entreront en vigueur 1er mars 2022.</w:t>
      </w:r>
    </w:p>
    <w:p w14:paraId="5CA08ECE" w14:textId="77777777" w:rsidR="00D00167" w:rsidRPr="006A673E" w:rsidRDefault="00D00167" w:rsidP="001307A3">
      <w:pPr>
        <w:pStyle w:val="51Abs"/>
      </w:pPr>
      <w:r w:rsidRPr="006A673E">
        <w:t>(46) Les articles 12 quater et son titre, 13 ter, paragraphe 1, 13 octies, paragraphes 2 et 3, 29 ter, paragraphe 3 et 29 quinquies, paragraphes 2 et 4 à la version du BGBl. I n° 200/2021 entreront en vigueur le 1er janvier 2023. Dans le même temps, les mentions figurant dans la table des matières des articles 33 à 35, les articles 33 à 35 et leurs rubriques cessent de s’appliquer.</w:t>
      </w:r>
    </w:p>
    <w:p w14:paraId="16935C51" w14:textId="77777777" w:rsidR="00D00167" w:rsidRPr="006A673E" w:rsidRDefault="00D00167" w:rsidP="001307A3">
      <w:pPr>
        <w:pStyle w:val="51Abs"/>
      </w:pPr>
      <w:r w:rsidRPr="006A673E">
        <w:t>(47) L’article 28 ter dans la version du BGBl. n° I 200/2021 s’appliquera aux déchets textiles à compter du 1er janvier 2025.»</w:t>
      </w:r>
    </w:p>
    <w:p w14:paraId="2E493CFC" w14:textId="77777777" w:rsidR="00D00167" w:rsidRPr="006A673E" w:rsidRDefault="00D00167" w:rsidP="001307A3">
      <w:pPr>
        <w:pStyle w:val="21NovAo1"/>
      </w:pPr>
      <w:r w:rsidRPr="006A673E">
        <w:t>213. Les Annexes 1a et 1b suivantes sont insérées après l’Annexe 1 :</w:t>
      </w:r>
    </w:p>
    <w:p w14:paraId="4AB553CE" w14:textId="77777777" w:rsidR="00D00167" w:rsidRPr="006A673E" w:rsidRDefault="00D00167" w:rsidP="001307A3">
      <w:pPr>
        <w:pStyle w:val="71Anlagenbez"/>
      </w:pPr>
      <w:r w:rsidRPr="006A673E">
        <w:t>« Annexe 1a</w:t>
      </w:r>
    </w:p>
    <w:p w14:paraId="295CF1E2" w14:textId="77777777" w:rsidR="00D00167" w:rsidRPr="006A673E" w:rsidRDefault="00D00167" w:rsidP="001307A3">
      <w:pPr>
        <w:pStyle w:val="41UeberschrG1"/>
      </w:pPr>
      <w:r w:rsidRPr="006A673E">
        <w:t>Objectifs de préparation à la réutilisation, au recyclage et à la récupération d'autres matériaux</w:t>
      </w:r>
    </w:p>
    <w:p w14:paraId="6DB84217" w14:textId="77777777" w:rsidR="00D00167" w:rsidRPr="006A673E" w:rsidRDefault="00D00167" w:rsidP="001307A3">
      <w:pPr>
        <w:pStyle w:val="43UeberschrG2"/>
      </w:pPr>
      <w:r w:rsidRPr="006A673E">
        <w:t>Objectifs pour les déchets municipaux</w:t>
      </w:r>
    </w:p>
    <w:p w14:paraId="50CC6823" w14:textId="77777777" w:rsidR="00D00167" w:rsidRPr="006A673E" w:rsidRDefault="00D00167" w:rsidP="001307A3">
      <w:pPr>
        <w:pStyle w:val="52Aufzaehle1Ziffer"/>
      </w:pPr>
      <w:r w:rsidRPr="006A673E">
        <w:tab/>
        <w:t>1.</w:t>
      </w:r>
      <w:r w:rsidRPr="006A673E">
        <w:tab/>
        <w:t>D’ici 2020, la préparation en vue de la réutilisation et du recyclage de déchets tels que, au moins, le papier, le métal, le plastique et le verre provenant des ménages et, le cas échéant, d’autres sources, lorsque les flux de déchets concernés sont similaires aux déchets ménagers, sera portée à au moins 50 % en poids.</w:t>
      </w:r>
    </w:p>
    <w:p w14:paraId="4CC3E340" w14:textId="77777777" w:rsidR="00D00167" w:rsidRPr="006A673E" w:rsidRDefault="00D00167" w:rsidP="001307A3">
      <w:pPr>
        <w:pStyle w:val="52Aufzaehle1Ziffer"/>
      </w:pPr>
      <w:r w:rsidRPr="006A673E">
        <w:tab/>
        <w:t>2.</w:t>
      </w:r>
      <w:r w:rsidRPr="006A673E">
        <w:tab/>
        <w:t>D’ici 2025, la préparation à la réutilisation et au recyclage des déchets municipaux est portée à au moins 55 % en poids.</w:t>
      </w:r>
    </w:p>
    <w:p w14:paraId="11F1F49B" w14:textId="77777777" w:rsidR="00D00167" w:rsidRPr="006A673E" w:rsidRDefault="00D00167" w:rsidP="001307A3">
      <w:pPr>
        <w:pStyle w:val="52Aufzaehle1Ziffer"/>
      </w:pPr>
      <w:r w:rsidRPr="006A673E">
        <w:tab/>
        <w:t>3.</w:t>
      </w:r>
      <w:r w:rsidRPr="006A673E">
        <w:tab/>
        <w:t>D’ici 2030, la préparation à la réutilisation et au recyclage des déchets municipaux est portée à au moins 60 % en poids.</w:t>
      </w:r>
    </w:p>
    <w:p w14:paraId="0A41966F" w14:textId="77777777" w:rsidR="00D00167" w:rsidRPr="006A673E" w:rsidRDefault="00D00167" w:rsidP="001307A3">
      <w:pPr>
        <w:pStyle w:val="52Aufzaehle1Ziffer"/>
      </w:pPr>
      <w:r w:rsidRPr="006A673E">
        <w:tab/>
        <w:t>4.</w:t>
      </w:r>
      <w:r w:rsidRPr="006A673E">
        <w:tab/>
        <w:t>D’ici 2035, la préparation à la réutilisation et au recyclage des déchets municipaux est portée à au moins 65 % en poids.</w:t>
      </w:r>
    </w:p>
    <w:p w14:paraId="1134D5AD" w14:textId="77777777" w:rsidR="00D00167" w:rsidRPr="006A673E" w:rsidRDefault="00D00167" w:rsidP="001307A3">
      <w:pPr>
        <w:pStyle w:val="52Aufzaehle1Ziffer"/>
      </w:pPr>
      <w:r w:rsidRPr="006A673E">
        <w:tab/>
        <w:t>5.</w:t>
      </w:r>
      <w:r w:rsidRPr="006A673E">
        <w:tab/>
        <w:t>D’ici 2035, la quantité de déchets municipaux mis en décharge ne dépassera pas 10 % en poids du total des déchets municipaux.</w:t>
      </w:r>
    </w:p>
    <w:p w14:paraId="32F60DEA" w14:textId="77777777" w:rsidR="00D00167" w:rsidRPr="006A673E" w:rsidRDefault="00D00167" w:rsidP="001307A3">
      <w:pPr>
        <w:pStyle w:val="41UeberschrG1"/>
      </w:pPr>
      <w:r w:rsidRPr="006A673E">
        <w:t>Objectifs pour les déchets de construction et de démolition</w:t>
      </w:r>
    </w:p>
    <w:p w14:paraId="24808919" w14:textId="77777777" w:rsidR="00D00167" w:rsidRPr="006A673E" w:rsidRDefault="00D00167" w:rsidP="001307A3">
      <w:pPr>
        <w:pStyle w:val="83ErlText"/>
      </w:pPr>
      <w:r w:rsidRPr="006A673E">
        <w:t>D’ici 2020, la préparation en vue de la réutilisation, du recyclage et de la valorisation d’autres matériaux (y compris le remblayage lorsque des déchets sont utilisés en remplacement d’autres matériaux) de déchets de construction et de démolition non dangereux, à l’exception des matériaux naturels définis dans la catégorie 17 05 04 du catalogue européen des déchets, est portée à au moins 70 % en poids.</w:t>
      </w:r>
    </w:p>
    <w:p w14:paraId="72185BAC" w14:textId="77777777" w:rsidR="00D00167" w:rsidRPr="006A673E" w:rsidRDefault="00D00167" w:rsidP="001307A3">
      <w:pPr>
        <w:pStyle w:val="41UeberschrG1"/>
      </w:pPr>
      <w:r w:rsidRPr="006A673E">
        <w:t>Objectifs pour les bouteilles de boissons en plastique à usage unique</w:t>
      </w:r>
    </w:p>
    <w:p w14:paraId="2B81BC4A" w14:textId="77777777" w:rsidR="00D00167" w:rsidRPr="006A673E" w:rsidRDefault="00D00167" w:rsidP="001307A3">
      <w:pPr>
        <w:pStyle w:val="52Aufzaehle1Ziffer"/>
      </w:pPr>
      <w:r w:rsidRPr="006A673E">
        <w:tab/>
        <w:t>1.</w:t>
      </w:r>
      <w:r w:rsidRPr="006A673E">
        <w:tab/>
        <w:t>D’ici 2025, au moins 77 % en poids de déchets provenant de bouteilles de boissons plastiques à usage unique d’une contenance maximale de trois litres, y compris leurs fermetures et couvercles, à l’exclusion</w:t>
      </w:r>
    </w:p>
    <w:p w14:paraId="2B211E74" w14:textId="77777777" w:rsidR="00D00167" w:rsidRPr="006A673E" w:rsidRDefault="00D00167" w:rsidP="001307A3">
      <w:pPr>
        <w:pStyle w:val="52Aufzaehle2Lit"/>
      </w:pPr>
      <w:r w:rsidRPr="006A673E">
        <w:tab/>
        <w:t>a)</w:t>
      </w:r>
      <w:r w:rsidRPr="006A673E">
        <w:tab/>
        <w:t>des bouteilles en verre ou en métal pour boissons avec bouchons ou couvercles en plastique,</w:t>
      </w:r>
    </w:p>
    <w:p w14:paraId="309A0B21" w14:textId="77777777" w:rsidR="00D00167" w:rsidRPr="006A673E" w:rsidRDefault="00D00167" w:rsidP="001307A3">
      <w:pPr>
        <w:pStyle w:val="52Aufzaehle2Lit"/>
      </w:pPr>
      <w:r w:rsidRPr="006A673E">
        <w:tab/>
        <w:t>b)</w:t>
      </w:r>
      <w:r w:rsidRPr="006A673E">
        <w:tab/>
        <w:t>des bouteilles de boissons, qui sont destinées et utilisées pour des denrées alimentaires liquides à des fins médicales spéciales au sens de l’article 2, point (g), du Règlement (UE) n° 609/2013,</w:t>
      </w:r>
    </w:p>
    <w:p w14:paraId="20A9B34D" w14:textId="77777777" w:rsidR="00D00167" w:rsidRPr="006A673E" w:rsidRDefault="00D00167" w:rsidP="001307A3">
      <w:pPr>
        <w:pStyle w:val="58Schlussteile1Ziffer"/>
      </w:pPr>
      <w:r w:rsidRPr="006A673E">
        <w:t>sont collectés séparément.</w:t>
      </w:r>
    </w:p>
    <w:p w14:paraId="2950614C" w14:textId="77777777" w:rsidR="00D00167" w:rsidRPr="006A673E" w:rsidRDefault="00D00167" w:rsidP="001307A3">
      <w:pPr>
        <w:pStyle w:val="52Aufzaehle1Ziffer"/>
      </w:pPr>
      <w:r w:rsidRPr="006A673E">
        <w:tab/>
        <w:t>2.</w:t>
      </w:r>
      <w:r w:rsidRPr="006A673E">
        <w:tab/>
        <w:t>D’ici 2029, au moins 90 % en poids de déchets provenant de bouteilles de boissons plastiques à usage unique d’une contenance maximale de trois litres, y compris leurs fermetures et couvercles, à l’exclusion</w:t>
      </w:r>
    </w:p>
    <w:p w14:paraId="0BB16FAA" w14:textId="77777777" w:rsidR="00D00167" w:rsidRPr="006A673E" w:rsidRDefault="00D00167" w:rsidP="001307A3">
      <w:pPr>
        <w:pStyle w:val="52Aufzaehle2Lit"/>
      </w:pPr>
      <w:r w:rsidRPr="006A673E">
        <w:tab/>
        <w:t>a)</w:t>
      </w:r>
      <w:r w:rsidRPr="006A673E">
        <w:tab/>
        <w:t>des bouteilles en verre ou en métal pour boissons avec bouchons ou couvercles en plastique,</w:t>
      </w:r>
    </w:p>
    <w:p w14:paraId="31157213" w14:textId="77777777" w:rsidR="00D00167" w:rsidRPr="006A673E" w:rsidRDefault="00D00167" w:rsidP="001307A3">
      <w:pPr>
        <w:pStyle w:val="52Aufzaehle2Lit"/>
      </w:pPr>
      <w:r w:rsidRPr="006A673E">
        <w:tab/>
        <w:t>b)</w:t>
      </w:r>
      <w:r w:rsidRPr="006A673E">
        <w:tab/>
        <w:t>des bouteilles de boissons, qui sont destinées et utilisées pour des denrées alimentaires liquides à des fins médicales spéciales au sens de l’article 2, point (g), du Règlement (UE) n° 609/2013,</w:t>
      </w:r>
    </w:p>
    <w:p w14:paraId="1EC607EA" w14:textId="77777777" w:rsidR="00D00167" w:rsidRPr="006A673E" w:rsidRDefault="00D00167" w:rsidP="001307A3">
      <w:pPr>
        <w:pStyle w:val="58Schlussteile1Ziffer"/>
      </w:pPr>
      <w:r w:rsidRPr="006A673E">
        <w:t>sont collectés séparément.</w:t>
      </w:r>
    </w:p>
    <w:p w14:paraId="2E2A5AA6" w14:textId="77777777" w:rsidR="00D00167" w:rsidRPr="006A673E" w:rsidRDefault="00D00167" w:rsidP="001307A3">
      <w:pPr>
        <w:pStyle w:val="41UeberschrG1"/>
      </w:pPr>
      <w:r w:rsidRPr="006A673E">
        <w:lastRenderedPageBreak/>
        <w:t>Calcul de l'objectif cible</w:t>
      </w:r>
    </w:p>
    <w:p w14:paraId="29E46673" w14:textId="77777777" w:rsidR="00D00167" w:rsidRPr="006A673E" w:rsidRDefault="00D00167" w:rsidP="001307A3">
      <w:pPr>
        <w:pStyle w:val="83ErlText"/>
      </w:pPr>
      <w:r w:rsidRPr="006A673E">
        <w:t>La réalisation des objectifs pour les déchets municipaux et les déchets de construction et de démolition est calculée conformément aux articles 11 bis et 37 de la directive 2008/98/CE relative aux déchets et conformément à la décision d’exécution (UE) 2019/1004 établissant les règles de calcul, de vérification et de communication des données sur les déchets conformément à la directive 2008/98/CE et abrogeant la décision d’exécution C(2012) 2384, JO L 163 du 20.06.2019, p. 66, et la décision d’exécution (UE) établissant les règles pour le calcul et la vérification des taux moyens de perte des déchets triés.</w:t>
      </w:r>
    </w:p>
    <w:p w14:paraId="3A3B22F1" w14:textId="77777777" w:rsidR="00D00167" w:rsidRPr="006A673E" w:rsidRDefault="00D00167" w:rsidP="001307A3">
      <w:pPr>
        <w:pStyle w:val="83ErlText"/>
      </w:pPr>
      <w:r w:rsidRPr="006A673E">
        <w:t>La réalisation des objectifs pour les déchets municipaux mis en décharge est calculée conformément à l’article 5a de la Directive (UE) 2018/850 modifiant la directive 1999/31/CE relative à la mise en décharge des déchets, JO L 150 du 14/06/2018, p. 100, et la Décision exécutoire 2019/1885 de la Commission établissant les règles pour le calcul, la vérification et la communication des données relatives à la mise en décharge des déchets municipaux conformément à la Directive 1999/31/CE et abrogeant la Décision 2000/738/CE, JO 290 du 11/11/2019, p. 18.</w:t>
      </w:r>
    </w:p>
    <w:p w14:paraId="09B8573D" w14:textId="77777777" w:rsidR="00D00167" w:rsidRPr="006A673E" w:rsidRDefault="00D00167" w:rsidP="001307A3">
      <w:pPr>
        <w:pStyle w:val="71Anlagenbez"/>
      </w:pPr>
      <w:r w:rsidRPr="006A673E">
        <w:t>Annexe 1b</w:t>
      </w:r>
    </w:p>
    <w:p w14:paraId="7FF770E9" w14:textId="77777777" w:rsidR="00D00167" w:rsidRPr="006A673E" w:rsidRDefault="00D00167" w:rsidP="001307A3">
      <w:pPr>
        <w:pStyle w:val="41UeberschrG1"/>
      </w:pPr>
      <w:r w:rsidRPr="006A673E">
        <w:t>Exemples d'instruments économiques et d'autres mesures visant à encourager l'application de la hiérarchie des déchets conformément à l'article 1, paragraphe 2a</w:t>
      </w:r>
    </w:p>
    <w:p w14:paraId="52B38BDC" w14:textId="77777777" w:rsidR="00D00167" w:rsidRPr="006A673E" w:rsidRDefault="00D00167" w:rsidP="001307A3">
      <w:pPr>
        <w:pStyle w:val="52Aufzaehle1Ziffer"/>
      </w:pPr>
      <w:r w:rsidRPr="006A673E">
        <w:tab/>
        <w:t>1.</w:t>
      </w:r>
      <w:r w:rsidRPr="006A673E">
        <w:tab/>
        <w:t>Les redevances et restrictions applicables à la mise en décharge des déchets et à l’incinération des déchets qui incitent à la prévention et au recyclage des déchets, tout en conservant l’option de gestion des déchets la moins favorisée ;</w:t>
      </w:r>
    </w:p>
    <w:p w14:paraId="4D096272" w14:textId="77777777" w:rsidR="00D00167" w:rsidRPr="006A673E" w:rsidRDefault="00D00167" w:rsidP="001307A3">
      <w:pPr>
        <w:pStyle w:val="52Aufzaehle1Ziffer"/>
      </w:pPr>
      <w:r w:rsidRPr="006A673E">
        <w:tab/>
        <w:t>2.</w:t>
      </w:r>
      <w:r w:rsidRPr="006A673E">
        <w:tab/>
        <w:t>des systèmes de « Paiement par déchet » des jeunes qui facturent les producteurs de déchets sur base de la quantité réelle de déchets produits et qui encouragent la séparation des déchets recyclables à la source de production et la réduction des déchets mixtes ;</w:t>
      </w:r>
    </w:p>
    <w:p w14:paraId="7C127BFD" w14:textId="77777777" w:rsidR="00D00167" w:rsidRPr="006A673E" w:rsidRDefault="00D00167" w:rsidP="001307A3">
      <w:pPr>
        <w:pStyle w:val="52Aufzaehle1Ziffer"/>
      </w:pPr>
      <w:r w:rsidRPr="006A673E">
        <w:tab/>
        <w:t>3.</w:t>
      </w:r>
      <w:r w:rsidRPr="006A673E">
        <w:tab/>
        <w:t>des incitations fiscales pour le don de produits, en particulier de denrées alimentaires ;</w:t>
      </w:r>
    </w:p>
    <w:p w14:paraId="6C2B8B2C" w14:textId="77777777" w:rsidR="00D00167" w:rsidRPr="006A673E" w:rsidRDefault="00D00167" w:rsidP="001307A3">
      <w:pPr>
        <w:pStyle w:val="52Aufzaehle1Ziffer"/>
      </w:pPr>
      <w:r w:rsidRPr="006A673E">
        <w:tab/>
        <w:t>4.</w:t>
      </w:r>
      <w:r w:rsidRPr="006A673E">
        <w:tab/>
        <w:t>des systèmes élargis de responsabilité des producteurs pour divers types de déchets et des mesures visant à accroître leur efficacité, leur rapport coût-efficacité et leur gouvernance ;</w:t>
      </w:r>
    </w:p>
    <w:p w14:paraId="5D871756" w14:textId="77777777" w:rsidR="00D00167" w:rsidRPr="006A673E" w:rsidRDefault="00D00167" w:rsidP="001307A3">
      <w:pPr>
        <w:pStyle w:val="52Aufzaehle1Ziffer"/>
      </w:pPr>
      <w:r w:rsidRPr="006A673E">
        <w:tab/>
        <w:t>5.</w:t>
      </w:r>
      <w:r w:rsidRPr="006A673E">
        <w:tab/>
        <w:t>des systèmes de remboursement des dépôts et d’autres mesures visant à encourager la collecte efficace des produits et matières usagés ;</w:t>
      </w:r>
    </w:p>
    <w:p w14:paraId="22971DEE" w14:textId="77777777" w:rsidR="00D00167" w:rsidRPr="006A673E" w:rsidRDefault="00D00167" w:rsidP="001307A3">
      <w:pPr>
        <w:pStyle w:val="52Aufzaehle1Ziffer"/>
      </w:pPr>
      <w:r w:rsidRPr="006A673E">
        <w:tab/>
        <w:t>6.</w:t>
      </w:r>
      <w:r w:rsidRPr="006A673E">
        <w:tab/>
        <w:t>une bonne planification des investissements dans les infrastructures de gestion des déchets, y compris au moyen de fonds de l’Union ;</w:t>
      </w:r>
    </w:p>
    <w:p w14:paraId="1A63E537" w14:textId="77777777" w:rsidR="00D00167" w:rsidRPr="006A673E" w:rsidRDefault="00D00167" w:rsidP="001307A3">
      <w:pPr>
        <w:pStyle w:val="52Aufzaehle1Ziffer"/>
      </w:pPr>
      <w:r w:rsidRPr="006A673E">
        <w:tab/>
        <w:t>7.</w:t>
      </w:r>
      <w:r w:rsidRPr="006A673E">
        <w:tab/>
        <w:t>des marchés publics durables pour encourager une meilleure gestion des déchets et l’utilisation de produits et de matériaux recyclés ;</w:t>
      </w:r>
    </w:p>
    <w:p w14:paraId="055D39D6" w14:textId="77777777" w:rsidR="00D00167" w:rsidRPr="006A673E" w:rsidRDefault="00D00167" w:rsidP="001307A3">
      <w:pPr>
        <w:pStyle w:val="52Aufzaehle1Ziffer"/>
      </w:pPr>
      <w:r w:rsidRPr="006A673E">
        <w:tab/>
        <w:t>8.</w:t>
      </w:r>
      <w:r w:rsidRPr="006A673E">
        <w:tab/>
        <w:t>suppression progressive des subventions qui ne sont pas compatibles avec la hiérarchie des déchets ;</w:t>
      </w:r>
    </w:p>
    <w:p w14:paraId="64808BD3" w14:textId="77777777" w:rsidR="00D00167" w:rsidRPr="006A673E" w:rsidRDefault="00D00167" w:rsidP="001307A3">
      <w:pPr>
        <w:pStyle w:val="52Aufzaehle1Ziffer"/>
      </w:pPr>
      <w:r w:rsidRPr="006A673E">
        <w:tab/>
        <w:t>9.</w:t>
      </w:r>
      <w:r w:rsidRPr="006A673E">
        <w:tab/>
        <w:t>recours à des mesures fiscales ou à d'autres moyens pour promouvoir l'utilisation de produits et de matériaux préparés en vue d'une réutilisation ou d'un recyclage ;</w:t>
      </w:r>
    </w:p>
    <w:p w14:paraId="328109A0" w14:textId="77777777" w:rsidR="00D00167" w:rsidRPr="006A673E" w:rsidRDefault="00D00167" w:rsidP="001307A3">
      <w:pPr>
        <w:pStyle w:val="52Aufzaehle1Ziffer"/>
      </w:pPr>
      <w:r w:rsidRPr="006A673E">
        <w:tab/>
        <w:t>10.</w:t>
      </w:r>
      <w:r w:rsidRPr="006A673E">
        <w:tab/>
        <w:t>soutien à la recherche et à l’innovation dans le domaine des technologies de recyclage avancées et de la restructuration ;</w:t>
      </w:r>
    </w:p>
    <w:p w14:paraId="1B5B0F27" w14:textId="77777777" w:rsidR="00D00167" w:rsidRPr="006A673E" w:rsidRDefault="00D00167" w:rsidP="001307A3">
      <w:pPr>
        <w:pStyle w:val="52Aufzaehle1Ziffer"/>
      </w:pPr>
      <w:r w:rsidRPr="006A673E">
        <w:tab/>
        <w:t>11.</w:t>
      </w:r>
      <w:r w:rsidRPr="006A673E">
        <w:tab/>
        <w:t>utilisation des meilleures techniques disponibles pour le traitement des déchets ;</w:t>
      </w:r>
    </w:p>
    <w:p w14:paraId="0F60FE59" w14:textId="77777777" w:rsidR="00D00167" w:rsidRPr="006A673E" w:rsidRDefault="00D00167" w:rsidP="001307A3">
      <w:pPr>
        <w:pStyle w:val="52Aufzaehle1Ziffer"/>
      </w:pPr>
      <w:r w:rsidRPr="006A673E">
        <w:tab/>
        <w:t>12.</w:t>
      </w:r>
      <w:r w:rsidRPr="006A673E">
        <w:tab/>
        <w:t>des incitations économiques pour les autorités régionales et locales, notamment pour promouvoir la prévention des déchets et intensifier les systèmes de collecte séparés, tout en évitant de soutenir la mise en décharge et l’incinération ;</w:t>
      </w:r>
    </w:p>
    <w:p w14:paraId="170A5222" w14:textId="77777777" w:rsidR="00D00167" w:rsidRPr="006A673E" w:rsidRDefault="00D00167" w:rsidP="001307A3">
      <w:pPr>
        <w:pStyle w:val="52Aufzaehle1Ziffer"/>
      </w:pPr>
      <w:r w:rsidRPr="006A673E">
        <w:tab/>
        <w:t>13.</w:t>
      </w:r>
      <w:r w:rsidRPr="006A673E">
        <w:tab/>
        <w:t>des campagnes de sensibilisation du public, en particulier sur la collecte séparée, la prévention des déchets et la réduction des déchets, et l’intégration de ces questions dans l’éducation et la formation ;</w:t>
      </w:r>
    </w:p>
    <w:p w14:paraId="01FDA5DE" w14:textId="77777777" w:rsidR="00D00167" w:rsidRPr="006A673E" w:rsidRDefault="00D00167" w:rsidP="001307A3">
      <w:pPr>
        <w:pStyle w:val="52Aufzaehle1Ziffer"/>
      </w:pPr>
      <w:r w:rsidRPr="006A673E">
        <w:tab/>
        <w:t>14.</w:t>
      </w:r>
      <w:r w:rsidRPr="006A673E">
        <w:tab/>
        <w:t>systèmes de coordination, y compris par des moyens numériques, entre toutes les autorités publiques compétentes impliquées dans la gestion des déchets ;</w:t>
      </w:r>
    </w:p>
    <w:p w14:paraId="7AD0DC02" w14:textId="77777777" w:rsidR="00D00167" w:rsidRPr="006A673E" w:rsidRDefault="00D00167" w:rsidP="001307A3">
      <w:pPr>
        <w:pStyle w:val="52Aufzaehle1Ziffer"/>
      </w:pPr>
      <w:r w:rsidRPr="006A673E">
        <w:tab/>
        <w:t>15.</w:t>
      </w:r>
      <w:r w:rsidRPr="006A673E">
        <w:tab/>
        <w:t>promouvoir un dialogue et une coopération continus entre toutes les parties prenantes dans le domaine de la gestion des déchets et encourager les accords volontaires et l’établissement de rapports sur les déchets par les entreprises. »</w:t>
      </w:r>
    </w:p>
    <w:p w14:paraId="399538EF" w14:textId="77777777" w:rsidR="00D00167" w:rsidRPr="006A673E" w:rsidRDefault="00D00167" w:rsidP="001307A3">
      <w:pPr>
        <w:pStyle w:val="21NovAo1"/>
      </w:pPr>
      <w:r w:rsidRPr="006A673E">
        <w:lastRenderedPageBreak/>
        <w:t xml:space="preserve">214. Au tableau 1 Opérations de récupération de l’annexe 2, note de bas de page 2 de la rubrique </w:t>
      </w:r>
      <w:r w:rsidRPr="006A673E">
        <w:rPr>
          <w:i w:val="0"/>
        </w:rPr>
        <w:t>«R3 Recyclage/réclamation des substances organiques qui ne sont pas utilisées comme solvants (y compris le compostage et d’autres procédés de transformation biologique)»</w:t>
      </w:r>
      <w:r w:rsidRPr="006A673E">
        <w:t xml:space="preserve"> est formulée comme suit:</w:t>
      </w:r>
    </w:p>
    <w:p w14:paraId="2CB5EB23" w14:textId="77777777" w:rsidR="00D00167" w:rsidRPr="006A673E" w:rsidRDefault="00D00167" w:rsidP="001307A3">
      <w:pPr>
        <w:pStyle w:val="85ErlAufzaehlg"/>
      </w:pPr>
      <w:r w:rsidRPr="006A673E">
        <w:t>« </w:t>
      </w:r>
      <w:r w:rsidRPr="006A673E">
        <w:rPr>
          <w:vertAlign w:val="superscript"/>
        </w:rPr>
        <w:t>2</w:t>
      </w:r>
      <w:r w:rsidRPr="006A673E">
        <w:t>)</w:t>
      </w:r>
      <w:r w:rsidRPr="006A673E">
        <w:tab/>
        <w:t>Cela comprend la préparation en vue de la réutilisation, de la gazéification et de la pyrolyse en utilisant les composants comme produits chimiques et la récupération des substances organiques sous forme de remblayage. »</w:t>
      </w:r>
    </w:p>
    <w:p w14:paraId="5A0A6E09" w14:textId="77777777" w:rsidR="00D00167" w:rsidRPr="006A673E" w:rsidRDefault="00D00167" w:rsidP="001307A3">
      <w:pPr>
        <w:pStyle w:val="21NovAo1"/>
      </w:pPr>
      <w:r w:rsidRPr="006A673E">
        <w:t xml:space="preserve">215. Au tableau 1 Opérations de récupération de l’annexe 2, la note de bas de page suivante «2 bis»est insérée pour la rubrique </w:t>
      </w:r>
      <w:r w:rsidRPr="006A673E">
        <w:rPr>
          <w:i w:val="0"/>
        </w:rPr>
        <w:t>«R4 Recyclage / réclamation des métaux et des composés métalliques»</w:t>
      </w:r>
      <w:r w:rsidRPr="006A673E">
        <w:t>:</w:t>
      </w:r>
    </w:p>
    <w:p w14:paraId="5D2C44AE" w14:textId="77777777" w:rsidR="00D00167" w:rsidRPr="006A673E" w:rsidRDefault="00D00167" w:rsidP="001307A3">
      <w:pPr>
        <w:pStyle w:val="85ErlAufzaehlg"/>
      </w:pPr>
      <w:r w:rsidRPr="006A673E">
        <w:t>«</w:t>
      </w:r>
      <w:r w:rsidRPr="006A673E">
        <w:rPr>
          <w:vertAlign w:val="superscript"/>
        </w:rPr>
        <w:t>2 bis</w:t>
      </w:r>
      <w:r w:rsidRPr="006A673E">
        <w:t xml:space="preserve"> Cela inclut la préparation en vue de la réutilisation.»</w:t>
      </w:r>
      <w:r w:rsidRPr="006A673E">
        <w:tab/>
      </w:r>
    </w:p>
    <w:p w14:paraId="0653B941" w14:textId="77777777" w:rsidR="00D00167" w:rsidRPr="006A673E" w:rsidRDefault="00D00167" w:rsidP="001307A3">
      <w:pPr>
        <w:pStyle w:val="21NovAo1"/>
      </w:pPr>
      <w:r w:rsidRPr="006A673E">
        <w:t xml:space="preserve">216. Au tableau 1 Opérations de récupération de l’annexe 2, note de bas de page 3, la mention </w:t>
      </w:r>
      <w:r w:rsidRPr="006A673E">
        <w:rPr>
          <w:i w:val="0"/>
        </w:rPr>
        <w:t>«R5 Recyclage/réclamation d’autres matériaux inorganiques»</w:t>
      </w:r>
      <w:r w:rsidRPr="006A673E">
        <w:t xml:space="preserve"> est formulée comme suit:</w:t>
      </w:r>
    </w:p>
    <w:p w14:paraId="54F6B79F" w14:textId="77777777" w:rsidR="00D00167" w:rsidRPr="006A673E" w:rsidRDefault="00D00167" w:rsidP="001307A3">
      <w:pPr>
        <w:pStyle w:val="85ErlAufzaehlg"/>
      </w:pPr>
      <w:r w:rsidRPr="006A673E">
        <w:t>«</w:t>
      </w:r>
      <w:r w:rsidRPr="006A673E">
        <w:rPr>
          <w:vertAlign w:val="superscript"/>
        </w:rPr>
        <w:t>3</w:t>
      </w:r>
      <w:r w:rsidRPr="006A673E">
        <w:t xml:space="preserve"> Cela comprend la préparation en vue de la réutilisation, le recyclage des matériaux de construction inorganiques, la récupération des matériaux inorganiques sous forme de remblayage et le nettoyage du sol entrainant la régénération du sol.»</w:t>
      </w:r>
      <w:r w:rsidRPr="006A673E">
        <w:tab/>
      </w:r>
    </w:p>
    <w:p w14:paraId="17EF33C5" w14:textId="77777777" w:rsidR="00D00167" w:rsidRPr="006A673E" w:rsidRDefault="00D00167" w:rsidP="001307A3">
      <w:pPr>
        <w:pStyle w:val="68UnterschrL"/>
      </w:pPr>
      <w:r w:rsidRPr="006A673E">
        <w:t>Van der Bellen</w:t>
      </w:r>
    </w:p>
    <w:p w14:paraId="4EA1BA59" w14:textId="77777777" w:rsidR="00D00167" w:rsidRPr="006A673E" w:rsidRDefault="00D00167" w:rsidP="001307A3">
      <w:pPr>
        <w:pStyle w:val="68UnterschrL"/>
      </w:pPr>
      <w:r w:rsidRPr="006A673E">
        <w:t>Nehammer</w:t>
      </w:r>
    </w:p>
    <w:sectPr w:rsidR="00D00167" w:rsidRPr="006A673E">
      <w:headerReference w:type="even" r:id="rId7"/>
      <w:headerReference w:type="default" r:id="rId8"/>
      <w:footerReference w:type="even" r:id="rId9"/>
      <w:footerReference w:type="default" r:id="rId10"/>
      <w:headerReference w:type="first" r:id="rId11"/>
      <w:footerReference w:type="first" r:id="rId12"/>
      <w:pgSz w:w="11906" w:h="16838"/>
      <w:pgMar w:top="1701" w:right="1701" w:bottom="1701" w:left="1701" w:header="567" w:footer="130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059C1" w14:textId="77777777" w:rsidR="009F2D52" w:rsidRDefault="009F2D52">
      <w:r>
        <w:separator/>
      </w:r>
    </w:p>
  </w:endnote>
  <w:endnote w:type="continuationSeparator" w:id="0">
    <w:p w14:paraId="389BBAA8" w14:textId="77777777" w:rsidR="009F2D52" w:rsidRDefault="009F2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EUAlbertina">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4FBD1" w14:textId="77777777" w:rsidR="001307A3" w:rsidRDefault="001307A3">
    <w:pPr>
      <w:pStyle w:val="63Fuzeile"/>
    </w:pPr>
    <w:r>
      <w:t>www.ris.bka.gv.at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0083B" w14:textId="77777777" w:rsidR="001307A3" w:rsidRDefault="001307A3">
    <w:pPr>
      <w:pStyle w:val="63Fuzeile"/>
    </w:pPr>
    <w:r>
      <w:t>www.ris.bka.gv.at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2C330" w14:textId="77777777" w:rsidR="001307A3" w:rsidRDefault="001307A3">
    <w:pPr>
      <w:pStyle w:val="63Fuzeile"/>
    </w:pPr>
    <w:r>
      <w:t>www.ris.bka.gv.at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A3E6" w14:textId="77777777" w:rsidR="009F2D52" w:rsidRDefault="009F2D52">
      <w:r>
        <w:separator/>
      </w:r>
    </w:p>
  </w:footnote>
  <w:footnote w:type="continuationSeparator" w:id="0">
    <w:p w14:paraId="5D87EA63" w14:textId="77777777" w:rsidR="009F2D52" w:rsidRDefault="009F2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08E52" w14:textId="77777777" w:rsidR="001307A3" w:rsidRDefault="001307A3">
    <w:pPr>
      <w:pStyle w:val="62Kopfzeile"/>
    </w:pPr>
    <w:r>
      <w:tab/>
      <w:t>Journal officiel fédéral I – Publié le 10 décembre 2021 – n 200</w:t>
    </w:r>
    <w:r>
      <w:tab/>
    </w:r>
    <w:r>
      <w:fldChar w:fldCharType="begin"/>
    </w:r>
    <w:r>
      <w:instrText xml:space="preserve"> PAGE  \* Arabic  \* MERGEFORMAT </w:instrText>
    </w:r>
    <w:r>
      <w:fldChar w:fldCharType="separate"/>
    </w:r>
    <w:r w:rsidR="00624777">
      <w:t>1</w:t>
    </w:r>
    <w:r>
      <w:fldChar w:fldCharType="end"/>
    </w:r>
    <w:r>
      <w:t xml:space="preserve"> sur </w:t>
    </w:r>
    <w:fldSimple w:instr=" NUMPAGES  \* Arabic  \* MERGEFORMAT ">
      <w:r w:rsidR="00624777">
        <w:t>1</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717A5" w14:textId="77777777" w:rsidR="001307A3" w:rsidRDefault="001307A3">
    <w:pPr>
      <w:pStyle w:val="62Kopfzeile"/>
    </w:pPr>
    <w:r>
      <w:tab/>
      <w:t>Journal officiel fédéral I – Publié le 10 décembre 2021 – n°200</w:t>
    </w:r>
    <w:r>
      <w:tab/>
    </w:r>
    <w:r>
      <w:fldChar w:fldCharType="begin"/>
    </w:r>
    <w:r>
      <w:instrText xml:space="preserve"> PAGE  \* Arabic  \* MERGEFORMAT </w:instrText>
    </w:r>
    <w:r>
      <w:fldChar w:fldCharType="separate"/>
    </w:r>
    <w:r w:rsidR="00F33FB3">
      <w:t>21</w:t>
    </w:r>
    <w:r>
      <w:fldChar w:fldCharType="end"/>
    </w:r>
    <w:r>
      <w:t xml:space="preserve"> sur </w:t>
    </w:r>
    <w:fldSimple w:instr=" NUMPAGES  \* Arabic  \* MERGEFORMAT ">
      <w:r w:rsidR="00F33FB3">
        <w:t>32</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DAB33" w14:textId="77777777" w:rsidR="001307A3" w:rsidRDefault="001307A3">
    <w:pPr>
      <w:pStyle w:val="62Kopfzeile"/>
    </w:pPr>
    <w:r>
      <w:tab/>
    </w:r>
    <w:r>
      <w:tab/>
    </w:r>
    <w:r>
      <w:fldChar w:fldCharType="begin"/>
    </w:r>
    <w:r>
      <w:instrText xml:space="preserve"> PAGE  \* MERGEFORMAT </w:instrText>
    </w:r>
    <w:r>
      <w:fldChar w:fldCharType="separate"/>
    </w:r>
    <w:r w:rsidR="00F33FB3">
      <w:t>1</w:t>
    </w:r>
    <w:r>
      <w:fldChar w:fldCharType="end"/>
    </w:r>
    <w:r>
      <w:t xml:space="preserve"> sur </w:t>
    </w:r>
    <w:fldSimple w:instr=" NUMPAGES  \* MERGEFORMAT ">
      <w:r w:rsidR="00F33FB3">
        <w:t>1</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E0A22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23A11C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904301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8A16F76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8D416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EE74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9C24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423C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30296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D78CE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80AFA"/>
    <w:multiLevelType w:val="multilevel"/>
    <w:tmpl w:val="0C07001D"/>
    <w:lvl w:ilvl="0">
      <w:start w:val="1"/>
      <w:numFmt w:val="decimal"/>
      <w:lvlText w:val="%1)"/>
      <w:lvlJc w:val="left"/>
      <w:pPr>
        <w:tabs>
          <w:tab w:val="left" w:pos="360"/>
        </w:tabs>
        <w:ind w:left="360"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1" w15:restartNumberingAfterBreak="0">
    <w:nsid w:val="03BF6BA1"/>
    <w:multiLevelType w:val="hybridMultilevel"/>
    <w:tmpl w:val="BACE1E4E"/>
    <w:lvl w:ilvl="0" w:tplc="EE3E8612">
      <w:start w:val="1"/>
      <w:numFmt w:val="decimal"/>
      <w:lvlText w:val="%1. "/>
      <w:lvlJc w:val="left"/>
      <w:pPr>
        <w:tabs>
          <w:tab w:val="left" w:pos="360"/>
        </w:tabs>
      </w:pPr>
      <w:rPr>
        <w:rFonts w:cs="Times New Roman"/>
      </w:rPr>
    </w:lvl>
    <w:lvl w:ilvl="1" w:tplc="ED42C5F4">
      <w:start w:val="1"/>
      <w:numFmt w:val="lowerLetter"/>
      <w:lvlText w:val="%2."/>
      <w:lvlJc w:val="left"/>
      <w:pPr>
        <w:tabs>
          <w:tab w:val="left" w:pos="1440"/>
        </w:tabs>
        <w:ind w:left="1440" w:hanging="360"/>
      </w:pPr>
      <w:rPr>
        <w:rFonts w:cs="Times New Roman"/>
      </w:rPr>
    </w:lvl>
    <w:lvl w:ilvl="2" w:tplc="A0869BC6">
      <w:start w:val="1"/>
      <w:numFmt w:val="lowerRoman"/>
      <w:lvlText w:val="%3."/>
      <w:lvlJc w:val="right"/>
      <w:pPr>
        <w:tabs>
          <w:tab w:val="left" w:pos="2160"/>
        </w:tabs>
        <w:ind w:left="2160" w:hanging="180"/>
      </w:pPr>
      <w:rPr>
        <w:rFonts w:cs="Times New Roman"/>
      </w:rPr>
    </w:lvl>
    <w:lvl w:ilvl="3" w:tplc="620016A6">
      <w:start w:val="1"/>
      <w:numFmt w:val="decimal"/>
      <w:lvlText w:val="%4."/>
      <w:lvlJc w:val="left"/>
      <w:pPr>
        <w:tabs>
          <w:tab w:val="left" w:pos="2880"/>
        </w:tabs>
        <w:ind w:left="2880" w:hanging="360"/>
      </w:pPr>
      <w:rPr>
        <w:rFonts w:cs="Times New Roman"/>
      </w:rPr>
    </w:lvl>
    <w:lvl w:ilvl="4" w:tplc="4CF6D420">
      <w:start w:val="1"/>
      <w:numFmt w:val="lowerLetter"/>
      <w:lvlText w:val="%5."/>
      <w:lvlJc w:val="left"/>
      <w:pPr>
        <w:tabs>
          <w:tab w:val="left" w:pos="3600"/>
        </w:tabs>
        <w:ind w:left="3600" w:hanging="360"/>
      </w:pPr>
      <w:rPr>
        <w:rFonts w:cs="Times New Roman"/>
      </w:rPr>
    </w:lvl>
    <w:lvl w:ilvl="5" w:tplc="6A14E630">
      <w:start w:val="1"/>
      <w:numFmt w:val="lowerRoman"/>
      <w:lvlText w:val="%6."/>
      <w:lvlJc w:val="right"/>
      <w:pPr>
        <w:tabs>
          <w:tab w:val="left" w:pos="4320"/>
        </w:tabs>
        <w:ind w:left="4320" w:hanging="180"/>
      </w:pPr>
      <w:rPr>
        <w:rFonts w:cs="Times New Roman"/>
      </w:rPr>
    </w:lvl>
    <w:lvl w:ilvl="6" w:tplc="3A90063C">
      <w:start w:val="1"/>
      <w:numFmt w:val="decimal"/>
      <w:lvlText w:val="%7."/>
      <w:lvlJc w:val="left"/>
      <w:pPr>
        <w:tabs>
          <w:tab w:val="left" w:pos="5040"/>
        </w:tabs>
        <w:ind w:left="5040" w:hanging="360"/>
      </w:pPr>
      <w:rPr>
        <w:rFonts w:cs="Times New Roman"/>
      </w:rPr>
    </w:lvl>
    <w:lvl w:ilvl="7" w:tplc="AEE413D0">
      <w:start w:val="1"/>
      <w:numFmt w:val="lowerLetter"/>
      <w:lvlText w:val="%8."/>
      <w:lvlJc w:val="left"/>
      <w:pPr>
        <w:tabs>
          <w:tab w:val="left" w:pos="5760"/>
        </w:tabs>
        <w:ind w:left="5760" w:hanging="360"/>
      </w:pPr>
      <w:rPr>
        <w:rFonts w:cs="Times New Roman"/>
      </w:rPr>
    </w:lvl>
    <w:lvl w:ilvl="8" w:tplc="81CAAF5C">
      <w:start w:val="1"/>
      <w:numFmt w:val="lowerRoman"/>
      <w:lvlText w:val="%9."/>
      <w:lvlJc w:val="right"/>
      <w:pPr>
        <w:tabs>
          <w:tab w:val="left" w:pos="6480"/>
        </w:tabs>
        <w:ind w:left="6480" w:hanging="180"/>
      </w:pPr>
      <w:rPr>
        <w:rFonts w:cs="Times New Roman"/>
      </w:rPr>
    </w:lvl>
  </w:abstractNum>
  <w:abstractNum w:abstractNumId="12" w15:restartNumberingAfterBreak="0">
    <w:nsid w:val="1055309E"/>
    <w:multiLevelType w:val="singleLevel"/>
    <w:tmpl w:val="C65403B0"/>
    <w:lvl w:ilvl="0">
      <w:start w:val="1"/>
      <w:numFmt w:val="decimal"/>
      <w:lvlText w:val="%1."/>
      <w:lvlJc w:val="left"/>
      <w:pPr>
        <w:tabs>
          <w:tab w:val="left" w:pos="643"/>
        </w:tabs>
        <w:ind w:left="643" w:hanging="360"/>
      </w:pPr>
      <w:rPr>
        <w:rFonts w:cs="Times New Roman"/>
      </w:rPr>
    </w:lvl>
  </w:abstractNum>
  <w:abstractNum w:abstractNumId="13" w15:restartNumberingAfterBreak="0">
    <w:nsid w:val="12AC0637"/>
    <w:multiLevelType w:val="singleLevel"/>
    <w:tmpl w:val="4D7CE1EA"/>
    <w:lvl w:ilvl="0">
      <w:start w:val="1"/>
      <w:numFmt w:val="bullet"/>
      <w:lvlText w:val=""/>
      <w:lvlJc w:val="left"/>
      <w:pPr>
        <w:tabs>
          <w:tab w:val="left" w:pos="1208"/>
        </w:tabs>
        <w:ind w:left="1209" w:hanging="360"/>
      </w:pPr>
      <w:rPr>
        <w:rFonts w:ascii="Symbol" w:hAnsi="Symbol"/>
      </w:rPr>
    </w:lvl>
  </w:abstractNum>
  <w:abstractNum w:abstractNumId="14" w15:restartNumberingAfterBreak="0">
    <w:nsid w:val="15743D75"/>
    <w:multiLevelType w:val="singleLevel"/>
    <w:tmpl w:val="F404D94C"/>
    <w:lvl w:ilvl="0">
      <w:start w:val="1"/>
      <w:numFmt w:val="bullet"/>
      <w:lvlText w:val=""/>
      <w:lvlJc w:val="left"/>
      <w:pPr>
        <w:tabs>
          <w:tab w:val="left" w:pos="360"/>
        </w:tabs>
        <w:ind w:left="360" w:hanging="360"/>
      </w:pPr>
      <w:rPr>
        <w:rFonts w:ascii="Symbol" w:hAnsi="Symbol"/>
      </w:rPr>
    </w:lvl>
  </w:abstractNum>
  <w:abstractNum w:abstractNumId="15" w15:restartNumberingAfterBreak="0">
    <w:nsid w:val="1C383975"/>
    <w:multiLevelType w:val="singleLevel"/>
    <w:tmpl w:val="13F29EDE"/>
    <w:lvl w:ilvl="0">
      <w:start w:val="1"/>
      <w:numFmt w:val="bullet"/>
      <w:lvlText w:val=""/>
      <w:lvlJc w:val="left"/>
      <w:pPr>
        <w:tabs>
          <w:tab w:val="left" w:pos="360"/>
        </w:tabs>
        <w:ind w:left="360" w:hanging="360"/>
      </w:pPr>
      <w:rPr>
        <w:rFonts w:ascii="Symbol" w:hAnsi="Symbol"/>
      </w:rPr>
    </w:lvl>
  </w:abstractNum>
  <w:abstractNum w:abstractNumId="16" w15:restartNumberingAfterBreak="0">
    <w:nsid w:val="1DEC1AA7"/>
    <w:multiLevelType w:val="singleLevel"/>
    <w:tmpl w:val="486A9B80"/>
    <w:lvl w:ilvl="0">
      <w:start w:val="1"/>
      <w:numFmt w:val="decimal"/>
      <w:lvlText w:val="%1."/>
      <w:lvlJc w:val="left"/>
      <w:pPr>
        <w:tabs>
          <w:tab w:val="left" w:pos="1208"/>
        </w:tabs>
        <w:ind w:left="1209" w:hanging="360"/>
      </w:pPr>
      <w:rPr>
        <w:rFonts w:cs="Times New Roman"/>
      </w:rPr>
    </w:lvl>
  </w:abstractNum>
  <w:abstractNum w:abstractNumId="17" w15:restartNumberingAfterBreak="0">
    <w:nsid w:val="21765828"/>
    <w:multiLevelType w:val="singleLevel"/>
    <w:tmpl w:val="8B1E7D6A"/>
    <w:lvl w:ilvl="0">
      <w:start w:val="1"/>
      <w:numFmt w:val="bullet"/>
      <w:lvlText w:val=""/>
      <w:lvlJc w:val="left"/>
      <w:pPr>
        <w:tabs>
          <w:tab w:val="left" w:pos="643"/>
        </w:tabs>
        <w:ind w:left="643" w:hanging="360"/>
      </w:pPr>
      <w:rPr>
        <w:rFonts w:ascii="Symbol" w:hAnsi="Symbol"/>
      </w:rPr>
    </w:lvl>
  </w:abstractNum>
  <w:abstractNum w:abstractNumId="18" w15:restartNumberingAfterBreak="0">
    <w:nsid w:val="250448DF"/>
    <w:multiLevelType w:val="singleLevel"/>
    <w:tmpl w:val="B5527FC6"/>
    <w:lvl w:ilvl="0">
      <w:start w:val="1"/>
      <w:numFmt w:val="decimal"/>
      <w:lvlText w:val="%1."/>
      <w:lvlJc w:val="left"/>
      <w:pPr>
        <w:tabs>
          <w:tab w:val="left" w:pos="1208"/>
        </w:tabs>
        <w:ind w:left="1209" w:hanging="360"/>
      </w:pPr>
      <w:rPr>
        <w:rFonts w:cs="Times New Roman"/>
      </w:rPr>
    </w:lvl>
  </w:abstractNum>
  <w:abstractNum w:abstractNumId="19" w15:restartNumberingAfterBreak="0">
    <w:nsid w:val="28311BB5"/>
    <w:multiLevelType w:val="singleLevel"/>
    <w:tmpl w:val="2EDE7F9C"/>
    <w:lvl w:ilvl="0">
      <w:start w:val="1"/>
      <w:numFmt w:val="decimal"/>
      <w:lvlText w:val="%1."/>
      <w:lvlJc w:val="left"/>
      <w:pPr>
        <w:tabs>
          <w:tab w:val="left" w:pos="360"/>
        </w:tabs>
        <w:ind w:left="360" w:hanging="360"/>
      </w:pPr>
      <w:rPr>
        <w:rFonts w:cs="Times New Roman"/>
      </w:rPr>
    </w:lvl>
  </w:abstractNum>
  <w:abstractNum w:abstractNumId="20" w15:restartNumberingAfterBreak="0">
    <w:nsid w:val="293F028B"/>
    <w:multiLevelType w:val="singleLevel"/>
    <w:tmpl w:val="928C87A2"/>
    <w:lvl w:ilvl="0">
      <w:start w:val="1"/>
      <w:numFmt w:val="decimal"/>
      <w:lvlText w:val="%1."/>
      <w:lvlJc w:val="left"/>
      <w:pPr>
        <w:tabs>
          <w:tab w:val="left" w:pos="926"/>
        </w:tabs>
        <w:ind w:left="926" w:hanging="360"/>
      </w:pPr>
      <w:rPr>
        <w:rFonts w:cs="Times New Roman"/>
      </w:rPr>
    </w:lvl>
  </w:abstractNum>
  <w:abstractNum w:abstractNumId="21" w15:restartNumberingAfterBreak="0">
    <w:nsid w:val="34781FDF"/>
    <w:multiLevelType w:val="multilevel"/>
    <w:tmpl w:val="0C07001F"/>
    <w:lvl w:ilvl="0">
      <w:start w:val="1"/>
      <w:numFmt w:val="decimal"/>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22" w15:restartNumberingAfterBreak="0">
    <w:nsid w:val="3FCC2F9B"/>
    <w:multiLevelType w:val="multilevel"/>
    <w:tmpl w:val="0C07001F"/>
    <w:lvl w:ilvl="0">
      <w:start w:val="1"/>
      <w:numFmt w:val="decimal"/>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23" w15:restartNumberingAfterBreak="0">
    <w:nsid w:val="423A6231"/>
    <w:multiLevelType w:val="singleLevel"/>
    <w:tmpl w:val="89BEE484"/>
    <w:lvl w:ilvl="0">
      <w:start w:val="1"/>
      <w:numFmt w:val="bullet"/>
      <w:lvlText w:val=""/>
      <w:lvlJc w:val="left"/>
      <w:pPr>
        <w:tabs>
          <w:tab w:val="left" w:pos="1492"/>
        </w:tabs>
        <w:ind w:left="1492" w:hanging="360"/>
      </w:pPr>
      <w:rPr>
        <w:rFonts w:ascii="Symbol" w:hAnsi="Symbol"/>
      </w:rPr>
    </w:lvl>
  </w:abstractNum>
  <w:abstractNum w:abstractNumId="24" w15:restartNumberingAfterBreak="0">
    <w:nsid w:val="42CF46A4"/>
    <w:multiLevelType w:val="multilevel"/>
    <w:tmpl w:val="0C07001F"/>
    <w:lvl w:ilvl="0">
      <w:start w:val="1"/>
      <w:numFmt w:val="decimal"/>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223"/>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25" w15:restartNumberingAfterBreak="0">
    <w:nsid w:val="42F209B4"/>
    <w:multiLevelType w:val="multilevel"/>
    <w:tmpl w:val="010EB5DE"/>
    <w:lvl w:ilvl="0">
      <w:start w:val="1"/>
      <w:numFmt w:val="none"/>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26" w15:restartNumberingAfterBreak="0">
    <w:nsid w:val="4B4F517B"/>
    <w:multiLevelType w:val="multilevel"/>
    <w:tmpl w:val="0C07001F"/>
    <w:lvl w:ilvl="0">
      <w:start w:val="1"/>
      <w:numFmt w:val="decimal"/>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27" w15:restartNumberingAfterBreak="0">
    <w:nsid w:val="4F2F1584"/>
    <w:multiLevelType w:val="multilevel"/>
    <w:tmpl w:val="0C07001D"/>
    <w:lvl w:ilvl="0">
      <w:start w:val="1"/>
      <w:numFmt w:val="decimal"/>
      <w:lvlText w:val="%1)"/>
      <w:lvlJc w:val="left"/>
      <w:pPr>
        <w:tabs>
          <w:tab w:val="left" w:pos="360"/>
        </w:tabs>
        <w:ind w:left="360"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8" w15:restartNumberingAfterBreak="0">
    <w:nsid w:val="4F391546"/>
    <w:multiLevelType w:val="singleLevel"/>
    <w:tmpl w:val="B82ACB00"/>
    <w:lvl w:ilvl="0">
      <w:start w:val="1"/>
      <w:numFmt w:val="bullet"/>
      <w:lvlText w:val=""/>
      <w:lvlJc w:val="left"/>
      <w:pPr>
        <w:tabs>
          <w:tab w:val="left" w:pos="1492"/>
        </w:tabs>
        <w:ind w:left="1492" w:hanging="360"/>
      </w:pPr>
      <w:rPr>
        <w:rFonts w:ascii="Symbol" w:hAnsi="Symbol"/>
      </w:rPr>
    </w:lvl>
  </w:abstractNum>
  <w:abstractNum w:abstractNumId="29" w15:restartNumberingAfterBreak="0">
    <w:nsid w:val="5AB47FB4"/>
    <w:multiLevelType w:val="multilevel"/>
    <w:tmpl w:val="C5BE902E"/>
    <w:lvl w:ilvl="0">
      <w:start w:val="1"/>
      <w:numFmt w:val="none"/>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0" w15:restartNumberingAfterBreak="0">
    <w:nsid w:val="5E95541E"/>
    <w:multiLevelType w:val="singleLevel"/>
    <w:tmpl w:val="8E8292B8"/>
    <w:lvl w:ilvl="0">
      <w:start w:val="1"/>
      <w:numFmt w:val="decimal"/>
      <w:lvlText w:val="%1."/>
      <w:lvlJc w:val="left"/>
      <w:pPr>
        <w:tabs>
          <w:tab w:val="left" w:pos="926"/>
        </w:tabs>
        <w:ind w:left="926" w:hanging="360"/>
      </w:pPr>
      <w:rPr>
        <w:rFonts w:cs="Times New Roman"/>
      </w:rPr>
    </w:lvl>
  </w:abstractNum>
  <w:abstractNum w:abstractNumId="31" w15:restartNumberingAfterBreak="0">
    <w:nsid w:val="61AD7E63"/>
    <w:multiLevelType w:val="hybridMultilevel"/>
    <w:tmpl w:val="F926D0C2"/>
    <w:lvl w:ilvl="0" w:tplc="3EE40F5C">
      <w:start w:val="1"/>
      <w:numFmt w:val="decimal"/>
      <w:lvlText w:val="%1."/>
      <w:lvlJc w:val="left"/>
      <w:pPr>
        <w:tabs>
          <w:tab w:val="left" w:pos="360"/>
        </w:tabs>
      </w:pPr>
      <w:rPr>
        <w:rFonts w:cs="Times New Roman"/>
      </w:rPr>
    </w:lvl>
    <w:lvl w:ilvl="1" w:tplc="9E2685F6">
      <w:start w:val="1"/>
      <w:numFmt w:val="lowerLetter"/>
      <w:lvlText w:val="%2."/>
      <w:lvlJc w:val="left"/>
      <w:pPr>
        <w:tabs>
          <w:tab w:val="left" w:pos="1440"/>
        </w:tabs>
        <w:ind w:left="1440" w:hanging="360"/>
      </w:pPr>
      <w:rPr>
        <w:rFonts w:cs="Times New Roman"/>
      </w:rPr>
    </w:lvl>
    <w:lvl w:ilvl="2" w:tplc="95DE0418">
      <w:start w:val="1"/>
      <w:numFmt w:val="lowerRoman"/>
      <w:lvlText w:val="%3."/>
      <w:lvlJc w:val="right"/>
      <w:pPr>
        <w:tabs>
          <w:tab w:val="left" w:pos="2160"/>
        </w:tabs>
        <w:ind w:left="2160" w:hanging="180"/>
      </w:pPr>
      <w:rPr>
        <w:rFonts w:cs="Times New Roman"/>
      </w:rPr>
    </w:lvl>
    <w:lvl w:ilvl="3" w:tplc="7FF8F3DE">
      <w:start w:val="1"/>
      <w:numFmt w:val="decimal"/>
      <w:lvlText w:val="%4."/>
      <w:lvlJc w:val="left"/>
      <w:pPr>
        <w:tabs>
          <w:tab w:val="left" w:pos="2880"/>
        </w:tabs>
        <w:ind w:left="2880" w:hanging="360"/>
      </w:pPr>
      <w:rPr>
        <w:rFonts w:cs="Times New Roman"/>
      </w:rPr>
    </w:lvl>
    <w:lvl w:ilvl="4" w:tplc="31FA8CFE">
      <w:start w:val="1"/>
      <w:numFmt w:val="lowerLetter"/>
      <w:lvlText w:val="%5."/>
      <w:lvlJc w:val="left"/>
      <w:pPr>
        <w:tabs>
          <w:tab w:val="left" w:pos="3600"/>
        </w:tabs>
        <w:ind w:left="3600" w:hanging="360"/>
      </w:pPr>
      <w:rPr>
        <w:rFonts w:cs="Times New Roman"/>
      </w:rPr>
    </w:lvl>
    <w:lvl w:ilvl="5" w:tplc="8CC02994">
      <w:start w:val="1"/>
      <w:numFmt w:val="lowerRoman"/>
      <w:lvlText w:val="%6."/>
      <w:lvlJc w:val="right"/>
      <w:pPr>
        <w:tabs>
          <w:tab w:val="left" w:pos="4320"/>
        </w:tabs>
        <w:ind w:left="4320" w:hanging="180"/>
      </w:pPr>
      <w:rPr>
        <w:rFonts w:cs="Times New Roman"/>
      </w:rPr>
    </w:lvl>
    <w:lvl w:ilvl="6" w:tplc="5BD22114">
      <w:start w:val="1"/>
      <w:numFmt w:val="decimal"/>
      <w:lvlText w:val="%7."/>
      <w:lvlJc w:val="left"/>
      <w:pPr>
        <w:tabs>
          <w:tab w:val="left" w:pos="5040"/>
        </w:tabs>
        <w:ind w:left="5040" w:hanging="360"/>
      </w:pPr>
      <w:rPr>
        <w:rFonts w:cs="Times New Roman"/>
      </w:rPr>
    </w:lvl>
    <w:lvl w:ilvl="7" w:tplc="573E485A">
      <w:start w:val="1"/>
      <w:numFmt w:val="lowerLetter"/>
      <w:lvlText w:val="%8."/>
      <w:lvlJc w:val="left"/>
      <w:pPr>
        <w:tabs>
          <w:tab w:val="left" w:pos="5760"/>
        </w:tabs>
        <w:ind w:left="5760" w:hanging="360"/>
      </w:pPr>
      <w:rPr>
        <w:rFonts w:cs="Times New Roman"/>
      </w:rPr>
    </w:lvl>
    <w:lvl w:ilvl="8" w:tplc="2A1A9784">
      <w:start w:val="1"/>
      <w:numFmt w:val="lowerRoman"/>
      <w:lvlText w:val="%9."/>
      <w:lvlJc w:val="right"/>
      <w:pPr>
        <w:tabs>
          <w:tab w:val="left" w:pos="6480"/>
        </w:tabs>
        <w:ind w:left="6480" w:hanging="180"/>
      </w:pPr>
      <w:rPr>
        <w:rFonts w:cs="Times New Roman"/>
      </w:rPr>
    </w:lvl>
  </w:abstractNum>
  <w:abstractNum w:abstractNumId="32" w15:restartNumberingAfterBreak="0">
    <w:nsid w:val="62802056"/>
    <w:multiLevelType w:val="singleLevel"/>
    <w:tmpl w:val="757A4BBE"/>
    <w:lvl w:ilvl="0">
      <w:start w:val="1"/>
      <w:numFmt w:val="decimal"/>
      <w:lvlText w:val="%1."/>
      <w:lvlJc w:val="left"/>
      <w:pPr>
        <w:tabs>
          <w:tab w:val="left" w:pos="1492"/>
        </w:tabs>
        <w:ind w:left="1492" w:hanging="360"/>
      </w:pPr>
      <w:rPr>
        <w:rFonts w:cs="Times New Roman"/>
      </w:rPr>
    </w:lvl>
  </w:abstractNum>
  <w:abstractNum w:abstractNumId="33" w15:restartNumberingAfterBreak="0">
    <w:nsid w:val="6324171F"/>
    <w:multiLevelType w:val="singleLevel"/>
    <w:tmpl w:val="89C00164"/>
    <w:lvl w:ilvl="0">
      <w:start w:val="1"/>
      <w:numFmt w:val="bullet"/>
      <w:lvlText w:val=""/>
      <w:lvlJc w:val="left"/>
      <w:pPr>
        <w:tabs>
          <w:tab w:val="left" w:pos="1208"/>
        </w:tabs>
        <w:ind w:left="1209" w:hanging="360"/>
      </w:pPr>
      <w:rPr>
        <w:rFonts w:ascii="Symbol" w:hAnsi="Symbol"/>
      </w:rPr>
    </w:lvl>
  </w:abstractNum>
  <w:abstractNum w:abstractNumId="34" w15:restartNumberingAfterBreak="0">
    <w:nsid w:val="66E10611"/>
    <w:multiLevelType w:val="singleLevel"/>
    <w:tmpl w:val="D3701A34"/>
    <w:lvl w:ilvl="0">
      <w:start w:val="1"/>
      <w:numFmt w:val="bullet"/>
      <w:lvlText w:val=""/>
      <w:lvlJc w:val="left"/>
      <w:pPr>
        <w:tabs>
          <w:tab w:val="left" w:pos="926"/>
        </w:tabs>
        <w:ind w:left="926" w:hanging="360"/>
      </w:pPr>
      <w:rPr>
        <w:rFonts w:ascii="Symbol" w:hAnsi="Symbol"/>
      </w:rPr>
    </w:lvl>
  </w:abstractNum>
  <w:abstractNum w:abstractNumId="35" w15:restartNumberingAfterBreak="0">
    <w:nsid w:val="6CC500F8"/>
    <w:multiLevelType w:val="singleLevel"/>
    <w:tmpl w:val="9AFC41F6"/>
    <w:lvl w:ilvl="0">
      <w:start w:val="1"/>
      <w:numFmt w:val="bullet"/>
      <w:lvlText w:val=""/>
      <w:lvlJc w:val="left"/>
      <w:pPr>
        <w:tabs>
          <w:tab w:val="left" w:pos="643"/>
        </w:tabs>
        <w:ind w:left="643" w:hanging="360"/>
      </w:pPr>
      <w:rPr>
        <w:rFonts w:ascii="Symbol" w:hAnsi="Symbol"/>
      </w:rPr>
    </w:lvl>
  </w:abstractNum>
  <w:abstractNum w:abstractNumId="36" w15:restartNumberingAfterBreak="0">
    <w:nsid w:val="73D176EC"/>
    <w:multiLevelType w:val="singleLevel"/>
    <w:tmpl w:val="1E920D84"/>
    <w:lvl w:ilvl="0">
      <w:start w:val="1"/>
      <w:numFmt w:val="bullet"/>
      <w:lvlText w:val=""/>
      <w:lvlJc w:val="left"/>
      <w:pPr>
        <w:tabs>
          <w:tab w:val="left" w:pos="926"/>
        </w:tabs>
        <w:ind w:left="926" w:hanging="360"/>
      </w:pPr>
      <w:rPr>
        <w:rFonts w:ascii="Symbol" w:hAnsi="Symbol"/>
      </w:rPr>
    </w:lvl>
  </w:abstractNum>
  <w:abstractNum w:abstractNumId="37" w15:restartNumberingAfterBreak="0">
    <w:nsid w:val="766F61CD"/>
    <w:multiLevelType w:val="multilevel"/>
    <w:tmpl w:val="0C07001F"/>
    <w:lvl w:ilvl="0">
      <w:start w:val="1"/>
      <w:numFmt w:val="decimal"/>
      <w:lvlText w:val="%1."/>
      <w:lvlJc w:val="left"/>
      <w:pPr>
        <w:tabs>
          <w:tab w:val="left" w:pos="360"/>
        </w:tabs>
        <w:ind w:left="360" w:hanging="360"/>
      </w:pPr>
      <w:rPr>
        <w:rFonts w:cs="Times New Roman"/>
      </w:rPr>
    </w:lvl>
    <w:lvl w:ilvl="1">
      <w:start w:val="1"/>
      <w:numFmt w:val="decimal"/>
      <w:lvlText w:val="%1.%2."/>
      <w:lvlJc w:val="left"/>
      <w:pPr>
        <w:tabs>
          <w:tab w:val="left" w:pos="792"/>
        </w:tabs>
        <w:ind w:left="792" w:hanging="432"/>
      </w:pPr>
      <w:rPr>
        <w:rFonts w:cs="Times New Roman"/>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8" w15:restartNumberingAfterBreak="0">
    <w:nsid w:val="768D45B4"/>
    <w:multiLevelType w:val="singleLevel"/>
    <w:tmpl w:val="A8683528"/>
    <w:lvl w:ilvl="0">
      <w:start w:val="1"/>
      <w:numFmt w:val="decimal"/>
      <w:lvlText w:val="%1."/>
      <w:lvlJc w:val="left"/>
      <w:pPr>
        <w:tabs>
          <w:tab w:val="left" w:pos="360"/>
        </w:tabs>
        <w:ind w:left="360" w:hanging="360"/>
      </w:pPr>
      <w:rPr>
        <w:rFonts w:cs="Times New Roman"/>
      </w:rPr>
    </w:lvl>
  </w:abstractNum>
  <w:abstractNum w:abstractNumId="39" w15:restartNumberingAfterBreak="0">
    <w:nsid w:val="77375974"/>
    <w:multiLevelType w:val="singleLevel"/>
    <w:tmpl w:val="FA460F04"/>
    <w:lvl w:ilvl="0">
      <w:start w:val="1"/>
      <w:numFmt w:val="decimal"/>
      <w:lvlText w:val="%1."/>
      <w:lvlJc w:val="left"/>
      <w:pPr>
        <w:tabs>
          <w:tab w:val="left" w:pos="1492"/>
        </w:tabs>
        <w:ind w:left="1492" w:hanging="360"/>
      </w:pPr>
      <w:rPr>
        <w:rFonts w:cs="Times New Roman"/>
      </w:rPr>
    </w:lvl>
  </w:abstractNum>
  <w:abstractNum w:abstractNumId="40" w15:restartNumberingAfterBreak="0">
    <w:nsid w:val="77EA1037"/>
    <w:multiLevelType w:val="singleLevel"/>
    <w:tmpl w:val="6944B280"/>
    <w:lvl w:ilvl="0">
      <w:start w:val="1"/>
      <w:numFmt w:val="decimal"/>
      <w:lvlText w:val="%1."/>
      <w:lvlJc w:val="left"/>
      <w:pPr>
        <w:tabs>
          <w:tab w:val="left" w:pos="643"/>
        </w:tabs>
        <w:ind w:left="643" w:hanging="360"/>
      </w:pPr>
      <w:rPr>
        <w:rFonts w:cs="Times New Roman"/>
      </w:rPr>
    </w:lvl>
  </w:abstractNum>
  <w:num w:numId="1">
    <w:abstractNumId w:val="15"/>
  </w:num>
  <w:num w:numId="2">
    <w:abstractNumId w:val="17"/>
  </w:num>
  <w:num w:numId="3">
    <w:abstractNumId w:val="34"/>
  </w:num>
  <w:num w:numId="4">
    <w:abstractNumId w:val="31"/>
  </w:num>
  <w:num w:numId="5">
    <w:abstractNumId w:val="11"/>
  </w:num>
  <w:num w:numId="6">
    <w:abstractNumId w:val="38"/>
  </w:num>
  <w:num w:numId="7">
    <w:abstractNumId w:val="32"/>
  </w:num>
  <w:num w:numId="8">
    <w:abstractNumId w:val="18"/>
  </w:num>
  <w:num w:numId="9">
    <w:abstractNumId w:val="20"/>
  </w:num>
  <w:num w:numId="10">
    <w:abstractNumId w:val="40"/>
  </w:num>
  <w:num w:numId="11">
    <w:abstractNumId w:val="23"/>
  </w:num>
  <w:num w:numId="12">
    <w:abstractNumId w:val="13"/>
  </w:num>
  <w:num w:numId="13">
    <w:abstractNumId w:val="24"/>
  </w:num>
  <w:num w:numId="14">
    <w:abstractNumId w:val="22"/>
  </w:num>
  <w:num w:numId="15">
    <w:abstractNumId w:val="10"/>
  </w:num>
  <w:num w:numId="16">
    <w:abstractNumId w:val="25"/>
  </w:num>
  <w:num w:numId="17">
    <w:abstractNumId w:val="29"/>
  </w:num>
  <w:num w:numId="18">
    <w:abstractNumId w:val="26"/>
  </w:num>
  <w:num w:numId="19">
    <w:abstractNumId w:val="21"/>
  </w:num>
  <w:num w:numId="20">
    <w:abstractNumId w:val="37"/>
  </w:num>
  <w:num w:numId="21">
    <w:abstractNumId w:val="27"/>
  </w:num>
  <w:num w:numId="22">
    <w:abstractNumId w:val="14"/>
  </w:num>
  <w:num w:numId="23">
    <w:abstractNumId w:val="35"/>
  </w:num>
  <w:num w:numId="24">
    <w:abstractNumId w:val="36"/>
  </w:num>
  <w:num w:numId="25">
    <w:abstractNumId w:val="33"/>
  </w:num>
  <w:num w:numId="26">
    <w:abstractNumId w:val="28"/>
  </w:num>
  <w:num w:numId="27">
    <w:abstractNumId w:val="19"/>
  </w:num>
  <w:num w:numId="28">
    <w:abstractNumId w:val="12"/>
  </w:num>
  <w:num w:numId="29">
    <w:abstractNumId w:val="30"/>
  </w:num>
  <w:num w:numId="30">
    <w:abstractNumId w:val="16"/>
  </w:num>
  <w:num w:numId="31">
    <w:abstractNumId w:val="39"/>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doNotTrackFormatting/>
  <w:defaultTabStop w:val="708"/>
  <w:hyphenationZone w:val="425"/>
  <w:clickAndTypeStyle w:val="51Abs"/>
  <w:drawingGridHorizontalSpacing w:val="108"/>
  <w:drawingGridVerticalSpacing w:val="108"/>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recht.Client.ClientCertificateThumbprint" w:val="30A450AAF2D80647E15AA54D57F170AA50A16744"/>
    <w:docVar w:name="Erecht.Web.BaseUrl" w:val="https://portal.lfrz.at/at.gv.bmdw.erecht-p"/>
  </w:docVars>
  <w:rsids>
    <w:rsidRoot w:val="00DB368E"/>
    <w:rsid w:val="00006C3D"/>
    <w:rsid w:val="000427C5"/>
    <w:rsid w:val="00115D95"/>
    <w:rsid w:val="001307A3"/>
    <w:rsid w:val="00194CE9"/>
    <w:rsid w:val="001F31E1"/>
    <w:rsid w:val="00253AF6"/>
    <w:rsid w:val="004C06E7"/>
    <w:rsid w:val="0051356F"/>
    <w:rsid w:val="005C03CC"/>
    <w:rsid w:val="00624777"/>
    <w:rsid w:val="006A673E"/>
    <w:rsid w:val="006C201A"/>
    <w:rsid w:val="008276F6"/>
    <w:rsid w:val="008B67A7"/>
    <w:rsid w:val="00910EB4"/>
    <w:rsid w:val="00933C6C"/>
    <w:rsid w:val="00994567"/>
    <w:rsid w:val="009F2D52"/>
    <w:rsid w:val="00A421F6"/>
    <w:rsid w:val="00AD3022"/>
    <w:rsid w:val="00B65837"/>
    <w:rsid w:val="00B83F01"/>
    <w:rsid w:val="00BE0375"/>
    <w:rsid w:val="00D00167"/>
    <w:rsid w:val="00DB368E"/>
    <w:rsid w:val="00ED2404"/>
    <w:rsid w:val="00F33FB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02905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fr-FR"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locked="1" w:semiHidden="1" w:unhideWhenUsed="1"/>
    <w:lsdException w:name="Plain Text"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locked="1"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qFormat="1"/>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1" w:semiHidden="1" w:uiPriority="37" w:unhideWhenUsed="1"/>
    <w:lsdException w:name="TOC Heading" w:locked="1"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0167"/>
    <w:pPr>
      <w:spacing w:after="0" w:line="240" w:lineRule="auto"/>
    </w:pPr>
    <w:rPr>
      <w:rFonts w:ascii="Times New Roman" w:eastAsiaTheme="minorEastAsia" w:hAnsi="Times New Roman" w:cs="Times New Roman"/>
      <w:color w:val="000000"/>
      <w:sz w:val="24"/>
      <w:szCs w:val="20"/>
    </w:rPr>
  </w:style>
  <w:style w:type="paragraph" w:styleId="Heading1">
    <w:name w:val="heading 1"/>
    <w:basedOn w:val="Normal"/>
    <w:next w:val="Normal"/>
    <w:link w:val="Heading1Char"/>
    <w:uiPriority w:val="9"/>
    <w:qFormat/>
    <w:locked/>
    <w:pPr>
      <w:keepNext/>
      <w:spacing w:before="240" w:after="60"/>
      <w:outlineLvl w:val="0"/>
    </w:pPr>
    <w:rPr>
      <w:rFonts w:ascii="Arial" w:hAnsi="Arial" w:cs="Arial"/>
      <w:b/>
      <w:sz w:val="28"/>
    </w:rPr>
  </w:style>
  <w:style w:type="paragraph" w:styleId="Heading2">
    <w:name w:val="heading 2"/>
    <w:basedOn w:val="Normal"/>
    <w:next w:val="Normal"/>
    <w:link w:val="Heading2Char"/>
    <w:uiPriority w:val="9"/>
    <w:qFormat/>
    <w:locked/>
    <w:pPr>
      <w:keepNext/>
      <w:spacing w:before="240" w:after="60"/>
      <w:outlineLvl w:val="1"/>
    </w:pPr>
    <w:rPr>
      <w:rFonts w:ascii="Arial" w:hAnsi="Arial" w:cs="Arial"/>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cs="Arial"/>
      <w:b/>
      <w:sz w:val="28"/>
    </w:rPr>
  </w:style>
  <w:style w:type="character" w:customStyle="1" w:styleId="Heading2Char">
    <w:name w:val="Heading 2 Char"/>
    <w:basedOn w:val="DefaultParagraphFont"/>
    <w:link w:val="Heading2"/>
    <w:uiPriority w:val="9"/>
    <w:locked/>
    <w:rPr>
      <w:rFonts w:ascii="Arial" w:hAnsi="Arial" w:cs="Arial"/>
      <w:b/>
      <w:i/>
      <w:sz w:val="24"/>
    </w:rPr>
  </w:style>
  <w:style w:type="table" w:customStyle="1" w:styleId="TableNormal1">
    <w:name w:val="Table Normal1"/>
    <w:uiPriority w:val="59"/>
    <w:locked/>
    <w:rPr>
      <w:rFonts w:cs="Calibri"/>
      <w:szCs w:val="20"/>
      <w:lang w:eastAsia="de-AT"/>
    </w:rPr>
    <w:tblPr>
      <w:tblCellMar>
        <w:top w:w="0" w:type="dxa"/>
        <w:left w:w="108" w:type="dxa"/>
        <w:bottom w:w="0" w:type="dxa"/>
        <w:right w:w="108" w:type="dxa"/>
      </w:tblCellMar>
    </w:tblPr>
  </w:style>
  <w:style w:type="paragraph" w:customStyle="1" w:styleId="00LegStandard">
    <w:name w:val="00_LegStandard"/>
    <w:locked/>
    <w:rsid w:val="00D00167"/>
    <w:pPr>
      <w:spacing w:after="0" w:line="220" w:lineRule="exact"/>
      <w:jc w:val="both"/>
    </w:pPr>
    <w:rPr>
      <w:rFonts w:ascii="Times New Roman" w:hAnsi="Times New Roman" w:cs="Times New Roman"/>
      <w:color w:val="000000"/>
      <w:sz w:val="20"/>
      <w:szCs w:val="20"/>
    </w:rPr>
  </w:style>
  <w:style w:type="paragraph" w:customStyle="1" w:styleId="01Undefiniert">
    <w:name w:val="01_Undefiniert"/>
    <w:basedOn w:val="00LegStandard"/>
    <w:locked/>
    <w:rsid w:val="00D00167"/>
  </w:style>
  <w:style w:type="paragraph" w:customStyle="1" w:styleId="02BDGesBlatt">
    <w:name w:val="02_BDGesBlatt"/>
    <w:basedOn w:val="00LegStandard"/>
    <w:next w:val="03RepOesterr"/>
    <w:rsid w:val="00D00167"/>
    <w:pPr>
      <w:spacing w:before="280" w:line="700" w:lineRule="exact"/>
      <w:jc w:val="center"/>
      <w:outlineLvl w:val="0"/>
    </w:pPr>
    <w:rPr>
      <w:b/>
      <w:caps/>
      <w:spacing w:val="26"/>
      <w:sz w:val="70"/>
    </w:rPr>
  </w:style>
  <w:style w:type="paragraph" w:customStyle="1" w:styleId="03RepOesterr">
    <w:name w:val="03_RepOesterr"/>
    <w:basedOn w:val="00LegStandard"/>
    <w:next w:val="04AusgabeDaten"/>
    <w:rsid w:val="00D00167"/>
    <w:pPr>
      <w:spacing w:before="100" w:line="440" w:lineRule="exact"/>
      <w:jc w:val="center"/>
    </w:pPr>
    <w:rPr>
      <w:b/>
      <w:caps/>
      <w:spacing w:val="20"/>
      <w:sz w:val="40"/>
      <w:lang w:eastAsia="de-AT"/>
    </w:rPr>
  </w:style>
  <w:style w:type="paragraph" w:customStyle="1" w:styleId="04AusgabeDaten">
    <w:name w:val="04_AusgabeDaten"/>
    <w:basedOn w:val="00LegStandard"/>
    <w:next w:val="05Kurztitel"/>
    <w:rsid w:val="00D00167"/>
    <w:pPr>
      <w:pBdr>
        <w:top w:val="single" w:sz="12" w:space="0" w:color="auto"/>
        <w:bottom w:val="single" w:sz="12" w:space="2" w:color="auto"/>
      </w:pBdr>
      <w:tabs>
        <w:tab w:val="left" w:pos="0"/>
        <w:tab w:val="center" w:pos="4253"/>
        <w:tab w:val="right" w:pos="8460"/>
      </w:tabs>
      <w:spacing w:before="300" w:after="160" w:line="280" w:lineRule="exact"/>
    </w:pPr>
    <w:rPr>
      <w:b/>
      <w:bCs/>
      <w:sz w:val="24"/>
      <w:lang w:eastAsia="de-AT"/>
    </w:rPr>
  </w:style>
  <w:style w:type="paragraph" w:customStyle="1" w:styleId="11Titel">
    <w:name w:val="11_Titel"/>
    <w:basedOn w:val="00LegStandard"/>
    <w:next w:val="12PromKlEinlSatz"/>
    <w:rsid w:val="00D00167"/>
    <w:pPr>
      <w:suppressAutoHyphens/>
      <w:spacing w:before="480"/>
    </w:pPr>
    <w:rPr>
      <w:b/>
      <w:sz w:val="22"/>
    </w:rPr>
  </w:style>
  <w:style w:type="paragraph" w:customStyle="1" w:styleId="05Kurztitel">
    <w:name w:val="05_Kurztitel"/>
    <w:basedOn w:val="11Titel"/>
    <w:rsid w:val="00D00167"/>
    <w:pPr>
      <w:pBdr>
        <w:bottom w:val="single" w:sz="12" w:space="3" w:color="auto"/>
      </w:pBdr>
      <w:spacing w:before="40" w:line="240" w:lineRule="auto"/>
      <w:ind w:left="1985" w:hanging="1985"/>
    </w:pPr>
    <w:rPr>
      <w:sz w:val="20"/>
    </w:rPr>
  </w:style>
  <w:style w:type="paragraph" w:customStyle="1" w:styleId="09Abstand">
    <w:name w:val="09_Abstand"/>
    <w:basedOn w:val="00LegStandard"/>
    <w:rsid w:val="00D00167"/>
    <w:pPr>
      <w:spacing w:line="200" w:lineRule="exact"/>
      <w:jc w:val="left"/>
    </w:pPr>
  </w:style>
  <w:style w:type="paragraph" w:customStyle="1" w:styleId="10Entwurf">
    <w:name w:val="10_Entwurf"/>
    <w:basedOn w:val="00LegStandard"/>
    <w:next w:val="11Titel"/>
    <w:rsid w:val="00D00167"/>
    <w:pPr>
      <w:spacing w:before="1600" w:after="1570"/>
      <w:jc w:val="center"/>
    </w:pPr>
    <w:rPr>
      <w:spacing w:val="26"/>
    </w:rPr>
  </w:style>
  <w:style w:type="paragraph" w:customStyle="1" w:styleId="12PromKlEinlSatz">
    <w:name w:val="12_PromKl_EinlSatz"/>
    <w:basedOn w:val="00LegStandard"/>
    <w:next w:val="41UeberschrG1"/>
    <w:rsid w:val="00D00167"/>
    <w:pPr>
      <w:keepNext/>
      <w:spacing w:before="160"/>
      <w:ind w:firstLine="397"/>
    </w:pPr>
  </w:style>
  <w:style w:type="paragraph" w:customStyle="1" w:styleId="18AbbildungoderObjekt">
    <w:name w:val="18_Abbildung_oder_Objekt"/>
    <w:basedOn w:val="00LegStandard"/>
    <w:next w:val="51Abs"/>
    <w:rsid w:val="00D00167"/>
    <w:pPr>
      <w:spacing w:before="120" w:after="120" w:line="240" w:lineRule="auto"/>
      <w:jc w:val="left"/>
    </w:pPr>
  </w:style>
  <w:style w:type="paragraph" w:customStyle="1" w:styleId="19Beschriftung">
    <w:name w:val="19_Beschriftung"/>
    <w:basedOn w:val="00LegStandard"/>
    <w:next w:val="51Abs"/>
    <w:rsid w:val="00D00167"/>
    <w:pPr>
      <w:spacing w:after="120"/>
      <w:jc w:val="left"/>
    </w:pPr>
  </w:style>
  <w:style w:type="paragraph" w:customStyle="1" w:styleId="21NovAo1">
    <w:name w:val="21_NovAo1"/>
    <w:basedOn w:val="00LegStandard"/>
    <w:next w:val="23SatznachNovao"/>
    <w:qFormat/>
    <w:rsid w:val="00D00167"/>
    <w:pPr>
      <w:keepNext/>
      <w:spacing w:before="160"/>
      <w:outlineLvl w:val="2"/>
    </w:pPr>
    <w:rPr>
      <w:i/>
    </w:rPr>
  </w:style>
  <w:style w:type="paragraph" w:customStyle="1" w:styleId="22NovAo2">
    <w:name w:val="22_NovAo2"/>
    <w:basedOn w:val="21NovAo1"/>
    <w:qFormat/>
    <w:rsid w:val="00D00167"/>
    <w:pPr>
      <w:keepNext w:val="0"/>
    </w:pPr>
  </w:style>
  <w:style w:type="paragraph" w:customStyle="1" w:styleId="23SatznachNovao">
    <w:name w:val="23_Satz_(nach_Novao)"/>
    <w:basedOn w:val="00LegStandard"/>
    <w:next w:val="21NovAo1"/>
    <w:qFormat/>
    <w:rsid w:val="00D00167"/>
    <w:pPr>
      <w:spacing w:before="80"/>
    </w:pPr>
  </w:style>
  <w:style w:type="paragraph" w:customStyle="1" w:styleId="30InhaltUeberschrift">
    <w:name w:val="30_InhaltUeberschrift"/>
    <w:basedOn w:val="00LegStandard"/>
    <w:next w:val="31InhaltSpalte"/>
    <w:rsid w:val="00D00167"/>
    <w:pPr>
      <w:keepNext/>
      <w:spacing w:before="320" w:after="160"/>
      <w:jc w:val="center"/>
      <w:outlineLvl w:val="0"/>
    </w:pPr>
    <w:rPr>
      <w:b/>
    </w:rPr>
  </w:style>
  <w:style w:type="paragraph" w:customStyle="1" w:styleId="31InhaltSpalte">
    <w:name w:val="31_InhaltSpalte"/>
    <w:basedOn w:val="00LegStandard"/>
    <w:next w:val="32InhaltEintrag"/>
    <w:rsid w:val="00D00167"/>
    <w:pPr>
      <w:keepNext/>
      <w:tabs>
        <w:tab w:val="center" w:pos="510"/>
        <w:tab w:val="center" w:pos="4082"/>
      </w:tabs>
      <w:suppressAutoHyphens/>
      <w:spacing w:before="80" w:after="80"/>
      <w:jc w:val="center"/>
    </w:pPr>
    <w:rPr>
      <w:b/>
    </w:rPr>
  </w:style>
  <w:style w:type="paragraph" w:customStyle="1" w:styleId="32InhaltEintrag">
    <w:name w:val="32_InhaltEintrag"/>
    <w:basedOn w:val="00LegStandard"/>
    <w:rsid w:val="00D00167"/>
    <w:pPr>
      <w:jc w:val="left"/>
    </w:pPr>
  </w:style>
  <w:style w:type="paragraph" w:customStyle="1" w:styleId="41UeberschrG1">
    <w:name w:val="41_UeberschrG1"/>
    <w:basedOn w:val="00LegStandard"/>
    <w:next w:val="43UeberschrG2"/>
    <w:rsid w:val="00D00167"/>
    <w:pPr>
      <w:keepNext/>
      <w:spacing w:before="320"/>
      <w:jc w:val="center"/>
      <w:outlineLvl w:val="0"/>
    </w:pPr>
    <w:rPr>
      <w:b/>
      <w:sz w:val="22"/>
    </w:rPr>
  </w:style>
  <w:style w:type="paragraph" w:customStyle="1" w:styleId="42UeberschrG1-">
    <w:name w:val="42_UeberschrG1-"/>
    <w:basedOn w:val="00LegStandard"/>
    <w:next w:val="43UeberschrG2"/>
    <w:rsid w:val="00D00167"/>
    <w:pPr>
      <w:keepNext/>
      <w:spacing w:before="160"/>
      <w:jc w:val="center"/>
      <w:outlineLvl w:val="0"/>
    </w:pPr>
    <w:rPr>
      <w:b/>
      <w:sz w:val="22"/>
    </w:rPr>
  </w:style>
  <w:style w:type="paragraph" w:customStyle="1" w:styleId="43UeberschrG2">
    <w:name w:val="43_UeberschrG2"/>
    <w:basedOn w:val="00LegStandard"/>
    <w:next w:val="45UeberschrPara"/>
    <w:rsid w:val="00D00167"/>
    <w:pPr>
      <w:keepNext/>
      <w:spacing w:before="80" w:after="160"/>
      <w:jc w:val="center"/>
      <w:outlineLvl w:val="1"/>
    </w:pPr>
    <w:rPr>
      <w:b/>
      <w:sz w:val="22"/>
    </w:rPr>
  </w:style>
  <w:style w:type="paragraph" w:customStyle="1" w:styleId="44UeberschrArt">
    <w:name w:val="44_UeberschrArt+"/>
    <w:basedOn w:val="00LegStandard"/>
    <w:next w:val="51Abs"/>
    <w:rsid w:val="00D00167"/>
    <w:pPr>
      <w:keepNext/>
      <w:spacing w:before="160"/>
      <w:jc w:val="center"/>
      <w:outlineLvl w:val="2"/>
    </w:pPr>
    <w:rPr>
      <w:b/>
    </w:rPr>
  </w:style>
  <w:style w:type="paragraph" w:customStyle="1" w:styleId="45UeberschrPara">
    <w:name w:val="45_UeberschrPara"/>
    <w:basedOn w:val="00LegStandard"/>
    <w:next w:val="51Abs"/>
    <w:qFormat/>
    <w:rsid w:val="00D00167"/>
    <w:pPr>
      <w:keepNext/>
      <w:spacing w:before="80"/>
      <w:jc w:val="center"/>
    </w:pPr>
    <w:rPr>
      <w:b/>
    </w:rPr>
  </w:style>
  <w:style w:type="paragraph" w:customStyle="1" w:styleId="51Abs">
    <w:name w:val="51_Abs"/>
    <w:basedOn w:val="00LegStandard"/>
    <w:link w:val="51AbsZchn"/>
    <w:qFormat/>
    <w:rsid w:val="00D00167"/>
    <w:pPr>
      <w:spacing w:before="80"/>
      <w:ind w:firstLine="397"/>
    </w:pPr>
  </w:style>
  <w:style w:type="paragraph" w:customStyle="1" w:styleId="52Ziffere1">
    <w:name w:val="52_Ziffer_e1"/>
    <w:basedOn w:val="00LegStandard"/>
    <w:qFormat/>
    <w:rsid w:val="00D00167"/>
    <w:pPr>
      <w:tabs>
        <w:tab w:val="right" w:pos="624"/>
        <w:tab w:val="left" w:pos="680"/>
      </w:tabs>
      <w:spacing w:before="40"/>
      <w:ind w:left="680" w:hanging="680"/>
    </w:pPr>
  </w:style>
  <w:style w:type="paragraph" w:customStyle="1" w:styleId="52Ziffere2">
    <w:name w:val="52_Ziffer_e2"/>
    <w:basedOn w:val="00LegStandard"/>
    <w:rsid w:val="00D00167"/>
    <w:pPr>
      <w:tabs>
        <w:tab w:val="right" w:pos="851"/>
        <w:tab w:val="left" w:pos="907"/>
      </w:tabs>
      <w:spacing w:before="40"/>
      <w:ind w:left="907" w:hanging="907"/>
    </w:pPr>
  </w:style>
  <w:style w:type="paragraph" w:customStyle="1" w:styleId="52Ziffere3">
    <w:name w:val="52_Ziffer_e3"/>
    <w:basedOn w:val="00LegStandard"/>
    <w:rsid w:val="00D00167"/>
    <w:pPr>
      <w:tabs>
        <w:tab w:val="right" w:pos="1191"/>
        <w:tab w:val="left" w:pos="1247"/>
      </w:tabs>
      <w:spacing w:before="40"/>
      <w:ind w:left="1247" w:hanging="1247"/>
    </w:pPr>
  </w:style>
  <w:style w:type="paragraph" w:customStyle="1" w:styleId="52Ziffere4">
    <w:name w:val="52_Ziffer_e4"/>
    <w:basedOn w:val="00LegStandard"/>
    <w:rsid w:val="00D00167"/>
    <w:pPr>
      <w:tabs>
        <w:tab w:val="right" w:pos="1588"/>
        <w:tab w:val="left" w:pos="1644"/>
      </w:tabs>
      <w:spacing w:before="40"/>
      <w:ind w:left="1644" w:hanging="1644"/>
    </w:pPr>
  </w:style>
  <w:style w:type="paragraph" w:customStyle="1" w:styleId="52Ziffere5">
    <w:name w:val="52_Ziffer_e5"/>
    <w:basedOn w:val="00LegStandard"/>
    <w:rsid w:val="00D00167"/>
    <w:pPr>
      <w:tabs>
        <w:tab w:val="right" w:pos="1928"/>
        <w:tab w:val="left" w:pos="1985"/>
      </w:tabs>
      <w:spacing w:before="40"/>
      <w:ind w:left="1985" w:hanging="1985"/>
    </w:pPr>
  </w:style>
  <w:style w:type="paragraph" w:customStyle="1" w:styleId="52ZiffermitBetrag">
    <w:name w:val="52_Ziffer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style>
  <w:style w:type="paragraph" w:customStyle="1" w:styleId="52aTZiffermitBetragTGUE">
    <w:name w:val="52aT_Ziffer_mit_Betrag_TGUE"/>
    <w:basedOn w:val="52ZiffermitBetrag"/>
    <w:rsid w:val="00D00167"/>
    <w:pPr>
      <w:tabs>
        <w:tab w:val="clear" w:pos="6663"/>
        <w:tab w:val="clear" w:pos="8505"/>
        <w:tab w:val="right" w:leader="dot" w:pos="4678"/>
        <w:tab w:val="right" w:leader="dot" w:pos="6521"/>
      </w:tabs>
    </w:pPr>
  </w:style>
  <w:style w:type="paragraph" w:customStyle="1" w:styleId="53Literae1">
    <w:name w:val="53_Litera_e1"/>
    <w:basedOn w:val="00LegStandard"/>
    <w:rsid w:val="00D00167"/>
    <w:pPr>
      <w:tabs>
        <w:tab w:val="right" w:pos="624"/>
        <w:tab w:val="left" w:pos="680"/>
      </w:tabs>
      <w:spacing w:before="40"/>
      <w:ind w:left="680" w:hanging="680"/>
    </w:pPr>
  </w:style>
  <w:style w:type="paragraph" w:customStyle="1" w:styleId="53Literae2">
    <w:name w:val="53_Litera_e2"/>
    <w:basedOn w:val="00LegStandard"/>
    <w:qFormat/>
    <w:rsid w:val="00D00167"/>
    <w:pPr>
      <w:tabs>
        <w:tab w:val="right" w:pos="851"/>
        <w:tab w:val="left" w:pos="907"/>
      </w:tabs>
      <w:spacing w:before="40"/>
      <w:ind w:left="907" w:hanging="907"/>
    </w:pPr>
  </w:style>
  <w:style w:type="paragraph" w:customStyle="1" w:styleId="53Literae3">
    <w:name w:val="53_Litera_e3"/>
    <w:basedOn w:val="00LegStandard"/>
    <w:rsid w:val="00D00167"/>
    <w:pPr>
      <w:tabs>
        <w:tab w:val="right" w:pos="1191"/>
        <w:tab w:val="left" w:pos="1247"/>
      </w:tabs>
      <w:spacing w:before="40"/>
      <w:ind w:left="1247" w:hanging="1247"/>
    </w:pPr>
  </w:style>
  <w:style w:type="paragraph" w:customStyle="1" w:styleId="53Literae4">
    <w:name w:val="53_Litera_e4"/>
    <w:basedOn w:val="00LegStandard"/>
    <w:rsid w:val="00D00167"/>
    <w:pPr>
      <w:tabs>
        <w:tab w:val="right" w:pos="1588"/>
        <w:tab w:val="left" w:pos="1644"/>
      </w:tabs>
      <w:spacing w:before="40"/>
      <w:ind w:left="1644" w:hanging="1644"/>
    </w:pPr>
  </w:style>
  <w:style w:type="paragraph" w:customStyle="1" w:styleId="53Literae5">
    <w:name w:val="53_Litera_e5"/>
    <w:basedOn w:val="00LegStandard"/>
    <w:rsid w:val="00D00167"/>
    <w:pPr>
      <w:tabs>
        <w:tab w:val="right" w:pos="1928"/>
        <w:tab w:val="left" w:pos="1985"/>
      </w:tabs>
      <w:spacing w:before="40"/>
      <w:ind w:left="1985" w:hanging="1985"/>
    </w:pPr>
  </w:style>
  <w:style w:type="paragraph" w:customStyle="1" w:styleId="53LiteramitBetrag">
    <w:name w:val="53_Litera_mit_Betrag"/>
    <w:basedOn w:val="52ZiffermitBetrag"/>
    <w:rsid w:val="00D00167"/>
    <w:pPr>
      <w:tabs>
        <w:tab w:val="clear" w:pos="624"/>
        <w:tab w:val="clear" w:pos="680"/>
        <w:tab w:val="right" w:pos="851"/>
        <w:tab w:val="left" w:pos="907"/>
      </w:tabs>
      <w:ind w:left="907" w:right="1066" w:hanging="907"/>
    </w:pPr>
  </w:style>
  <w:style w:type="paragraph" w:customStyle="1" w:styleId="53aTLiteramitBetragTGUE">
    <w:name w:val="53aT_Litera_mit_Betrag_TGUE"/>
    <w:basedOn w:val="53LiteramitBetrag"/>
    <w:rsid w:val="00D00167"/>
    <w:pPr>
      <w:tabs>
        <w:tab w:val="clear" w:pos="6663"/>
        <w:tab w:val="clear" w:pos="8505"/>
        <w:tab w:val="right" w:leader="dot" w:pos="4678"/>
        <w:tab w:val="right" w:leader="dot" w:pos="6521"/>
      </w:tabs>
    </w:pPr>
  </w:style>
  <w:style w:type="paragraph" w:customStyle="1" w:styleId="54Subliterae1">
    <w:name w:val="54_Sublitera_e1"/>
    <w:basedOn w:val="00LegStandard"/>
    <w:rsid w:val="00D00167"/>
    <w:pPr>
      <w:tabs>
        <w:tab w:val="right" w:pos="624"/>
        <w:tab w:val="left" w:pos="680"/>
      </w:tabs>
      <w:spacing w:before="40"/>
      <w:ind w:left="680" w:hanging="680"/>
    </w:pPr>
  </w:style>
  <w:style w:type="paragraph" w:customStyle="1" w:styleId="54Subliterae2">
    <w:name w:val="54_Sublitera_e2"/>
    <w:basedOn w:val="00LegStandard"/>
    <w:rsid w:val="00D00167"/>
    <w:pPr>
      <w:tabs>
        <w:tab w:val="right" w:pos="851"/>
        <w:tab w:val="left" w:pos="907"/>
      </w:tabs>
      <w:spacing w:before="40"/>
      <w:ind w:left="907" w:hanging="907"/>
    </w:pPr>
  </w:style>
  <w:style w:type="paragraph" w:customStyle="1" w:styleId="54Subliterae3">
    <w:name w:val="54_Sublitera_e3"/>
    <w:basedOn w:val="00LegStandard"/>
    <w:rsid w:val="00D00167"/>
    <w:pPr>
      <w:tabs>
        <w:tab w:val="right" w:pos="1191"/>
        <w:tab w:val="left" w:pos="1247"/>
      </w:tabs>
      <w:spacing w:before="40"/>
      <w:ind w:left="1247" w:hanging="1247"/>
    </w:pPr>
  </w:style>
  <w:style w:type="paragraph" w:customStyle="1" w:styleId="54Subliterae4">
    <w:name w:val="54_Sublitera_e4"/>
    <w:basedOn w:val="00LegStandard"/>
    <w:rsid w:val="00D00167"/>
    <w:pPr>
      <w:tabs>
        <w:tab w:val="right" w:pos="1588"/>
        <w:tab w:val="left" w:pos="1644"/>
      </w:tabs>
      <w:spacing w:before="40"/>
      <w:ind w:left="1644" w:hanging="1644"/>
    </w:pPr>
  </w:style>
  <w:style w:type="paragraph" w:customStyle="1" w:styleId="54Subliterae5">
    <w:name w:val="54_Sublitera_e5"/>
    <w:basedOn w:val="00LegStandard"/>
    <w:rsid w:val="00D00167"/>
    <w:pPr>
      <w:tabs>
        <w:tab w:val="right" w:pos="1928"/>
        <w:tab w:val="left" w:pos="1985"/>
      </w:tabs>
      <w:spacing w:before="40"/>
      <w:ind w:left="1985" w:hanging="1985"/>
    </w:pPr>
  </w:style>
  <w:style w:type="paragraph" w:customStyle="1" w:styleId="54SubliteramitBetrag">
    <w:name w:val="54_Sublitera_mit_Betrag"/>
    <w:basedOn w:val="52ZiffermitBetrag"/>
    <w:rsid w:val="00D00167"/>
    <w:pPr>
      <w:tabs>
        <w:tab w:val="clear" w:pos="624"/>
        <w:tab w:val="clear" w:pos="680"/>
        <w:tab w:val="right" w:pos="1191"/>
        <w:tab w:val="left" w:pos="1247"/>
      </w:tabs>
      <w:ind w:left="1247" w:right="1066" w:hanging="1247"/>
    </w:pPr>
  </w:style>
  <w:style w:type="paragraph" w:customStyle="1" w:styleId="54aStriche1">
    <w:name w:val="54a_Strich_e1"/>
    <w:basedOn w:val="00LegStandard"/>
    <w:rsid w:val="00D00167"/>
    <w:pPr>
      <w:tabs>
        <w:tab w:val="right" w:pos="624"/>
        <w:tab w:val="left" w:pos="680"/>
      </w:tabs>
      <w:spacing w:before="40"/>
      <w:ind w:left="680" w:hanging="680"/>
    </w:pPr>
  </w:style>
  <w:style w:type="paragraph" w:customStyle="1" w:styleId="54aStriche2">
    <w:name w:val="54a_Strich_e2"/>
    <w:basedOn w:val="00LegStandard"/>
    <w:rsid w:val="00D00167"/>
    <w:pPr>
      <w:tabs>
        <w:tab w:val="right" w:pos="851"/>
        <w:tab w:val="left" w:pos="907"/>
      </w:tabs>
      <w:spacing w:before="40"/>
      <w:ind w:left="907" w:hanging="907"/>
    </w:pPr>
  </w:style>
  <w:style w:type="paragraph" w:customStyle="1" w:styleId="54aStriche3">
    <w:name w:val="54a_Strich_e3"/>
    <w:basedOn w:val="00LegStandard"/>
    <w:qFormat/>
    <w:rsid w:val="00D00167"/>
    <w:pPr>
      <w:tabs>
        <w:tab w:val="right" w:pos="1191"/>
        <w:tab w:val="left" w:pos="1247"/>
      </w:tabs>
      <w:spacing w:before="40"/>
      <w:ind w:left="1247" w:hanging="1247"/>
    </w:pPr>
  </w:style>
  <w:style w:type="paragraph" w:customStyle="1" w:styleId="54aStriche4">
    <w:name w:val="54a_Strich_e4"/>
    <w:basedOn w:val="00LegStandard"/>
    <w:rsid w:val="00D00167"/>
    <w:pPr>
      <w:tabs>
        <w:tab w:val="right" w:pos="1588"/>
        <w:tab w:val="left" w:pos="1644"/>
      </w:tabs>
      <w:spacing w:before="40"/>
      <w:ind w:left="1644" w:hanging="1644"/>
    </w:pPr>
  </w:style>
  <w:style w:type="paragraph" w:customStyle="1" w:styleId="54aStriche5">
    <w:name w:val="54a_Strich_e5"/>
    <w:basedOn w:val="00LegStandard"/>
    <w:rsid w:val="00D00167"/>
    <w:pPr>
      <w:tabs>
        <w:tab w:val="right" w:pos="1928"/>
        <w:tab w:val="left" w:pos="1985"/>
      </w:tabs>
      <w:spacing w:before="40"/>
      <w:ind w:left="1985" w:hanging="1985"/>
    </w:pPr>
  </w:style>
  <w:style w:type="paragraph" w:customStyle="1" w:styleId="54aStriche6">
    <w:name w:val="54a_Strich_e6"/>
    <w:basedOn w:val="00LegStandard"/>
    <w:rsid w:val="00D00167"/>
    <w:pPr>
      <w:tabs>
        <w:tab w:val="right" w:pos="2268"/>
        <w:tab w:val="left" w:pos="2325"/>
      </w:tabs>
      <w:spacing w:before="40"/>
      <w:ind w:left="2325" w:hanging="2325"/>
    </w:pPr>
  </w:style>
  <w:style w:type="paragraph" w:customStyle="1" w:styleId="54aStriche7">
    <w:name w:val="54a_Strich_e7"/>
    <w:basedOn w:val="00LegStandard"/>
    <w:rsid w:val="00D00167"/>
    <w:pPr>
      <w:tabs>
        <w:tab w:val="right" w:pos="2608"/>
        <w:tab w:val="left" w:pos="2665"/>
      </w:tabs>
      <w:spacing w:before="40"/>
      <w:ind w:left="2665" w:hanging="2665"/>
    </w:pPr>
  </w:style>
  <w:style w:type="paragraph" w:customStyle="1" w:styleId="54aTSubliteramitBetragTGUE">
    <w:name w:val="54aT_Sublitera_mit_Betrag_TGUE"/>
    <w:basedOn w:val="54SubliteramitBetrag"/>
    <w:rsid w:val="00D00167"/>
    <w:pPr>
      <w:tabs>
        <w:tab w:val="clear" w:pos="6663"/>
        <w:tab w:val="clear" w:pos="8505"/>
        <w:tab w:val="right" w:leader="dot" w:pos="4678"/>
        <w:tab w:val="right" w:leader="dot" w:pos="6521"/>
      </w:tabs>
    </w:pPr>
  </w:style>
  <w:style w:type="paragraph" w:customStyle="1" w:styleId="55SchlussteilAbs">
    <w:name w:val="55_SchlussteilAbs"/>
    <w:basedOn w:val="00LegStandard"/>
    <w:next w:val="51Abs"/>
    <w:rsid w:val="00D00167"/>
    <w:pPr>
      <w:spacing w:before="40"/>
    </w:pPr>
  </w:style>
  <w:style w:type="paragraph" w:customStyle="1" w:styleId="56SchlussteilZiff">
    <w:name w:val="56_SchlussteilZiff"/>
    <w:basedOn w:val="00LegStandard"/>
    <w:next w:val="51Abs"/>
    <w:rsid w:val="00D00167"/>
    <w:pPr>
      <w:spacing w:before="40"/>
      <w:ind w:left="680"/>
    </w:pPr>
  </w:style>
  <w:style w:type="paragraph" w:customStyle="1" w:styleId="57SchlussteilLit">
    <w:name w:val="57_SchlussteilLit"/>
    <w:basedOn w:val="00LegStandard"/>
    <w:next w:val="51Abs"/>
    <w:rsid w:val="00D00167"/>
    <w:pPr>
      <w:spacing w:before="40"/>
      <w:ind w:left="907"/>
    </w:pPr>
  </w:style>
  <w:style w:type="paragraph" w:customStyle="1" w:styleId="61TabText">
    <w:name w:val="61_TabText"/>
    <w:basedOn w:val="00LegStandard"/>
    <w:rsid w:val="00D00167"/>
    <w:pPr>
      <w:jc w:val="left"/>
    </w:pPr>
  </w:style>
  <w:style w:type="paragraph" w:customStyle="1" w:styleId="61aTabTextRechtsb">
    <w:name w:val="61a_TabTextRechtsb"/>
    <w:basedOn w:val="61TabText"/>
    <w:rsid w:val="00D00167"/>
    <w:pPr>
      <w:jc w:val="right"/>
    </w:pPr>
  </w:style>
  <w:style w:type="paragraph" w:customStyle="1" w:styleId="61bTabTextZentriert">
    <w:name w:val="61b_TabTextZentriert"/>
    <w:basedOn w:val="61TabText"/>
    <w:rsid w:val="00D00167"/>
    <w:pPr>
      <w:jc w:val="center"/>
    </w:pPr>
  </w:style>
  <w:style w:type="paragraph" w:customStyle="1" w:styleId="61cTabTextBlock">
    <w:name w:val="61c_TabTextBlock"/>
    <w:basedOn w:val="61TabText"/>
    <w:rsid w:val="00D00167"/>
    <w:pPr>
      <w:jc w:val="both"/>
    </w:pPr>
  </w:style>
  <w:style w:type="paragraph" w:customStyle="1" w:styleId="62Kopfzeile">
    <w:name w:val="62_Kopfzeile"/>
    <w:basedOn w:val="51Abs"/>
    <w:rsid w:val="00D00167"/>
    <w:pPr>
      <w:tabs>
        <w:tab w:val="center" w:pos="4253"/>
        <w:tab w:val="right" w:pos="8505"/>
      </w:tabs>
      <w:ind w:firstLine="0"/>
    </w:pPr>
  </w:style>
  <w:style w:type="paragraph" w:customStyle="1" w:styleId="65FNText">
    <w:name w:val="65_FN_Text"/>
    <w:basedOn w:val="00LegStandard"/>
    <w:rsid w:val="00D00167"/>
    <w:rPr>
      <w:sz w:val="18"/>
    </w:rPr>
  </w:style>
  <w:style w:type="paragraph" w:customStyle="1" w:styleId="63Fuzeile">
    <w:name w:val="63_Fußzeile"/>
    <w:basedOn w:val="65FNText"/>
    <w:rsid w:val="00D00167"/>
    <w:pPr>
      <w:tabs>
        <w:tab w:val="center" w:pos="4253"/>
        <w:tab w:val="right" w:pos="8505"/>
      </w:tabs>
    </w:pPr>
  </w:style>
  <w:style w:type="character" w:customStyle="1" w:styleId="66FNZeichen">
    <w:name w:val="66_FN_Zeichen"/>
    <w:rsid w:val="00D00167"/>
    <w:rPr>
      <w:sz w:val="20"/>
      <w:vertAlign w:val="superscript"/>
    </w:rPr>
  </w:style>
  <w:style w:type="paragraph" w:customStyle="1" w:styleId="68UnterschrL">
    <w:name w:val="68_UnterschrL"/>
    <w:basedOn w:val="00LegStandard"/>
    <w:rsid w:val="00D00167"/>
    <w:pPr>
      <w:spacing w:before="160"/>
      <w:jc w:val="left"/>
    </w:pPr>
    <w:rPr>
      <w:b/>
    </w:rPr>
  </w:style>
  <w:style w:type="paragraph" w:customStyle="1" w:styleId="69UnterschrM">
    <w:name w:val="69_UnterschrM"/>
    <w:basedOn w:val="68UnterschrL"/>
    <w:rsid w:val="00D00167"/>
    <w:pPr>
      <w:jc w:val="center"/>
    </w:pPr>
  </w:style>
  <w:style w:type="paragraph" w:customStyle="1" w:styleId="71Anlagenbez">
    <w:name w:val="71_Anlagenbez"/>
    <w:basedOn w:val="00LegStandard"/>
    <w:rsid w:val="00D00167"/>
    <w:pPr>
      <w:spacing w:before="160"/>
      <w:jc w:val="right"/>
      <w:outlineLvl w:val="0"/>
    </w:pPr>
    <w:rPr>
      <w:b/>
      <w:sz w:val="22"/>
    </w:rPr>
  </w:style>
  <w:style w:type="paragraph" w:customStyle="1" w:styleId="81ErlUeberschrZ">
    <w:name w:val="81_ErlUeberschrZ"/>
    <w:basedOn w:val="00LegStandard"/>
    <w:next w:val="83ErlText"/>
    <w:rsid w:val="00D00167"/>
    <w:pPr>
      <w:keepNext/>
      <w:spacing w:before="320"/>
      <w:jc w:val="center"/>
      <w:outlineLvl w:val="0"/>
    </w:pPr>
    <w:rPr>
      <w:b/>
      <w:sz w:val="22"/>
    </w:rPr>
  </w:style>
  <w:style w:type="paragraph" w:customStyle="1" w:styleId="82ErlUeberschrL">
    <w:name w:val="82_ErlUeberschrL"/>
    <w:basedOn w:val="00LegStandard"/>
    <w:next w:val="83ErlText"/>
    <w:rsid w:val="00D00167"/>
    <w:pPr>
      <w:keepNext/>
      <w:spacing w:before="80"/>
      <w:outlineLvl w:val="1"/>
    </w:pPr>
    <w:rPr>
      <w:b/>
    </w:rPr>
  </w:style>
  <w:style w:type="paragraph" w:customStyle="1" w:styleId="83ErlText">
    <w:name w:val="83_ErlText"/>
    <w:basedOn w:val="00LegStandard"/>
    <w:rsid w:val="00D00167"/>
    <w:pPr>
      <w:spacing w:before="80"/>
    </w:pPr>
  </w:style>
  <w:style w:type="paragraph" w:customStyle="1" w:styleId="85ErlAufzaehlg">
    <w:name w:val="85_ErlAufzaehlg"/>
    <w:basedOn w:val="83ErlText"/>
    <w:rsid w:val="00D00167"/>
    <w:pPr>
      <w:tabs>
        <w:tab w:val="left" w:pos="397"/>
      </w:tabs>
      <w:ind w:left="397" w:hanging="397"/>
    </w:pPr>
  </w:style>
  <w:style w:type="paragraph" w:customStyle="1" w:styleId="89TGUEUeberschrSpalte">
    <w:name w:val="89_TGUE_UeberschrSpalte"/>
    <w:basedOn w:val="00LegStandard"/>
    <w:rsid w:val="00D00167"/>
    <w:pPr>
      <w:keepNext/>
      <w:spacing w:before="80"/>
      <w:jc w:val="center"/>
    </w:pPr>
    <w:rPr>
      <w:b/>
    </w:rPr>
  </w:style>
  <w:style w:type="character" w:customStyle="1" w:styleId="990Fehler">
    <w:name w:val="990_Fehler"/>
    <w:basedOn w:val="DefaultParagraphFont"/>
    <w:rsid w:val="00D00167"/>
    <w:rPr>
      <w:rFonts w:cs="Times New Roman"/>
      <w:color w:val="FF0000"/>
    </w:rPr>
  </w:style>
  <w:style w:type="character" w:customStyle="1" w:styleId="991GldSymbol">
    <w:name w:val="991_GldSymbol"/>
    <w:rsid w:val="00D00167"/>
    <w:rPr>
      <w:b/>
      <w:color w:val="000000"/>
    </w:rPr>
  </w:style>
  <w:style w:type="character" w:customStyle="1" w:styleId="992Normal">
    <w:name w:val="992_Normal"/>
    <w:rsid w:val="00D00167"/>
    <w:rPr>
      <w:vertAlign w:val="baseline"/>
    </w:rPr>
  </w:style>
  <w:style w:type="character" w:customStyle="1" w:styleId="992bNormalundFett">
    <w:name w:val="992b_Normal_und_Fett"/>
    <w:basedOn w:val="992Normal"/>
    <w:rsid w:val="00D00167"/>
    <w:rPr>
      <w:rFonts w:cs="Times New Roman"/>
      <w:b/>
      <w:vertAlign w:val="baseline"/>
    </w:rPr>
  </w:style>
  <w:style w:type="character" w:customStyle="1" w:styleId="993Fett">
    <w:name w:val="993_Fett"/>
    <w:rsid w:val="00D00167"/>
    <w:rPr>
      <w:b/>
    </w:rPr>
  </w:style>
  <w:style w:type="character" w:customStyle="1" w:styleId="994Kursiv">
    <w:name w:val="994_Kursiv"/>
    <w:rsid w:val="00D00167"/>
    <w:rPr>
      <w:i/>
    </w:rPr>
  </w:style>
  <w:style w:type="character" w:customStyle="1" w:styleId="995Unterstrichen">
    <w:name w:val="995_Unterstrichen"/>
    <w:rsid w:val="00D00167"/>
    <w:rPr>
      <w:u w:val="single"/>
    </w:rPr>
  </w:style>
  <w:style w:type="character" w:customStyle="1" w:styleId="996Gesperrt">
    <w:name w:val="996_Gesperrt"/>
    <w:rsid w:val="00D00167"/>
    <w:rPr>
      <w:spacing w:val="26"/>
    </w:rPr>
  </w:style>
  <w:style w:type="character" w:customStyle="1" w:styleId="997Hoch">
    <w:name w:val="997_Hoch"/>
    <w:rsid w:val="00D00167"/>
    <w:rPr>
      <w:vertAlign w:val="superscript"/>
    </w:rPr>
  </w:style>
  <w:style w:type="character" w:customStyle="1" w:styleId="998Tief">
    <w:name w:val="998_Tief"/>
    <w:rsid w:val="00D00167"/>
    <w:rPr>
      <w:vertAlign w:val="subscript"/>
    </w:rPr>
  </w:style>
  <w:style w:type="character" w:customStyle="1" w:styleId="999FettundKursiv">
    <w:name w:val="999_Fett_und_Kursiv"/>
    <w:basedOn w:val="DefaultParagraphFont"/>
    <w:rsid w:val="00D00167"/>
    <w:rPr>
      <w:rFonts w:cs="Times New Roman"/>
      <w:b/>
      <w:i/>
    </w:rPr>
  </w:style>
  <w:style w:type="character" w:styleId="EndnoteReference">
    <w:name w:val="endnote reference"/>
    <w:basedOn w:val="DefaultParagraphFont"/>
    <w:uiPriority w:val="99"/>
    <w:rsid w:val="00D00167"/>
    <w:rPr>
      <w:rFonts w:cs="Times New Roman"/>
      <w:sz w:val="20"/>
      <w:vertAlign w:val="baseline"/>
    </w:rPr>
  </w:style>
  <w:style w:type="character" w:styleId="FootnoteReference">
    <w:name w:val="footnote reference"/>
    <w:basedOn w:val="DefaultParagraphFont"/>
    <w:uiPriority w:val="99"/>
    <w:rsid w:val="00D00167"/>
    <w:rPr>
      <w:rFonts w:cs="Times New Roman"/>
      <w:sz w:val="20"/>
      <w:vertAlign w:val="baseline"/>
    </w:rPr>
  </w:style>
  <w:style w:type="character" w:styleId="CommentReference">
    <w:name w:val="annotation reference"/>
    <w:basedOn w:val="DefaultParagraphFont"/>
    <w:uiPriority w:val="99"/>
    <w:locked/>
    <w:rsid w:val="00D00167"/>
    <w:rPr>
      <w:rFonts w:cs="Times New Roman"/>
      <w:color w:val="FF0000"/>
      <w:sz w:val="16"/>
      <w:szCs w:val="16"/>
    </w:rPr>
  </w:style>
  <w:style w:type="paragraph" w:customStyle="1" w:styleId="PDAntragsformel">
    <w:name w:val="PD_Antragsformel"/>
    <w:basedOn w:val="Normal"/>
    <w:rsid w:val="00D00167"/>
    <w:pPr>
      <w:spacing w:before="280" w:line="220" w:lineRule="exact"/>
      <w:jc w:val="both"/>
    </w:pPr>
    <w:rPr>
      <w:rFonts w:eastAsia="Times New Roman"/>
      <w:lang w:eastAsia="en-US"/>
    </w:rPr>
  </w:style>
  <w:style w:type="paragraph" w:customStyle="1" w:styleId="PDAllonge">
    <w:name w:val="PD_Allonge"/>
    <w:basedOn w:val="PDAntragsformel"/>
    <w:rsid w:val="00D00167"/>
    <w:pPr>
      <w:spacing w:after="200" w:line="240" w:lineRule="auto"/>
      <w:jc w:val="center"/>
    </w:pPr>
    <w:rPr>
      <w:sz w:val="28"/>
    </w:rPr>
  </w:style>
  <w:style w:type="paragraph" w:customStyle="1" w:styleId="PDAllongeB">
    <w:name w:val="PD_Allonge_B"/>
    <w:basedOn w:val="PDAllonge"/>
    <w:rsid w:val="00D00167"/>
    <w:pPr>
      <w:jc w:val="both"/>
    </w:pPr>
  </w:style>
  <w:style w:type="paragraph" w:customStyle="1" w:styleId="PDAllongeL">
    <w:name w:val="PD_Allonge_L"/>
    <w:basedOn w:val="PDAllonge"/>
    <w:rsid w:val="00D00167"/>
    <w:pPr>
      <w:jc w:val="left"/>
    </w:pPr>
  </w:style>
  <w:style w:type="paragraph" w:customStyle="1" w:styleId="PDBrief">
    <w:name w:val="PD_Brief"/>
    <w:basedOn w:val="00LegStandard"/>
    <w:rsid w:val="00D00167"/>
    <w:pPr>
      <w:spacing w:before="80" w:line="240" w:lineRule="auto"/>
    </w:pPr>
    <w:rPr>
      <w:sz w:val="22"/>
    </w:rPr>
  </w:style>
  <w:style w:type="paragraph" w:customStyle="1" w:styleId="PDDatum">
    <w:name w:val="PD_Datum"/>
    <w:basedOn w:val="PDAntragsformel"/>
    <w:next w:val="Normal"/>
    <w:rsid w:val="00D00167"/>
  </w:style>
  <w:style w:type="paragraph" w:customStyle="1" w:styleId="PDEntschliessung">
    <w:name w:val="PD_Entschliessung"/>
    <w:basedOn w:val="00LegStandard"/>
    <w:rsid w:val="00D00167"/>
    <w:pPr>
      <w:spacing w:before="160"/>
    </w:pPr>
    <w:rPr>
      <w:b/>
      <w:sz w:val="22"/>
      <w:lang w:eastAsia="en-US"/>
    </w:rPr>
  </w:style>
  <w:style w:type="paragraph" w:customStyle="1" w:styleId="PDK1">
    <w:name w:val="PD_K1"/>
    <w:next w:val="PDK1Ausg"/>
    <w:rsid w:val="00D00167"/>
    <w:pPr>
      <w:pBdr>
        <w:bottom w:val="single" w:sz="12" w:space="1" w:color="auto"/>
      </w:pBdr>
      <w:spacing w:after="0" w:line="240" w:lineRule="auto"/>
      <w:jc w:val="center"/>
    </w:pPr>
    <w:rPr>
      <w:rFonts w:ascii="Times New Roman" w:hAnsi="Times New Roman" w:cs="Times New Roman"/>
      <w:b/>
      <w:noProof/>
      <w:color w:val="000000" w:themeColor="text1"/>
      <w:spacing w:val="-8"/>
      <w:sz w:val="24"/>
      <w:szCs w:val="20"/>
      <w:lang w:eastAsia="en-US"/>
    </w:rPr>
  </w:style>
  <w:style w:type="paragraph" w:customStyle="1" w:styleId="PDK1Anlage">
    <w:name w:val="PD_K1Anlage"/>
    <w:basedOn w:val="PDK1"/>
    <w:next w:val="PDK1Ausg"/>
    <w:rsid w:val="00D00167"/>
    <w:pPr>
      <w:pBdr>
        <w:bottom w:val="none" w:sz="0" w:space="0" w:color="auto"/>
      </w:pBdr>
      <w:jc w:val="right"/>
    </w:pPr>
  </w:style>
  <w:style w:type="paragraph" w:customStyle="1" w:styleId="PDK1Ausg">
    <w:name w:val="PD_K1Ausg"/>
    <w:next w:val="Normal"/>
    <w:rsid w:val="00D00167"/>
    <w:pPr>
      <w:spacing w:before="1285" w:after="540" w:line="240" w:lineRule="auto"/>
    </w:pPr>
    <w:rPr>
      <w:rFonts w:ascii="Times New Roman" w:hAnsi="Times New Roman" w:cs="Times New Roman"/>
      <w:b/>
      <w:noProof/>
      <w:color w:val="000000" w:themeColor="text1"/>
      <w:szCs w:val="20"/>
      <w:lang w:eastAsia="en-US"/>
    </w:rPr>
  </w:style>
  <w:style w:type="paragraph" w:customStyle="1" w:styleId="PDK2">
    <w:name w:val="PD_K2"/>
    <w:basedOn w:val="PDK1"/>
    <w:next w:val="Normal"/>
    <w:rsid w:val="00D00167"/>
    <w:pPr>
      <w:pBdr>
        <w:bottom w:val="none" w:sz="0" w:space="0" w:color="auto"/>
      </w:pBdr>
      <w:spacing w:after="227"/>
      <w:jc w:val="left"/>
    </w:pPr>
    <w:rPr>
      <w:spacing w:val="0"/>
      <w:sz w:val="44"/>
    </w:rPr>
  </w:style>
  <w:style w:type="paragraph" w:customStyle="1" w:styleId="PDK3">
    <w:name w:val="PD_K3"/>
    <w:basedOn w:val="PDK2"/>
    <w:next w:val="PDVorlage"/>
    <w:rsid w:val="00D00167"/>
    <w:pPr>
      <w:spacing w:after="400"/>
    </w:pPr>
    <w:rPr>
      <w:sz w:val="36"/>
    </w:rPr>
  </w:style>
  <w:style w:type="paragraph" w:customStyle="1" w:styleId="PDK4">
    <w:name w:val="PD_K4"/>
    <w:basedOn w:val="PDK3"/>
    <w:rsid w:val="00D00167"/>
    <w:pPr>
      <w:spacing w:after="120"/>
    </w:pPr>
    <w:rPr>
      <w:sz w:val="26"/>
    </w:rPr>
  </w:style>
  <w:style w:type="paragraph" w:customStyle="1" w:styleId="PDKopfzeile">
    <w:name w:val="PD_Kopfzeile"/>
    <w:basedOn w:val="51Abs"/>
    <w:rsid w:val="00D00167"/>
    <w:pPr>
      <w:tabs>
        <w:tab w:val="center" w:pos="4253"/>
        <w:tab w:val="right" w:pos="8505"/>
      </w:tabs>
    </w:pPr>
  </w:style>
  <w:style w:type="paragraph" w:customStyle="1" w:styleId="PDU1">
    <w:name w:val="PD_U1"/>
    <w:basedOn w:val="00LegStandard"/>
    <w:next w:val="Normal"/>
    <w:rsid w:val="00D00167"/>
    <w:pPr>
      <w:tabs>
        <w:tab w:val="center" w:pos="2126"/>
        <w:tab w:val="center" w:pos="6379"/>
      </w:tabs>
      <w:spacing w:before="440"/>
    </w:pPr>
    <w:rPr>
      <w:b/>
    </w:rPr>
  </w:style>
  <w:style w:type="paragraph" w:customStyle="1" w:styleId="PDU2">
    <w:name w:val="PD_U2"/>
    <w:basedOn w:val="PDU1"/>
    <w:rsid w:val="00D00167"/>
    <w:pPr>
      <w:spacing w:before="100"/>
    </w:pPr>
    <w:rPr>
      <w:b w:val="0"/>
      <w:sz w:val="18"/>
    </w:rPr>
  </w:style>
  <w:style w:type="paragraph" w:customStyle="1" w:styleId="PDU3">
    <w:name w:val="PD_U3"/>
    <w:basedOn w:val="PDU2"/>
    <w:rsid w:val="00D00167"/>
    <w:pPr>
      <w:tabs>
        <w:tab w:val="clear" w:pos="2126"/>
        <w:tab w:val="clear" w:pos="6379"/>
        <w:tab w:val="center" w:pos="4536"/>
      </w:tabs>
      <w:jc w:val="center"/>
    </w:pPr>
  </w:style>
  <w:style w:type="paragraph" w:customStyle="1" w:styleId="PDVorlage">
    <w:name w:val="PD_Vorlage"/>
    <w:basedOn w:val="11Titel"/>
    <w:next w:val="Normal"/>
    <w:rsid w:val="00D00167"/>
    <w:pPr>
      <w:spacing w:before="0" w:after="360"/>
    </w:pPr>
    <w:rPr>
      <w:lang w:eastAsia="en-US"/>
    </w:rPr>
  </w:style>
  <w:style w:type="paragraph" w:customStyle="1" w:styleId="62KopfzeileQuer">
    <w:name w:val="62_KopfzeileQuer"/>
    <w:basedOn w:val="51Abs"/>
    <w:rsid w:val="00D00167"/>
    <w:pPr>
      <w:tabs>
        <w:tab w:val="center" w:pos="6719"/>
        <w:tab w:val="right" w:pos="13438"/>
      </w:tabs>
      <w:ind w:firstLine="0"/>
    </w:pPr>
  </w:style>
  <w:style w:type="paragraph" w:customStyle="1" w:styleId="63FuzeileQuer">
    <w:name w:val="63_FußzeileQuer"/>
    <w:basedOn w:val="65FNText"/>
    <w:rsid w:val="00D00167"/>
    <w:pPr>
      <w:tabs>
        <w:tab w:val="center" w:pos="6719"/>
        <w:tab w:val="right" w:pos="13438"/>
      </w:tabs>
    </w:pPr>
  </w:style>
  <w:style w:type="paragraph" w:customStyle="1" w:styleId="57Schlussteile1">
    <w:name w:val="57_Schlussteil_e1"/>
    <w:basedOn w:val="00LegStandard"/>
    <w:next w:val="51Abs"/>
    <w:rsid w:val="00D00167"/>
    <w:pPr>
      <w:spacing w:before="40"/>
      <w:ind w:left="454"/>
    </w:pPr>
  </w:style>
  <w:style w:type="paragraph" w:customStyle="1" w:styleId="57Schlussteile4">
    <w:name w:val="57_Schlussteil_e4"/>
    <w:basedOn w:val="00LegStandard"/>
    <w:next w:val="51Abs"/>
    <w:rsid w:val="00D00167"/>
    <w:pPr>
      <w:spacing w:before="40"/>
      <w:ind w:left="1247"/>
    </w:pPr>
  </w:style>
  <w:style w:type="paragraph" w:customStyle="1" w:styleId="57Schlussteile5">
    <w:name w:val="57_Schlussteil_e5"/>
    <w:basedOn w:val="00LegStandard"/>
    <w:next w:val="51Abs"/>
    <w:rsid w:val="00D00167"/>
    <w:pPr>
      <w:spacing w:before="40"/>
      <w:ind w:left="1644"/>
    </w:pPr>
  </w:style>
  <w:style w:type="paragraph" w:customStyle="1" w:styleId="32InhaltEintragEinzug">
    <w:name w:val="32_InhaltEintragEinzug"/>
    <w:basedOn w:val="32InhaltEintrag"/>
    <w:rsid w:val="00D00167"/>
    <w:pPr>
      <w:tabs>
        <w:tab w:val="right" w:pos="1021"/>
        <w:tab w:val="left" w:pos="1191"/>
      </w:tabs>
      <w:ind w:left="1191" w:hanging="1191"/>
    </w:pPr>
  </w:style>
  <w:style w:type="paragraph" w:styleId="Header">
    <w:name w:val="header"/>
    <w:basedOn w:val="Normal"/>
    <w:link w:val="HeaderChar"/>
    <w:uiPriority w:val="99"/>
    <w:locked/>
    <w:pPr>
      <w:tabs>
        <w:tab w:val="center" w:pos="4535"/>
        <w:tab w:val="right" w:pos="9071"/>
      </w:tabs>
    </w:pPr>
  </w:style>
  <w:style w:type="character" w:customStyle="1" w:styleId="HeaderChar">
    <w:name w:val="Header Char"/>
    <w:basedOn w:val="DefaultParagraphFont"/>
    <w:link w:val="Header"/>
    <w:uiPriority w:val="99"/>
    <w:locked/>
    <w:rPr>
      <w:rFonts w:ascii="Times New Roman" w:hAnsi="Times New Roman" w:cs="Times New Roman"/>
      <w:sz w:val="24"/>
    </w:rPr>
  </w:style>
  <w:style w:type="paragraph" w:styleId="Footer">
    <w:name w:val="footer"/>
    <w:basedOn w:val="Normal"/>
    <w:link w:val="FooterChar"/>
    <w:uiPriority w:val="99"/>
    <w:unhideWhenUsed/>
    <w:locked/>
    <w:rsid w:val="00D00167"/>
    <w:pPr>
      <w:tabs>
        <w:tab w:val="center" w:pos="4536"/>
        <w:tab w:val="right" w:pos="9072"/>
      </w:tabs>
    </w:pPr>
  </w:style>
  <w:style w:type="character" w:customStyle="1" w:styleId="FooterChar">
    <w:name w:val="Footer Char"/>
    <w:basedOn w:val="DefaultParagraphFont"/>
    <w:link w:val="Footer"/>
    <w:uiPriority w:val="99"/>
    <w:locked/>
    <w:rsid w:val="00D00167"/>
    <w:rPr>
      <w:rFonts w:ascii="Times New Roman" w:eastAsiaTheme="minorEastAsia" w:hAnsi="Times New Roman" w:cs="Times New Roman"/>
      <w:color w:val="000000"/>
      <w:sz w:val="20"/>
      <w:lang w:val="fr-FR" w:eastAsia="de-DE"/>
    </w:rPr>
  </w:style>
  <w:style w:type="paragraph" w:styleId="ListParagraph">
    <w:name w:val="List Paragraph"/>
    <w:basedOn w:val="Normal"/>
    <w:uiPriority w:val="34"/>
    <w:qFormat/>
    <w:locked/>
    <w:pPr>
      <w:ind w:left="720"/>
    </w:pPr>
  </w:style>
  <w:style w:type="character" w:customStyle="1" w:styleId="51AbsZchn">
    <w:name w:val="51_Abs Zchn"/>
    <w:link w:val="51Abs"/>
    <w:locked/>
    <w:rPr>
      <w:rFonts w:ascii="Times New Roman" w:hAnsi="Times New Roman"/>
      <w:color w:val="000000"/>
      <w:sz w:val="20"/>
      <w:lang w:val="fr-FR" w:eastAsia="de-DE"/>
    </w:rPr>
  </w:style>
  <w:style w:type="paragraph" w:styleId="BalloonText">
    <w:name w:val="Balloon Text"/>
    <w:basedOn w:val="Normal"/>
    <w:link w:val="BalloonTextChar"/>
    <w:uiPriority w:val="99"/>
    <w:locked/>
    <w:rPr>
      <w:rFonts w:ascii="Tahoma" w:hAnsi="Tahoma" w:cs="Tahoma"/>
      <w:sz w:val="16"/>
    </w:rPr>
  </w:style>
  <w:style w:type="character" w:customStyle="1" w:styleId="BalloonTextChar">
    <w:name w:val="Balloon Text Char"/>
    <w:basedOn w:val="DefaultParagraphFont"/>
    <w:link w:val="BalloonText"/>
    <w:uiPriority w:val="99"/>
    <w:locked/>
    <w:rPr>
      <w:rFonts w:ascii="Tahoma" w:hAnsi="Tahoma" w:cs="Tahoma"/>
      <w:sz w:val="16"/>
    </w:rPr>
  </w:style>
  <w:style w:type="table" w:styleId="DarkList">
    <w:name w:val="Dark List"/>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000000" w:themeFill="dark1"/>
    </w:tcPr>
  </w:style>
  <w:style w:type="table" w:styleId="DarkList-Accent1">
    <w:name w:val="Dark List Accent 1"/>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4F81BD" w:themeFill="accent1"/>
    </w:tcPr>
  </w:style>
  <w:style w:type="table" w:styleId="DarkList-Accent2">
    <w:name w:val="Dark List Accent 2"/>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C0504D" w:themeFill="accent2"/>
    </w:tcPr>
  </w:style>
  <w:style w:type="table" w:styleId="DarkList-Accent3">
    <w:name w:val="Dark List Accent 3"/>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9BBB59" w:themeFill="accent3"/>
    </w:tcPr>
  </w:style>
  <w:style w:type="table" w:styleId="DarkList-Accent4">
    <w:name w:val="Dark List Accent 4"/>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8064A2" w:themeFill="accent4"/>
    </w:tcPr>
  </w:style>
  <w:style w:type="paragraph" w:styleId="FootnoteText">
    <w:name w:val="footnote text"/>
    <w:basedOn w:val="Normal"/>
    <w:link w:val="FootnoteTextChar"/>
    <w:uiPriority w:val="99"/>
    <w:locked/>
    <w:rPr>
      <w:sz w:val="20"/>
    </w:rPr>
  </w:style>
  <w:style w:type="character" w:customStyle="1" w:styleId="FootnoteTextChar">
    <w:name w:val="Footnote Text Char"/>
    <w:basedOn w:val="DefaultParagraphFont"/>
    <w:link w:val="FootnoteText"/>
    <w:uiPriority w:val="99"/>
    <w:locked/>
    <w:rPr>
      <w:rFonts w:ascii="Times New Roman" w:hAnsi="Times New Roman" w:cs="Times New Roman"/>
      <w:color w:val="000000"/>
      <w:sz w:val="20"/>
    </w:rPr>
  </w:style>
  <w:style w:type="table" w:styleId="DarkList-Accent5">
    <w:name w:val="Dark List Accent 5"/>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4BACC6" w:themeFill="accent5"/>
    </w:tcPr>
  </w:style>
  <w:style w:type="table" w:styleId="TableGrid">
    <w:name w:val="Table Grid"/>
    <w:basedOn w:val="TableNormal"/>
    <w:uiPriority w:val="59"/>
    <w:locked/>
    <w:pPr>
      <w:spacing w:after="0" w:line="240" w:lineRule="auto"/>
    </w:pPr>
    <w:rPr>
      <w:rFonts w:cs="Calibri"/>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uiPriority w:val="99"/>
    <w:locked/>
    <w:pPr>
      <w:spacing w:after="0" w:line="240" w:lineRule="auto"/>
    </w:pPr>
    <w:rPr>
      <w:rFonts w:ascii="Calibri" w:hAnsi="Calibri" w:cs="Calibri"/>
      <w:color w:val="000000"/>
      <w:szCs w:val="20"/>
      <w:lang w:eastAsia="de-AT"/>
    </w:rPr>
  </w:style>
  <w:style w:type="character" w:styleId="FollowedHyperlink">
    <w:name w:val="FollowedHyperlink"/>
    <w:basedOn w:val="DefaultParagraphFont"/>
    <w:uiPriority w:val="99"/>
    <w:locked/>
    <w:rPr>
      <w:rFonts w:cs="Times New Roman"/>
      <w:color w:val="800080" w:themeColor="followedHyperlink"/>
      <w:u w:val="single"/>
    </w:rPr>
  </w:style>
  <w:style w:type="character" w:styleId="BookTitle">
    <w:name w:val="Book Title"/>
    <w:basedOn w:val="DefaultParagraphFont"/>
    <w:uiPriority w:val="33"/>
    <w:qFormat/>
    <w:locked/>
    <w:rPr>
      <w:rFonts w:cs="Times New Roman"/>
      <w:b/>
    </w:rPr>
  </w:style>
  <w:style w:type="character" w:styleId="Strong">
    <w:name w:val="Strong"/>
    <w:basedOn w:val="DefaultParagraphFont"/>
    <w:uiPriority w:val="22"/>
    <w:qFormat/>
    <w:locked/>
    <w:rPr>
      <w:rFonts w:cs="Times New Roman"/>
      <w:b/>
    </w:rPr>
  </w:style>
  <w:style w:type="character" w:styleId="Emphasis">
    <w:name w:val="Emphasis"/>
    <w:basedOn w:val="DefaultParagraphFont"/>
    <w:uiPriority w:val="20"/>
    <w:qFormat/>
    <w:locked/>
    <w:rPr>
      <w:rFonts w:cs="Times New Roman"/>
      <w:i/>
    </w:rPr>
  </w:style>
  <w:style w:type="character" w:styleId="HTMLAcronym">
    <w:name w:val="HTML Acronym"/>
    <w:basedOn w:val="DefaultParagraphFont"/>
    <w:uiPriority w:val="99"/>
    <w:locked/>
    <w:rPr>
      <w:rFonts w:cs="Times New Roman"/>
    </w:rPr>
  </w:style>
  <w:style w:type="character" w:styleId="HTMLSample">
    <w:name w:val="HTML Sample"/>
    <w:basedOn w:val="DefaultParagraphFont"/>
    <w:uiPriority w:val="99"/>
    <w:locked/>
    <w:rPr>
      <w:rFonts w:ascii="Consolas" w:hAnsi="Consolas" w:cs="Consolas"/>
      <w:sz w:val="24"/>
    </w:rPr>
  </w:style>
  <w:style w:type="character" w:styleId="HTMLCode">
    <w:name w:val="HTML Code"/>
    <w:basedOn w:val="DefaultParagraphFont"/>
    <w:uiPriority w:val="99"/>
    <w:locked/>
    <w:rPr>
      <w:rFonts w:ascii="Consolas" w:hAnsi="Consolas" w:cs="Consolas"/>
      <w:sz w:val="20"/>
    </w:rPr>
  </w:style>
  <w:style w:type="character" w:styleId="HTMLDefinition">
    <w:name w:val="HTML Definition"/>
    <w:basedOn w:val="DefaultParagraphFont"/>
    <w:uiPriority w:val="99"/>
    <w:locked/>
    <w:rPr>
      <w:rFonts w:cs="Times New Roman"/>
      <w:i/>
    </w:rPr>
  </w:style>
  <w:style w:type="character" w:styleId="HTMLTypewriter">
    <w:name w:val="HTML Typewriter"/>
    <w:basedOn w:val="DefaultParagraphFont"/>
    <w:uiPriority w:val="99"/>
    <w:locked/>
    <w:rPr>
      <w:rFonts w:ascii="Consolas" w:hAnsi="Consolas" w:cs="Consolas"/>
      <w:sz w:val="20"/>
    </w:rPr>
  </w:style>
  <w:style w:type="character" w:styleId="HTMLKeyboard">
    <w:name w:val="HTML Keyboard"/>
    <w:basedOn w:val="DefaultParagraphFont"/>
    <w:uiPriority w:val="99"/>
    <w:locked/>
    <w:rPr>
      <w:rFonts w:ascii="Consolas" w:hAnsi="Consolas" w:cs="Consolas"/>
      <w:sz w:val="20"/>
    </w:rPr>
  </w:style>
  <w:style w:type="character" w:styleId="HTMLVariable">
    <w:name w:val="HTML Variable"/>
    <w:basedOn w:val="DefaultParagraphFont"/>
    <w:uiPriority w:val="99"/>
    <w:locked/>
    <w:rPr>
      <w:rFonts w:cs="Times New Roman"/>
      <w:i/>
    </w:rPr>
  </w:style>
  <w:style w:type="character" w:styleId="HTMLCite">
    <w:name w:val="HTML Cite"/>
    <w:basedOn w:val="DefaultParagraphFont"/>
    <w:uiPriority w:val="99"/>
    <w:locked/>
    <w:rPr>
      <w:rFonts w:cs="Times New Roman"/>
      <w:i/>
    </w:rPr>
  </w:style>
  <w:style w:type="character" w:styleId="Hyperlink">
    <w:name w:val="Hyperlink"/>
    <w:basedOn w:val="DefaultParagraphFont"/>
    <w:uiPriority w:val="99"/>
    <w:locked/>
    <w:rPr>
      <w:rFonts w:cs="Times New Roman"/>
      <w:color w:val="0000FF" w:themeColor="hyperlink"/>
      <w:u w:val="single"/>
    </w:rPr>
  </w:style>
  <w:style w:type="character" w:styleId="IntenseEmphasis">
    <w:name w:val="Intense Emphasis"/>
    <w:basedOn w:val="DefaultParagraphFont"/>
    <w:uiPriority w:val="21"/>
    <w:qFormat/>
    <w:locked/>
    <w:rPr>
      <w:rFonts w:cs="Times New Roman"/>
      <w:b/>
      <w:i/>
      <w:color w:val="4F81BD" w:themeColor="accent1"/>
    </w:rPr>
  </w:style>
  <w:style w:type="character" w:styleId="IntenseReference">
    <w:name w:val="Intense Reference"/>
    <w:basedOn w:val="DefaultParagraphFont"/>
    <w:uiPriority w:val="32"/>
    <w:qFormat/>
    <w:locked/>
    <w:rPr>
      <w:rFonts w:cs="Times New Roman"/>
      <w:b/>
      <w:color w:val="C0504D" w:themeColor="accent2"/>
      <w:u w:val="single"/>
    </w:rPr>
  </w:style>
  <w:style w:type="character" w:styleId="PlaceholderText">
    <w:name w:val="Placeholder Text"/>
    <w:basedOn w:val="DefaultParagraphFont"/>
    <w:uiPriority w:val="99"/>
    <w:locked/>
    <w:rPr>
      <w:rFonts w:cs="Times New Roman"/>
      <w:color w:val="808080"/>
    </w:rPr>
  </w:style>
  <w:style w:type="character" w:styleId="SubtleEmphasis">
    <w:name w:val="Subtle Emphasis"/>
    <w:basedOn w:val="DefaultParagraphFont"/>
    <w:uiPriority w:val="19"/>
    <w:qFormat/>
    <w:locked/>
    <w:rPr>
      <w:rFonts w:cs="Times New Roman"/>
      <w:i/>
      <w:color w:val="7F7F7F" w:themeColor="dark1" w:themeTint="80"/>
    </w:rPr>
  </w:style>
  <w:style w:type="character" w:styleId="SubtleReference">
    <w:name w:val="Subtle Reference"/>
    <w:basedOn w:val="DefaultParagraphFont"/>
    <w:uiPriority w:val="31"/>
    <w:qFormat/>
    <w:locked/>
    <w:rPr>
      <w:rFonts w:cs="Times New Roman"/>
      <w:color w:val="C0504D" w:themeColor="accent2"/>
      <w:u w:val="single"/>
    </w:rPr>
  </w:style>
  <w:style w:type="character" w:styleId="PageNumber">
    <w:name w:val="page number"/>
    <w:basedOn w:val="DefaultParagraphFont"/>
    <w:uiPriority w:val="99"/>
    <w:locked/>
    <w:rPr>
      <w:rFonts w:cs="Times New Roman"/>
    </w:rPr>
  </w:style>
  <w:style w:type="character" w:styleId="LineNumber">
    <w:name w:val="line number"/>
    <w:basedOn w:val="DefaultParagraphFont"/>
    <w:uiPriority w:val="99"/>
    <w:locked/>
    <w:rPr>
      <w:rFonts w:cs="Times New Roman"/>
    </w:rPr>
  </w:style>
  <w:style w:type="table" w:styleId="DarkList-Accent6">
    <w:name w:val="Dark List Accent 6"/>
    <w:basedOn w:val="TableNormal"/>
    <w:uiPriority w:val="70"/>
    <w:locked/>
    <w:pPr>
      <w:spacing w:after="0" w:line="240" w:lineRule="auto"/>
    </w:pPr>
    <w:rPr>
      <w:rFonts w:cs="Calibri"/>
      <w:color w:val="FFFFFF" w:themeColor="light1"/>
      <w:szCs w:val="20"/>
      <w:lang w:eastAsia="de-AT"/>
    </w:rPr>
    <w:tblPr>
      <w:tblStyleRowBandSize w:val="1"/>
      <w:tblStyleColBandSize w:val="1"/>
    </w:tblPr>
    <w:tcPr>
      <w:shd w:val="clear" w:color="auto" w:fill="F79646" w:themeFill="accent6"/>
    </w:tcPr>
  </w:style>
  <w:style w:type="table" w:styleId="ColorfulList">
    <w:name w:val="Colorful List"/>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E6E6E6" w:themeFill="dark1" w:themeFillTint="19"/>
    </w:tcPr>
  </w:style>
  <w:style w:type="table" w:styleId="ColorfulList-Accent1">
    <w:name w:val="Colorful List Accent 1"/>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EDF2F8" w:themeFill="accent1" w:themeFillTint="19"/>
    </w:tcPr>
  </w:style>
  <w:style w:type="table" w:styleId="ColorfulList-Accent2">
    <w:name w:val="Colorful List Accent 2"/>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F8EDED" w:themeFill="accent2" w:themeFillTint="19"/>
    </w:tcPr>
  </w:style>
  <w:style w:type="table" w:styleId="ColorfulList-Accent3">
    <w:name w:val="Colorful List Accent 3"/>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F5F8EE" w:themeFill="accent3" w:themeFillTint="19"/>
    </w:tcPr>
  </w:style>
  <w:style w:type="table" w:styleId="ColorfulList-Accent4">
    <w:name w:val="Colorful List Accent 4"/>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F2EFF6" w:themeFill="accent4" w:themeFillTint="19"/>
    </w:tcPr>
  </w:style>
  <w:style w:type="table" w:styleId="ColorfulList-Accent5">
    <w:name w:val="Colorful List Accent 5"/>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EDF6F9" w:themeFill="accent5" w:themeFillTint="19"/>
    </w:tcPr>
  </w:style>
  <w:style w:type="table" w:styleId="ColorfulList-Accent6">
    <w:name w:val="Colorful List Accent 6"/>
    <w:basedOn w:val="TableNormal"/>
    <w:uiPriority w:val="72"/>
    <w:locked/>
    <w:pPr>
      <w:spacing w:after="0" w:line="240" w:lineRule="auto"/>
    </w:pPr>
    <w:rPr>
      <w:rFonts w:cs="Calibri"/>
      <w:color w:val="000000" w:themeColor="dark1"/>
      <w:szCs w:val="20"/>
      <w:lang w:eastAsia="de-AT"/>
    </w:rPr>
    <w:tblPr>
      <w:tblStyleRowBandSize w:val="1"/>
      <w:tblStyleColBandSize w:val="1"/>
    </w:tblPr>
    <w:tcPr>
      <w:shd w:val="clear" w:color="auto" w:fill="FEF4EC" w:themeFill="accent6" w:themeFillTint="19"/>
    </w:tcPr>
  </w:style>
  <w:style w:type="table" w:styleId="ColorfulShading">
    <w:name w:val="Colorful Shading"/>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C0504D" w:themeColor="accent2"/>
        <w:left w:val="single" w:sz="4" w:space="0" w:color="000000" w:themeColor="dark1"/>
        <w:bottom w:val="single" w:sz="4" w:space="0" w:color="000000" w:themeColor="dark1"/>
        <w:right w:val="single" w:sz="4" w:space="0" w:color="000000" w:themeColor="dark1"/>
        <w:insideH w:val="single" w:sz="4" w:space="0" w:color="FFFFFF" w:themeColor="light1"/>
        <w:insideV w:val="single" w:sz="4" w:space="0" w:color="FFFFFF" w:themeColor="light1"/>
      </w:tblBorders>
    </w:tblPr>
    <w:tcPr>
      <w:shd w:val="clear" w:color="auto" w:fill="E6E6E6" w:themeFill="dark1" w:themeFillTint="19"/>
    </w:tcPr>
  </w:style>
  <w:style w:type="table" w:styleId="ColorfulShading-Accent1">
    <w:name w:val="Colorful Shading Accent 1"/>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light1"/>
        <w:insideV w:val="single" w:sz="4" w:space="0" w:color="FFFFFF" w:themeColor="light1"/>
      </w:tblBorders>
    </w:tblPr>
    <w:tcPr>
      <w:shd w:val="clear" w:color="auto" w:fill="EDF2F8" w:themeFill="accent1" w:themeFillTint="19"/>
    </w:tcPr>
  </w:style>
  <w:style w:type="table" w:styleId="ColorfulShading-Accent2">
    <w:name w:val="Colorful Shading Accent 2"/>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light1"/>
        <w:insideV w:val="single" w:sz="4" w:space="0" w:color="FFFFFF" w:themeColor="light1"/>
      </w:tblBorders>
    </w:tblPr>
    <w:tcPr>
      <w:shd w:val="clear" w:color="auto" w:fill="F8EDED" w:themeFill="accent2" w:themeFillTint="19"/>
    </w:tcPr>
  </w:style>
  <w:style w:type="table" w:styleId="ColorfulShading-Accent3">
    <w:name w:val="Colorful Shading Accent 3"/>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light1"/>
        <w:insideV w:val="single" w:sz="4" w:space="0" w:color="FFFFFF" w:themeColor="light1"/>
      </w:tblBorders>
    </w:tblPr>
    <w:tcPr>
      <w:shd w:val="clear" w:color="auto" w:fill="F5F8EE" w:themeFill="accent3" w:themeFillTint="19"/>
    </w:tcPr>
  </w:style>
  <w:style w:type="table" w:styleId="ColorfulShading-Accent4">
    <w:name w:val="Colorful Shading Accent 4"/>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light1"/>
        <w:insideV w:val="single" w:sz="4" w:space="0" w:color="FFFFFF" w:themeColor="light1"/>
      </w:tblBorders>
    </w:tblPr>
    <w:tcPr>
      <w:shd w:val="clear" w:color="auto" w:fill="F2EFF6" w:themeFill="accent4" w:themeFillTint="19"/>
    </w:tcPr>
  </w:style>
  <w:style w:type="table" w:styleId="ColorfulShading-Accent5">
    <w:name w:val="Colorful Shading Accent 5"/>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light1"/>
        <w:insideV w:val="single" w:sz="4" w:space="0" w:color="FFFFFF" w:themeColor="light1"/>
      </w:tblBorders>
    </w:tblPr>
    <w:tcPr>
      <w:shd w:val="clear" w:color="auto" w:fill="EDF6F9" w:themeFill="accent5" w:themeFillTint="19"/>
    </w:tcPr>
  </w:style>
  <w:style w:type="table" w:styleId="ColorfulShading-Accent6">
    <w:name w:val="Colorful Shading Accent 6"/>
    <w:basedOn w:val="TableNormal"/>
    <w:uiPriority w:val="71"/>
    <w:locked/>
    <w:pPr>
      <w:spacing w:after="0" w:line="240" w:lineRule="auto"/>
    </w:pPr>
    <w:rPr>
      <w:rFonts w:cs="Calibri"/>
      <w:color w:val="000000" w:themeColor="dark1"/>
      <w:szCs w:val="20"/>
      <w:lang w:eastAsia="de-AT"/>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light1"/>
        <w:insideV w:val="single" w:sz="4" w:space="0" w:color="FFFFFF" w:themeColor="light1"/>
      </w:tblBorders>
    </w:tblPr>
    <w:tcPr>
      <w:shd w:val="clear" w:color="auto" w:fill="FEF4EC" w:themeFill="accent6" w:themeFillTint="19"/>
    </w:tcPr>
  </w:style>
  <w:style w:type="table" w:styleId="ColorfulGrid">
    <w:name w:val="Colorful Grid"/>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CCCCCC" w:themeFill="dark1" w:themeFillTint="33"/>
    </w:tcPr>
  </w:style>
  <w:style w:type="table" w:styleId="ColorfulGrid-Accent1">
    <w:name w:val="Colorful Grid Accent 1"/>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DBE5F1" w:themeFill="accent1" w:themeFillTint="33"/>
    </w:tcPr>
  </w:style>
  <w:style w:type="table" w:styleId="ColorfulGrid-Accent2">
    <w:name w:val="Colorful Grid Accent 2"/>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F2DBDB" w:themeFill="accent2" w:themeFillTint="33"/>
    </w:tcPr>
  </w:style>
  <w:style w:type="table" w:styleId="ColorfulGrid-Accent3">
    <w:name w:val="Colorful Grid Accent 3"/>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EAF1DD" w:themeFill="accent3" w:themeFillTint="33"/>
    </w:tcPr>
  </w:style>
  <w:style w:type="table" w:styleId="ColorfulGrid-Accent4">
    <w:name w:val="Colorful Grid Accent 4"/>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E5DFEC" w:themeFill="accent4" w:themeFillTint="33"/>
    </w:tcPr>
  </w:style>
  <w:style w:type="table" w:styleId="ColorfulGrid-Accent5">
    <w:name w:val="Colorful Grid Accent 5"/>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DAEEF3" w:themeFill="accent5" w:themeFillTint="33"/>
    </w:tcPr>
  </w:style>
  <w:style w:type="table" w:styleId="ColorfulGrid-Accent6">
    <w:name w:val="Colorful Grid Accent 6"/>
    <w:basedOn w:val="TableNormal"/>
    <w:uiPriority w:val="73"/>
    <w:locked/>
    <w:pPr>
      <w:spacing w:after="0" w:line="240" w:lineRule="auto"/>
    </w:pPr>
    <w:rPr>
      <w:rFonts w:cs="Calibri"/>
      <w:color w:val="000000" w:themeColor="dark1"/>
      <w:szCs w:val="20"/>
      <w:lang w:eastAsia="de-AT"/>
    </w:rPr>
    <w:tblPr>
      <w:tblStyleRowBandSize w:val="1"/>
      <w:tblStyleColBandSize w:val="1"/>
      <w:tblBorders>
        <w:insideH w:val="single" w:sz="4" w:space="0" w:color="FFFFFF" w:themeColor="light1"/>
      </w:tblBorders>
    </w:tblPr>
    <w:tcPr>
      <w:shd w:val="clear" w:color="auto" w:fill="FDE9D9" w:themeFill="accent6" w:themeFillTint="33"/>
    </w:tcPr>
  </w:style>
  <w:style w:type="table" w:styleId="LightList">
    <w:name w:val="Light List"/>
    <w:basedOn w:val="TableNormal"/>
    <w:uiPriority w:val="61"/>
    <w:locked/>
    <w:pPr>
      <w:spacing w:after="0" w:line="240" w:lineRule="auto"/>
    </w:pPr>
    <w:rPr>
      <w:rFonts w:cs="Calibri"/>
      <w:szCs w:val="20"/>
      <w:lang w:eastAsia="de-AT"/>
    </w:rPr>
    <w:tblPr>
      <w:tblStyleRowBandSize w:val="1"/>
      <w:tblStyleColBandSize w:val="1"/>
      <w:tblBorders>
        <w:top w:val="single" w:sz="8" w:space="0" w:color="000000" w:themeColor="dark1"/>
        <w:left w:val="single" w:sz="8" w:space="0" w:color="000000" w:themeColor="dark1"/>
        <w:bottom w:val="single" w:sz="8" w:space="0" w:color="000000" w:themeColor="dark1"/>
        <w:right w:val="single" w:sz="8" w:space="0" w:color="000000" w:themeColor="dark1"/>
      </w:tblBorders>
    </w:tblPr>
  </w:style>
  <w:style w:type="table" w:styleId="LightList-Accent1">
    <w:name w:val="Light List Accent 1"/>
    <w:basedOn w:val="TableNormal"/>
    <w:uiPriority w:val="61"/>
    <w:locked/>
    <w:pPr>
      <w:spacing w:after="0" w:line="240" w:lineRule="auto"/>
    </w:pPr>
    <w:rPr>
      <w:rFonts w:cs="Calibri"/>
      <w:szCs w:val="20"/>
      <w:lang w:eastAsia="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style>
  <w:style w:type="table" w:styleId="LightList-Accent2">
    <w:name w:val="Light List Accent 2"/>
    <w:basedOn w:val="TableNormal"/>
    <w:uiPriority w:val="61"/>
    <w:locked/>
    <w:pPr>
      <w:spacing w:after="0" w:line="240" w:lineRule="auto"/>
    </w:pPr>
    <w:rPr>
      <w:rFonts w:cs="Calibri"/>
      <w:szCs w:val="20"/>
      <w:lang w:eastAsia="de-A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style>
  <w:style w:type="table" w:styleId="LightList-Accent3">
    <w:name w:val="Light List Accent 3"/>
    <w:basedOn w:val="TableNormal"/>
    <w:uiPriority w:val="61"/>
    <w:locked/>
    <w:pPr>
      <w:spacing w:after="0" w:line="240" w:lineRule="auto"/>
    </w:pPr>
    <w:rPr>
      <w:rFonts w:cs="Calibri"/>
      <w:szCs w:val="20"/>
      <w:lang w:eastAsia="de-A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style>
  <w:style w:type="table" w:styleId="LightList-Accent4">
    <w:name w:val="Light List Accent 4"/>
    <w:basedOn w:val="TableNormal"/>
    <w:uiPriority w:val="61"/>
    <w:locked/>
    <w:pPr>
      <w:spacing w:after="0" w:line="240" w:lineRule="auto"/>
    </w:pPr>
    <w:rPr>
      <w:rFonts w:cs="Calibri"/>
      <w:szCs w:val="20"/>
      <w:lang w:eastAsia="de-A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style>
  <w:style w:type="table" w:styleId="LightList-Accent5">
    <w:name w:val="Light List Accent 5"/>
    <w:basedOn w:val="TableNormal"/>
    <w:uiPriority w:val="61"/>
    <w:locked/>
    <w:pPr>
      <w:spacing w:after="0" w:line="240" w:lineRule="auto"/>
    </w:pPr>
    <w:rPr>
      <w:rFonts w:cs="Calibri"/>
      <w:szCs w:val="20"/>
      <w:lang w:eastAsia="de-A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style>
  <w:style w:type="table" w:styleId="LightList-Accent6">
    <w:name w:val="Light List Accent 6"/>
    <w:basedOn w:val="TableNormal"/>
    <w:uiPriority w:val="61"/>
    <w:locked/>
    <w:pPr>
      <w:spacing w:after="0" w:line="240" w:lineRule="auto"/>
    </w:pPr>
    <w:rPr>
      <w:rFonts w:cs="Calibri"/>
      <w:szCs w:val="20"/>
      <w:lang w:eastAsia="de-A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style>
  <w:style w:type="table" w:styleId="LightShading">
    <w:name w:val="Light Shading"/>
    <w:basedOn w:val="TableNormal"/>
    <w:uiPriority w:val="60"/>
    <w:locked/>
    <w:pPr>
      <w:spacing w:after="0" w:line="240" w:lineRule="auto"/>
    </w:pPr>
    <w:rPr>
      <w:rFonts w:cs="Calibri"/>
      <w:color w:val="000000" w:themeColor="dark1" w:themeShade="BF"/>
      <w:szCs w:val="20"/>
      <w:lang w:eastAsia="de-AT"/>
    </w:rPr>
    <w:tblPr>
      <w:tblStyleRowBandSize w:val="1"/>
      <w:tblStyleColBandSize w:val="1"/>
      <w:tblBorders>
        <w:top w:val="single" w:sz="8" w:space="0" w:color="000000" w:themeColor="dark1"/>
        <w:bottom w:val="single" w:sz="8" w:space="0" w:color="000000" w:themeColor="dark1"/>
      </w:tblBorders>
    </w:tblPr>
  </w:style>
  <w:style w:type="table" w:styleId="LightShading-Accent1">
    <w:name w:val="Light Shading Accent 1"/>
    <w:basedOn w:val="TableNormal"/>
    <w:uiPriority w:val="60"/>
    <w:locked/>
    <w:pPr>
      <w:spacing w:after="0" w:line="240" w:lineRule="auto"/>
    </w:pPr>
    <w:rPr>
      <w:rFonts w:cs="Calibri"/>
      <w:color w:val="365F91" w:themeColor="accent1" w:themeShade="BF"/>
      <w:szCs w:val="20"/>
      <w:lang w:eastAsia="de-AT"/>
    </w:rPr>
    <w:tblPr>
      <w:tblStyleRowBandSize w:val="1"/>
      <w:tblStyleColBandSize w:val="1"/>
      <w:tblBorders>
        <w:top w:val="single" w:sz="8" w:space="0" w:color="4F81BD" w:themeColor="accent1"/>
        <w:bottom w:val="single" w:sz="8" w:space="0" w:color="4F81BD" w:themeColor="accent1"/>
      </w:tblBorders>
    </w:tblPr>
  </w:style>
  <w:style w:type="table" w:styleId="LightShading-Accent2">
    <w:name w:val="Light Shading Accent 2"/>
    <w:basedOn w:val="TableNormal"/>
    <w:uiPriority w:val="60"/>
    <w:locked/>
    <w:pPr>
      <w:spacing w:after="0" w:line="240" w:lineRule="auto"/>
    </w:pPr>
    <w:rPr>
      <w:rFonts w:cs="Calibri"/>
      <w:color w:val="943634" w:themeColor="accent2" w:themeShade="BF"/>
      <w:szCs w:val="20"/>
      <w:lang w:eastAsia="de-AT"/>
    </w:rPr>
    <w:tblPr>
      <w:tblStyleRowBandSize w:val="1"/>
      <w:tblStyleColBandSize w:val="1"/>
      <w:tblBorders>
        <w:top w:val="single" w:sz="8" w:space="0" w:color="C0504D" w:themeColor="accent2"/>
        <w:bottom w:val="single" w:sz="8" w:space="0" w:color="C0504D" w:themeColor="accent2"/>
      </w:tblBorders>
    </w:tblPr>
  </w:style>
  <w:style w:type="table" w:styleId="LightShading-Accent3">
    <w:name w:val="Light Shading Accent 3"/>
    <w:basedOn w:val="TableNormal"/>
    <w:uiPriority w:val="60"/>
    <w:locked/>
    <w:pPr>
      <w:spacing w:after="0" w:line="240" w:lineRule="auto"/>
    </w:pPr>
    <w:rPr>
      <w:rFonts w:cs="Calibri"/>
      <w:color w:val="76923C" w:themeColor="accent3" w:themeShade="BF"/>
      <w:szCs w:val="20"/>
      <w:lang w:eastAsia="de-AT"/>
    </w:rPr>
    <w:tblPr>
      <w:tblStyleRowBandSize w:val="1"/>
      <w:tblStyleColBandSize w:val="1"/>
      <w:tblBorders>
        <w:top w:val="single" w:sz="8" w:space="0" w:color="9BBB59" w:themeColor="accent3"/>
        <w:bottom w:val="single" w:sz="8" w:space="0" w:color="9BBB59" w:themeColor="accent3"/>
      </w:tblBorders>
    </w:tblPr>
  </w:style>
  <w:style w:type="table" w:styleId="LightShading-Accent4">
    <w:name w:val="Light Shading Accent 4"/>
    <w:basedOn w:val="TableNormal"/>
    <w:uiPriority w:val="60"/>
    <w:locked/>
    <w:pPr>
      <w:spacing w:after="0" w:line="240" w:lineRule="auto"/>
    </w:pPr>
    <w:rPr>
      <w:rFonts w:cs="Calibri"/>
      <w:color w:val="5F497A" w:themeColor="accent4" w:themeShade="BF"/>
      <w:szCs w:val="20"/>
      <w:lang w:eastAsia="de-AT"/>
    </w:rPr>
    <w:tblPr>
      <w:tblStyleRowBandSize w:val="1"/>
      <w:tblStyleColBandSize w:val="1"/>
      <w:tblBorders>
        <w:top w:val="single" w:sz="8" w:space="0" w:color="8064A2" w:themeColor="accent4"/>
        <w:bottom w:val="single" w:sz="8" w:space="0" w:color="8064A2" w:themeColor="accent4"/>
      </w:tblBorders>
    </w:tblPr>
  </w:style>
  <w:style w:type="table" w:styleId="LightShading-Accent5">
    <w:name w:val="Light Shading Accent 5"/>
    <w:basedOn w:val="TableNormal"/>
    <w:uiPriority w:val="60"/>
    <w:locked/>
    <w:pPr>
      <w:spacing w:after="0" w:line="240" w:lineRule="auto"/>
    </w:pPr>
    <w:rPr>
      <w:rFonts w:cs="Calibri"/>
      <w:color w:val="31849B" w:themeColor="accent5" w:themeShade="BF"/>
      <w:szCs w:val="20"/>
      <w:lang w:eastAsia="de-AT"/>
    </w:rPr>
    <w:tblPr>
      <w:tblStyleRowBandSize w:val="1"/>
      <w:tblStyleColBandSize w:val="1"/>
      <w:tblBorders>
        <w:top w:val="single" w:sz="8" w:space="0" w:color="4BACC6" w:themeColor="accent5"/>
        <w:bottom w:val="single" w:sz="8" w:space="0" w:color="4BACC6" w:themeColor="accent5"/>
      </w:tblBorders>
    </w:tblPr>
  </w:style>
  <w:style w:type="table" w:styleId="LightShading-Accent6">
    <w:name w:val="Light Shading Accent 6"/>
    <w:basedOn w:val="TableNormal"/>
    <w:uiPriority w:val="60"/>
    <w:locked/>
    <w:pPr>
      <w:spacing w:after="0" w:line="240" w:lineRule="auto"/>
    </w:pPr>
    <w:rPr>
      <w:rFonts w:cs="Calibri"/>
      <w:color w:val="E36C0A" w:themeColor="accent6" w:themeShade="BF"/>
      <w:szCs w:val="20"/>
      <w:lang w:eastAsia="de-AT"/>
    </w:rPr>
    <w:tblPr>
      <w:tblStyleRowBandSize w:val="1"/>
      <w:tblStyleColBandSize w:val="1"/>
      <w:tblBorders>
        <w:top w:val="single" w:sz="8" w:space="0" w:color="F79646" w:themeColor="accent6"/>
        <w:bottom w:val="single" w:sz="8" w:space="0" w:color="F79646" w:themeColor="accent6"/>
      </w:tblBorders>
    </w:tblPr>
  </w:style>
  <w:style w:type="table" w:styleId="LightGrid">
    <w:name w:val="Light Grid"/>
    <w:basedOn w:val="TableNormal"/>
    <w:uiPriority w:val="62"/>
    <w:locked/>
    <w:pPr>
      <w:spacing w:after="0" w:line="240" w:lineRule="auto"/>
    </w:pPr>
    <w:rPr>
      <w:rFonts w:cs="Calibri"/>
      <w:szCs w:val="20"/>
      <w:lang w:eastAsia="de-AT"/>
    </w:rPr>
    <w:tblPr>
      <w:tblStyleRowBandSize w:val="1"/>
      <w:tblStyleColBandSize w:val="1"/>
      <w:tblBorders>
        <w:top w:val="single" w:sz="8" w:space="0" w:color="000000" w:themeColor="dark1"/>
        <w:left w:val="single" w:sz="8" w:space="0" w:color="000000" w:themeColor="dark1"/>
        <w:bottom w:val="single" w:sz="8" w:space="0" w:color="000000" w:themeColor="dark1"/>
        <w:right w:val="single" w:sz="8" w:space="0" w:color="000000" w:themeColor="dark1"/>
        <w:insideH w:val="single" w:sz="8" w:space="0" w:color="000000" w:themeColor="dark1"/>
        <w:insideV w:val="single" w:sz="8" w:space="0" w:color="000000" w:themeColor="dark1"/>
      </w:tblBorders>
    </w:tblPr>
  </w:style>
  <w:style w:type="table" w:styleId="LightGrid-Accent1">
    <w:name w:val="Light Grid Accent 1"/>
    <w:basedOn w:val="TableNormal"/>
    <w:uiPriority w:val="62"/>
    <w:locked/>
    <w:pPr>
      <w:spacing w:after="0" w:line="240" w:lineRule="auto"/>
    </w:pPr>
    <w:rPr>
      <w:rFonts w:cs="Calibri"/>
      <w:szCs w:val="20"/>
      <w:lang w:eastAsia="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style>
  <w:style w:type="table" w:styleId="LightGrid-Accent2">
    <w:name w:val="Light Grid Accent 2"/>
    <w:basedOn w:val="TableNormal"/>
    <w:uiPriority w:val="62"/>
    <w:locked/>
    <w:pPr>
      <w:spacing w:after="0" w:line="240" w:lineRule="auto"/>
    </w:pPr>
    <w:rPr>
      <w:rFonts w:cs="Calibri"/>
      <w:szCs w:val="20"/>
      <w:lang w:eastAsia="de-A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style>
  <w:style w:type="table" w:styleId="LightGrid-Accent3">
    <w:name w:val="Light Grid Accent 3"/>
    <w:basedOn w:val="TableNormal"/>
    <w:uiPriority w:val="62"/>
    <w:locked/>
    <w:pPr>
      <w:spacing w:after="0" w:line="240" w:lineRule="auto"/>
    </w:pPr>
    <w:rPr>
      <w:rFonts w:cs="Calibri"/>
      <w:szCs w:val="20"/>
      <w:lang w:eastAsia="de-A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style>
  <w:style w:type="table" w:styleId="LightGrid-Accent4">
    <w:name w:val="Light Grid Accent 4"/>
    <w:basedOn w:val="TableNormal"/>
    <w:uiPriority w:val="62"/>
    <w:locked/>
    <w:pPr>
      <w:spacing w:after="0" w:line="240" w:lineRule="auto"/>
    </w:pPr>
    <w:rPr>
      <w:rFonts w:cs="Calibri"/>
      <w:szCs w:val="20"/>
      <w:lang w:eastAsia="de-A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style>
  <w:style w:type="table" w:styleId="LightGrid-Accent5">
    <w:name w:val="Light Grid Accent 5"/>
    <w:basedOn w:val="TableNormal"/>
    <w:uiPriority w:val="62"/>
    <w:locked/>
    <w:pPr>
      <w:spacing w:after="0" w:line="240" w:lineRule="auto"/>
    </w:pPr>
    <w:rPr>
      <w:rFonts w:cs="Calibri"/>
      <w:szCs w:val="20"/>
      <w:lang w:eastAsia="de-A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style>
  <w:style w:type="table" w:styleId="LightGrid-Accent6">
    <w:name w:val="Light Grid Accent 6"/>
    <w:basedOn w:val="TableNormal"/>
    <w:uiPriority w:val="62"/>
    <w:locked/>
    <w:pPr>
      <w:spacing w:after="0" w:line="240" w:lineRule="auto"/>
    </w:pPr>
    <w:rPr>
      <w:rFonts w:cs="Calibri"/>
      <w:szCs w:val="20"/>
      <w:lang w:eastAsia="de-A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style>
  <w:style w:type="table" w:styleId="MediumList1">
    <w:name w:val="Medium List 1"/>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000000" w:themeColor="dark1"/>
        <w:bottom w:val="single" w:sz="8" w:space="0" w:color="000000" w:themeColor="dark1"/>
      </w:tblBorders>
    </w:tblPr>
  </w:style>
  <w:style w:type="table" w:styleId="MediumList1-Accent1">
    <w:name w:val="Medium List 1 Accent 1"/>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4F81BD" w:themeColor="accent1"/>
        <w:bottom w:val="single" w:sz="8" w:space="0" w:color="4F81BD" w:themeColor="accent1"/>
      </w:tblBorders>
    </w:tblPr>
  </w:style>
  <w:style w:type="table" w:styleId="MediumList1-Accent2">
    <w:name w:val="Medium List 1 Accent 2"/>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C0504D" w:themeColor="accent2"/>
        <w:bottom w:val="single" w:sz="8" w:space="0" w:color="C0504D" w:themeColor="accent2"/>
      </w:tblBorders>
    </w:tblPr>
  </w:style>
  <w:style w:type="table" w:styleId="MediumList1-Accent3">
    <w:name w:val="Medium List 1 Accent 3"/>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9BBB59" w:themeColor="accent3"/>
        <w:bottom w:val="single" w:sz="8" w:space="0" w:color="9BBB59" w:themeColor="accent3"/>
      </w:tblBorders>
    </w:tblPr>
  </w:style>
  <w:style w:type="table" w:styleId="MediumList1-Accent4">
    <w:name w:val="Medium List 1 Accent 4"/>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8064A2" w:themeColor="accent4"/>
        <w:bottom w:val="single" w:sz="8" w:space="0" w:color="8064A2" w:themeColor="accent4"/>
      </w:tblBorders>
    </w:tblPr>
  </w:style>
  <w:style w:type="table" w:styleId="MediumList1-Accent5">
    <w:name w:val="Medium List 1 Accent 5"/>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4BACC6" w:themeColor="accent5"/>
        <w:bottom w:val="single" w:sz="8" w:space="0" w:color="4BACC6" w:themeColor="accent5"/>
      </w:tblBorders>
    </w:tblPr>
  </w:style>
  <w:style w:type="table" w:styleId="MediumList1-Accent6">
    <w:name w:val="Medium List 1 Accent 6"/>
    <w:basedOn w:val="TableNormal"/>
    <w:uiPriority w:val="65"/>
    <w:locked/>
    <w:pPr>
      <w:spacing w:after="0" w:line="240" w:lineRule="auto"/>
    </w:pPr>
    <w:rPr>
      <w:rFonts w:cs="Calibri"/>
      <w:color w:val="000000" w:themeColor="dark1"/>
      <w:szCs w:val="20"/>
      <w:lang w:eastAsia="de-AT"/>
    </w:rPr>
    <w:tblPr>
      <w:tblStyleRowBandSize w:val="1"/>
      <w:tblStyleColBandSize w:val="1"/>
      <w:tblBorders>
        <w:top w:val="single" w:sz="8" w:space="0" w:color="F79646" w:themeColor="accent6"/>
        <w:bottom w:val="single" w:sz="8" w:space="0" w:color="F79646" w:themeColor="accent6"/>
      </w:tblBorders>
    </w:tblPr>
  </w:style>
  <w:style w:type="table" w:styleId="MediumList2">
    <w:name w:val="Medium List 2"/>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000000" w:themeColor="dark1"/>
        <w:left w:val="single" w:sz="8" w:space="0" w:color="000000" w:themeColor="dark1"/>
        <w:bottom w:val="single" w:sz="8" w:space="0" w:color="000000" w:themeColor="dark1"/>
        <w:right w:val="single" w:sz="8" w:space="0" w:color="000000" w:themeColor="dark1"/>
      </w:tblBorders>
    </w:tblPr>
  </w:style>
  <w:style w:type="table" w:styleId="MediumList2-Accent1">
    <w:name w:val="Medium List 2 Accent 1"/>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style>
  <w:style w:type="table" w:styleId="MediumList2-Accent2">
    <w:name w:val="Medium List 2 Accent 2"/>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style>
  <w:style w:type="table" w:styleId="MediumList2-Accent3">
    <w:name w:val="Medium List 2 Accent 3"/>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style>
  <w:style w:type="table" w:styleId="MediumList2-Accent4">
    <w:name w:val="Medium List 2 Accent 4"/>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style>
  <w:style w:type="table" w:styleId="MediumList2-Accent5">
    <w:name w:val="Medium List 2 Accent 5"/>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style>
  <w:style w:type="table" w:styleId="MediumList2-Accent6">
    <w:name w:val="Medium List 2 Accent 6"/>
    <w:basedOn w:val="TableNormal"/>
    <w:uiPriority w:val="66"/>
    <w:locked/>
    <w:pPr>
      <w:spacing w:after="0" w:line="240" w:lineRule="auto"/>
    </w:pPr>
    <w:rPr>
      <w:rFonts w:cs="Calibri"/>
      <w:color w:val="000000" w:themeColor="dark1"/>
      <w:szCs w:val="20"/>
      <w:lang w:eastAsia="de-A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style>
  <w:style w:type="table" w:styleId="MediumShading1">
    <w:name w:val="Medium Shading 1"/>
    <w:basedOn w:val="TableNormal"/>
    <w:uiPriority w:val="63"/>
    <w:locked/>
    <w:pPr>
      <w:spacing w:after="0" w:line="240" w:lineRule="auto"/>
    </w:pPr>
    <w:rPr>
      <w:rFonts w:cs="Calibri"/>
      <w:szCs w:val="20"/>
      <w:lang w:eastAsia="de-AT"/>
    </w:rPr>
    <w:tblPr>
      <w:tblStyleRowBandSize w:val="1"/>
      <w:tblStyleColBandSize w:val="1"/>
      <w:tblBorders>
        <w:top w:val="single" w:sz="8" w:space="0" w:color="404040" w:themeColor="dark1" w:themeTint="BF"/>
        <w:left w:val="single" w:sz="8" w:space="0" w:color="404040" w:themeColor="dark1" w:themeTint="BF"/>
        <w:bottom w:val="single" w:sz="8" w:space="0" w:color="404040" w:themeColor="dark1" w:themeTint="BF"/>
        <w:right w:val="single" w:sz="8" w:space="0" w:color="404040" w:themeColor="dark1" w:themeTint="BF"/>
        <w:insideH w:val="single" w:sz="8" w:space="0" w:color="404040" w:themeColor="dark1" w:themeTint="BF"/>
      </w:tblBorders>
    </w:tblPr>
  </w:style>
  <w:style w:type="table" w:styleId="MediumShading1-Accent1">
    <w:name w:val="Medium Shading 1 Accent 1"/>
    <w:basedOn w:val="TableNormal"/>
    <w:uiPriority w:val="63"/>
    <w:locked/>
    <w:pPr>
      <w:spacing w:after="0" w:line="240" w:lineRule="auto"/>
    </w:pPr>
    <w:rPr>
      <w:rFonts w:cs="Calibri"/>
      <w:szCs w:val="20"/>
      <w:lang w:eastAsia="de-A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style>
  <w:style w:type="table" w:styleId="MediumShading1-Accent2">
    <w:name w:val="Medium Shading 1 Accent 2"/>
    <w:basedOn w:val="TableNormal"/>
    <w:uiPriority w:val="63"/>
    <w:locked/>
    <w:pPr>
      <w:spacing w:after="0" w:line="240" w:lineRule="auto"/>
    </w:pPr>
    <w:rPr>
      <w:rFonts w:cs="Calibri"/>
      <w:szCs w:val="20"/>
      <w:lang w:eastAsia="de-A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style>
  <w:style w:type="table" w:styleId="MediumShading1-Accent3">
    <w:name w:val="Medium Shading 1 Accent 3"/>
    <w:basedOn w:val="TableNormal"/>
    <w:uiPriority w:val="63"/>
    <w:locked/>
    <w:pPr>
      <w:spacing w:after="0" w:line="240" w:lineRule="auto"/>
    </w:pPr>
    <w:rPr>
      <w:rFonts w:cs="Calibri"/>
      <w:szCs w:val="20"/>
      <w:lang w:eastAsia="de-A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style>
  <w:style w:type="table" w:styleId="MediumShading1-Accent4">
    <w:name w:val="Medium Shading 1 Accent 4"/>
    <w:basedOn w:val="TableNormal"/>
    <w:uiPriority w:val="63"/>
    <w:locked/>
    <w:pPr>
      <w:spacing w:after="0" w:line="240" w:lineRule="auto"/>
    </w:pPr>
    <w:rPr>
      <w:rFonts w:cs="Calibri"/>
      <w:szCs w:val="20"/>
      <w:lang w:eastAsia="de-A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style>
  <w:style w:type="table" w:styleId="MediumShading1-Accent5">
    <w:name w:val="Medium Shading 1 Accent 5"/>
    <w:basedOn w:val="TableNormal"/>
    <w:uiPriority w:val="63"/>
    <w:locked/>
    <w:pPr>
      <w:spacing w:after="0" w:line="240" w:lineRule="auto"/>
    </w:pPr>
    <w:rPr>
      <w:rFonts w:cs="Calibri"/>
      <w:szCs w:val="20"/>
      <w:lang w:eastAsia="de-A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style>
  <w:style w:type="table" w:styleId="MediumShading1-Accent6">
    <w:name w:val="Medium Shading 1 Accent 6"/>
    <w:basedOn w:val="TableNormal"/>
    <w:uiPriority w:val="63"/>
    <w:locked/>
    <w:pPr>
      <w:spacing w:after="0" w:line="240" w:lineRule="auto"/>
    </w:pPr>
    <w:rPr>
      <w:rFonts w:cs="Calibri"/>
      <w:szCs w:val="20"/>
      <w:lang w:eastAsia="de-A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style>
  <w:style w:type="table" w:styleId="MediumShading2">
    <w:name w:val="Medium Shading 2"/>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1">
    <w:name w:val="Medium Shading 2 Accent 1"/>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2">
    <w:name w:val="Medium Shading 2 Accent 2"/>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3">
    <w:name w:val="Medium Shading 2 Accent 3"/>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4">
    <w:name w:val="Medium Shading 2 Accent 4"/>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5">
    <w:name w:val="Medium Shading 2 Accent 5"/>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Shading2-Accent6">
    <w:name w:val="Medium Shading 2 Accent 6"/>
    <w:basedOn w:val="TableNormal"/>
    <w:uiPriority w:val="64"/>
    <w:locked/>
    <w:pPr>
      <w:spacing w:after="0" w:line="240" w:lineRule="auto"/>
    </w:pPr>
    <w:rPr>
      <w:rFonts w:cs="Calibri"/>
      <w:szCs w:val="20"/>
      <w:lang w:eastAsia="de-AT"/>
    </w:rPr>
    <w:tblPr>
      <w:tblStyleRowBandSize w:val="1"/>
      <w:tblStyleColBandSize w:val="1"/>
      <w:tblBorders>
        <w:top w:val="single" w:sz="18" w:space="0" w:color="auto"/>
        <w:bottom w:val="single" w:sz="18" w:space="0" w:color="auto"/>
      </w:tblBorders>
    </w:tblPr>
  </w:style>
  <w:style w:type="table" w:styleId="MediumGrid1">
    <w:name w:val="Medium Grid 1"/>
    <w:basedOn w:val="TableNormal"/>
    <w:uiPriority w:val="67"/>
    <w:locked/>
    <w:pPr>
      <w:spacing w:after="0" w:line="240" w:lineRule="auto"/>
    </w:pPr>
    <w:rPr>
      <w:rFonts w:cs="Calibri"/>
      <w:szCs w:val="20"/>
      <w:lang w:eastAsia="de-AT"/>
    </w:rPr>
    <w:tblPr>
      <w:tblStyleRowBandSize w:val="1"/>
      <w:tblStyleColBandSize w:val="1"/>
      <w:tblBorders>
        <w:top w:val="single" w:sz="8" w:space="0" w:color="404040" w:themeColor="dark1" w:themeTint="BF"/>
        <w:left w:val="single" w:sz="8" w:space="0" w:color="404040" w:themeColor="dark1" w:themeTint="BF"/>
        <w:bottom w:val="single" w:sz="8" w:space="0" w:color="404040" w:themeColor="dark1" w:themeTint="BF"/>
        <w:right w:val="single" w:sz="8" w:space="0" w:color="404040" w:themeColor="dark1" w:themeTint="BF"/>
        <w:insideH w:val="single" w:sz="8" w:space="0" w:color="404040" w:themeColor="dark1" w:themeTint="BF"/>
        <w:insideV w:val="single" w:sz="8" w:space="0" w:color="404040" w:themeColor="dark1" w:themeTint="BF"/>
      </w:tblBorders>
    </w:tblPr>
    <w:tcPr>
      <w:shd w:val="clear" w:color="auto" w:fill="BFBFBF" w:themeFill="dark1" w:themeFillTint="40"/>
    </w:tcPr>
  </w:style>
  <w:style w:type="table" w:styleId="MediumGrid1-Accent1">
    <w:name w:val="Medium Grid 1 Accent 1"/>
    <w:basedOn w:val="TableNormal"/>
    <w:uiPriority w:val="67"/>
    <w:locked/>
    <w:pPr>
      <w:spacing w:after="0" w:line="240" w:lineRule="auto"/>
    </w:pPr>
    <w:rPr>
      <w:rFonts w:cs="Calibri"/>
      <w:szCs w:val="20"/>
      <w:lang w:eastAsia="de-A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2DFEE" w:themeFill="accent1" w:themeFillTint="40"/>
    </w:tcPr>
  </w:style>
  <w:style w:type="table" w:styleId="MediumGrid1-Accent2">
    <w:name w:val="Medium Grid 1 Accent 2"/>
    <w:basedOn w:val="TableNormal"/>
    <w:uiPriority w:val="67"/>
    <w:locked/>
    <w:pPr>
      <w:spacing w:after="0" w:line="240" w:lineRule="auto"/>
    </w:pPr>
    <w:rPr>
      <w:rFonts w:cs="Calibri"/>
      <w:szCs w:val="20"/>
      <w:lang w:eastAsia="de-A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2D2" w:themeFill="accent2" w:themeFillTint="40"/>
    </w:tcPr>
  </w:style>
  <w:style w:type="table" w:styleId="MediumGrid1-Accent3">
    <w:name w:val="Medium Grid 1 Accent 3"/>
    <w:basedOn w:val="TableNormal"/>
    <w:uiPriority w:val="67"/>
    <w:locked/>
    <w:pPr>
      <w:spacing w:after="0" w:line="240" w:lineRule="auto"/>
    </w:pPr>
    <w:rPr>
      <w:rFonts w:cs="Calibri"/>
      <w:szCs w:val="20"/>
      <w:lang w:eastAsia="de-A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5EED5" w:themeFill="accent3" w:themeFillTint="40"/>
    </w:tcPr>
  </w:style>
  <w:style w:type="table" w:styleId="MediumGrid1-Accent4">
    <w:name w:val="Medium Grid 1 Accent 4"/>
    <w:basedOn w:val="TableNormal"/>
    <w:uiPriority w:val="67"/>
    <w:locked/>
    <w:pPr>
      <w:spacing w:after="0" w:line="240" w:lineRule="auto"/>
    </w:pPr>
    <w:rPr>
      <w:rFonts w:cs="Calibri"/>
      <w:szCs w:val="20"/>
      <w:lang w:eastAsia="de-A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7" w:themeFill="accent4" w:themeFillTint="40"/>
    </w:tcPr>
  </w:style>
  <w:style w:type="table" w:styleId="MediumGrid1-Accent5">
    <w:name w:val="Medium Grid 1 Accent 5"/>
    <w:basedOn w:val="TableNormal"/>
    <w:uiPriority w:val="67"/>
    <w:locked/>
    <w:pPr>
      <w:spacing w:after="0" w:line="240" w:lineRule="auto"/>
    </w:pPr>
    <w:rPr>
      <w:rFonts w:cs="Calibri"/>
      <w:szCs w:val="20"/>
      <w:lang w:eastAsia="de-A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1EAF0" w:themeFill="accent5" w:themeFillTint="40"/>
    </w:tcPr>
  </w:style>
  <w:style w:type="table" w:styleId="MediumGrid1-Accent6">
    <w:name w:val="Medium Grid 1 Accent 6"/>
    <w:basedOn w:val="TableNormal"/>
    <w:uiPriority w:val="67"/>
    <w:locked/>
    <w:pPr>
      <w:spacing w:after="0" w:line="240" w:lineRule="auto"/>
    </w:pPr>
    <w:rPr>
      <w:rFonts w:cs="Calibri"/>
      <w:szCs w:val="20"/>
      <w:lang w:eastAsia="de-A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40"/>
    </w:tcPr>
  </w:style>
  <w:style w:type="table" w:styleId="MediumGrid2">
    <w:name w:val="Medium Grid 2"/>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000000" w:themeColor="dark1"/>
        <w:left w:val="single" w:sz="8" w:space="0" w:color="000000" w:themeColor="dark1"/>
        <w:bottom w:val="single" w:sz="8" w:space="0" w:color="000000" w:themeColor="dark1"/>
        <w:right w:val="single" w:sz="8" w:space="0" w:color="000000" w:themeColor="dark1"/>
        <w:insideH w:val="single" w:sz="8" w:space="0" w:color="000000" w:themeColor="dark1"/>
        <w:insideV w:val="single" w:sz="8" w:space="0" w:color="000000" w:themeColor="dark1"/>
      </w:tblBorders>
    </w:tblPr>
    <w:tcPr>
      <w:shd w:val="clear" w:color="auto" w:fill="BFBFBF" w:themeFill="dark1" w:themeFillTint="40"/>
    </w:tcPr>
  </w:style>
  <w:style w:type="table" w:styleId="MediumGrid2-Accent1">
    <w:name w:val="Medium Grid 2 Accent 1"/>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2DFEE" w:themeFill="accent1" w:themeFillTint="40"/>
    </w:tcPr>
  </w:style>
  <w:style w:type="table" w:styleId="MediumGrid2-Accent2">
    <w:name w:val="Medium Grid 2 Accent 2"/>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2D2" w:themeFill="accent2" w:themeFillTint="40"/>
    </w:tcPr>
  </w:style>
  <w:style w:type="table" w:styleId="MediumGrid2-Accent3">
    <w:name w:val="Medium Grid 2 Accent 3"/>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5EED5" w:themeFill="accent3" w:themeFillTint="40"/>
    </w:tcPr>
  </w:style>
  <w:style w:type="table" w:styleId="MediumGrid2-Accent4">
    <w:name w:val="Medium Grid 2 Accent 4"/>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7" w:themeFill="accent4" w:themeFillTint="40"/>
    </w:tcPr>
  </w:style>
  <w:style w:type="table" w:styleId="MediumGrid2-Accent5">
    <w:name w:val="Medium Grid 2 Accent 5"/>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1EAF0" w:themeFill="accent5" w:themeFillTint="40"/>
    </w:tcPr>
  </w:style>
  <w:style w:type="table" w:styleId="MediumGrid2-Accent6">
    <w:name w:val="Medium Grid 2 Accent 6"/>
    <w:basedOn w:val="TableNormal"/>
    <w:uiPriority w:val="68"/>
    <w:locked/>
    <w:pPr>
      <w:spacing w:after="0" w:line="240" w:lineRule="auto"/>
    </w:pPr>
    <w:rPr>
      <w:rFonts w:cs="Calibri"/>
      <w:color w:val="000000" w:themeColor="dark1"/>
      <w:szCs w:val="20"/>
      <w:lang w:eastAsia="de-A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40"/>
    </w:tcPr>
  </w:style>
  <w:style w:type="table" w:styleId="MediumGrid3">
    <w:name w:val="Medium Grid 3"/>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BFBFBF" w:themeFill="dark1" w:themeFillTint="40"/>
    </w:tcPr>
  </w:style>
  <w:style w:type="table" w:styleId="MediumGrid3-Accent1">
    <w:name w:val="Medium Grid 3 Accent 1"/>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D2DFEE" w:themeFill="accent1" w:themeFillTint="40"/>
    </w:tcPr>
  </w:style>
  <w:style w:type="table" w:styleId="MediumGrid3-Accent2">
    <w:name w:val="Medium Grid 3 Accent 2"/>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EFD2D2" w:themeFill="accent2" w:themeFillTint="40"/>
    </w:tcPr>
  </w:style>
  <w:style w:type="table" w:styleId="MediumGrid3-Accent3">
    <w:name w:val="Medium Grid 3 Accent 3"/>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E5EED5" w:themeFill="accent3" w:themeFillTint="40"/>
    </w:tcPr>
  </w:style>
  <w:style w:type="table" w:styleId="MediumGrid3-Accent4">
    <w:name w:val="Medium Grid 3 Accent 4"/>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DFD8E7" w:themeFill="accent4" w:themeFillTint="40"/>
    </w:tcPr>
  </w:style>
  <w:style w:type="table" w:styleId="MediumGrid3-Accent5">
    <w:name w:val="Medium Grid 3 Accent 5"/>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D1EAF0" w:themeFill="accent5" w:themeFillTint="40"/>
    </w:tcPr>
  </w:style>
  <w:style w:type="table" w:styleId="MediumGrid3-Accent6">
    <w:name w:val="Medium Grid 3 Accent 6"/>
    <w:basedOn w:val="TableNormal"/>
    <w:uiPriority w:val="69"/>
    <w:locked/>
    <w:pPr>
      <w:spacing w:after="0" w:line="240" w:lineRule="auto"/>
    </w:pPr>
    <w:rPr>
      <w:rFonts w:cs="Calibri"/>
      <w:szCs w:val="20"/>
      <w:lang w:eastAsia="de-AT"/>
    </w:rPr>
    <w:tblPr>
      <w:tblStyleRowBandSize w:val="1"/>
      <w:tblStyleColBandSize w:val="1"/>
      <w:tblBorders>
        <w:top w:val="single" w:sz="8" w:space="0" w:color="FFFFFF" w:themeColor="light1"/>
        <w:left w:val="single" w:sz="8" w:space="0" w:color="FFFFFF" w:themeColor="light1"/>
        <w:bottom w:val="single" w:sz="8" w:space="0" w:color="FFFFFF" w:themeColor="light1"/>
        <w:right w:val="single" w:sz="8" w:space="0" w:color="FFFFFF" w:themeColor="light1"/>
        <w:insideH w:val="single" w:sz="6" w:space="0" w:color="FFFFFF" w:themeColor="light1"/>
        <w:insideV w:val="single" w:sz="6" w:space="0" w:color="FFFFFF" w:themeColor="light1"/>
      </w:tblBorders>
    </w:tblPr>
    <w:tcPr>
      <w:shd w:val="clear" w:color="auto" w:fill="FDE4D0" w:themeFill="accent6" w:themeFillTint="40"/>
    </w:tcPr>
  </w:style>
  <w:style w:type="table" w:styleId="Table3Deffects1">
    <w:name w:val="Table 3D effects 1"/>
    <w:basedOn w:val="TableNormal"/>
    <w:uiPriority w:val="99"/>
    <w:locked/>
    <w:rPr>
      <w:rFonts w:cs="Calibri"/>
      <w:szCs w:val="20"/>
      <w:lang w:eastAsia="de-AT"/>
    </w:rPr>
    <w:tblPr/>
    <w:tcPr>
      <w:shd w:val="solid" w:color="C0C0C0" w:fill="FFFFFF"/>
    </w:tcPr>
  </w:style>
  <w:style w:type="table" w:styleId="Table3Deffects2">
    <w:name w:val="Table 3D effects 2"/>
    <w:basedOn w:val="TableNormal"/>
    <w:uiPriority w:val="99"/>
    <w:locked/>
    <w:rPr>
      <w:rFonts w:cs="Calibri"/>
      <w:szCs w:val="20"/>
      <w:lang w:eastAsia="de-AT"/>
    </w:rPr>
    <w:tblPr>
      <w:tblStyleRowBandSize w:val="1"/>
    </w:tblPr>
    <w:tcPr>
      <w:shd w:val="solid" w:color="C0C0C0" w:fill="FFFFFF"/>
    </w:tcPr>
  </w:style>
  <w:style w:type="table" w:styleId="Table3Deffects3">
    <w:name w:val="Table 3D effects 3"/>
    <w:basedOn w:val="TableNormal"/>
    <w:uiPriority w:val="99"/>
    <w:locked/>
    <w:rPr>
      <w:rFonts w:cs="Calibri"/>
      <w:szCs w:val="20"/>
      <w:lang w:eastAsia="de-AT"/>
    </w:rPr>
    <w:tblPr>
      <w:tblStyleRowBandSize w:val="1"/>
      <w:tblStyleColBandSize w:val="1"/>
    </w:tblPr>
  </w:style>
  <w:style w:type="table" w:styleId="TableContemporary">
    <w:name w:val="Table Contemporary"/>
    <w:basedOn w:val="TableNormal"/>
    <w:uiPriority w:val="99"/>
    <w:locked/>
    <w:rPr>
      <w:rFonts w:cs="Calibri"/>
      <w:szCs w:val="20"/>
      <w:lang w:eastAsia="de-AT"/>
    </w:rPr>
    <w:tblPr>
      <w:tblStyleRowBandSize w:val="1"/>
      <w:tblBorders>
        <w:insideH w:val="single" w:sz="18" w:space="0" w:color="FFFFFF"/>
        <w:insideV w:val="single" w:sz="18" w:space="0" w:color="FFFFFF"/>
      </w:tblBorders>
    </w:tblPr>
  </w:style>
  <w:style w:type="table" w:styleId="TableSimple1">
    <w:name w:val="Table Simple 1"/>
    <w:basedOn w:val="TableNormal"/>
    <w:uiPriority w:val="99"/>
    <w:locked/>
    <w:rPr>
      <w:rFonts w:cs="Calibri"/>
      <w:szCs w:val="20"/>
      <w:lang w:eastAsia="de-AT"/>
    </w:rPr>
    <w:tblPr>
      <w:tblBorders>
        <w:top w:val="single" w:sz="12" w:space="0" w:color="008000"/>
        <w:bottom w:val="single" w:sz="12" w:space="0" w:color="008000"/>
      </w:tblBorders>
    </w:tblPr>
  </w:style>
  <w:style w:type="table" w:styleId="TableSimple2">
    <w:name w:val="Table Simple 2"/>
    <w:basedOn w:val="TableNormal"/>
    <w:uiPriority w:val="99"/>
    <w:locked/>
    <w:rPr>
      <w:rFonts w:cs="Calibri"/>
      <w:szCs w:val="20"/>
      <w:lang w:eastAsia="de-AT"/>
    </w:rPr>
    <w:tblPr/>
  </w:style>
  <w:style w:type="table" w:styleId="TableSimple3">
    <w:name w:val="Table Simple 3"/>
    <w:basedOn w:val="TableNormal"/>
    <w:uiPriority w:val="99"/>
    <w:locked/>
    <w:rPr>
      <w:rFonts w:cs="Calibri"/>
      <w:szCs w:val="20"/>
      <w:lang w:eastAsia="de-AT"/>
    </w:rPr>
    <w:tblPr>
      <w:tblBorders>
        <w:top w:val="single" w:sz="12" w:space="0" w:color="000000"/>
        <w:left w:val="single" w:sz="12" w:space="0" w:color="000000"/>
        <w:bottom w:val="single" w:sz="12" w:space="0" w:color="000000"/>
        <w:right w:val="single" w:sz="12" w:space="0" w:color="000000"/>
      </w:tblBorders>
    </w:tblPr>
  </w:style>
  <w:style w:type="table" w:styleId="TableElegant">
    <w:name w:val="Table Elegant"/>
    <w:basedOn w:val="TableNormal"/>
    <w:uiPriority w:val="99"/>
    <w:locked/>
    <w:rPr>
      <w:rFonts w:cs="Calibri"/>
      <w:szCs w:val="20"/>
      <w:lang w:eastAsia="de-AT"/>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Colorful1">
    <w:name w:val="Table Colorful 1"/>
    <w:basedOn w:val="TableNormal"/>
    <w:uiPriority w:val="99"/>
    <w:locked/>
    <w:rPr>
      <w:rFonts w:cs="Calibri"/>
      <w:color w:val="FFFFFF"/>
      <w:szCs w:val="20"/>
      <w:lang w:eastAsia="de-AT"/>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locked/>
    <w:rPr>
      <w:rFonts w:cs="Calibri"/>
      <w:szCs w:val="20"/>
      <w:lang w:eastAsia="de-AT"/>
    </w:rPr>
    <w:tblPr>
      <w:tblBorders>
        <w:bottom w:val="single" w:sz="12" w:space="0" w:color="000000"/>
      </w:tblBorders>
    </w:tblPr>
    <w:tcPr>
      <w:shd w:val="pct20" w:color="FFFF00" w:fill="FFFFFF"/>
    </w:tcPr>
  </w:style>
  <w:style w:type="table" w:styleId="TableColorful3">
    <w:name w:val="Table Colorful 3"/>
    <w:basedOn w:val="TableNormal"/>
    <w:uiPriority w:val="99"/>
    <w:locked/>
    <w:rPr>
      <w:rFonts w:cs="Calibri"/>
      <w:szCs w:val="20"/>
      <w:lang w:eastAsia="de-AT"/>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lassic1">
    <w:name w:val="Table Classic 1"/>
    <w:basedOn w:val="TableNormal"/>
    <w:uiPriority w:val="99"/>
    <w:locked/>
    <w:rPr>
      <w:rFonts w:cs="Calibri"/>
      <w:szCs w:val="20"/>
      <w:lang w:eastAsia="de-AT"/>
    </w:rPr>
    <w:tblPr>
      <w:tblBorders>
        <w:top w:val="single" w:sz="12" w:space="0" w:color="000000"/>
        <w:bottom w:val="single" w:sz="12" w:space="0" w:color="000000"/>
      </w:tblBorders>
    </w:tblPr>
  </w:style>
  <w:style w:type="table" w:styleId="TableClassic2">
    <w:name w:val="Table Classic 2"/>
    <w:basedOn w:val="TableNormal"/>
    <w:uiPriority w:val="99"/>
    <w:locked/>
    <w:rPr>
      <w:rFonts w:cs="Calibri"/>
      <w:szCs w:val="20"/>
      <w:lang w:eastAsia="de-AT"/>
    </w:rPr>
    <w:tblPr>
      <w:tblBorders>
        <w:top w:val="single" w:sz="12" w:space="0" w:color="000000"/>
        <w:bottom w:val="single" w:sz="12" w:space="0" w:color="000000"/>
      </w:tblBorders>
    </w:tblPr>
  </w:style>
  <w:style w:type="table" w:styleId="TableClassic3">
    <w:name w:val="Table Classic 3"/>
    <w:basedOn w:val="TableNormal"/>
    <w:uiPriority w:val="99"/>
    <w:locked/>
    <w:rPr>
      <w:rFonts w:cs="Calibri"/>
      <w:color w:val="000080"/>
      <w:szCs w:val="20"/>
      <w:lang w:eastAsia="de-AT"/>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locked/>
    <w:rPr>
      <w:rFonts w:cs="Calibri"/>
      <w:szCs w:val="20"/>
      <w:lang w:eastAsia="de-AT"/>
    </w:rPr>
    <w:tblPr>
      <w:tblBorders>
        <w:top w:val="single" w:sz="12" w:space="0" w:color="000000"/>
        <w:left w:val="single" w:sz="6" w:space="0" w:color="000000"/>
        <w:bottom w:val="single" w:sz="12" w:space="0" w:color="000000"/>
        <w:right w:val="single" w:sz="6" w:space="0" w:color="000000"/>
      </w:tblBorders>
    </w:tblPr>
  </w:style>
  <w:style w:type="table" w:styleId="TableList1">
    <w:name w:val="Table List 1"/>
    <w:basedOn w:val="TableNormal"/>
    <w:uiPriority w:val="99"/>
    <w:locked/>
    <w:rPr>
      <w:rFonts w:cs="Calibri"/>
      <w:szCs w:val="20"/>
      <w:lang w:eastAsia="de-AT"/>
    </w:rPr>
    <w:tblPr>
      <w:tblStyleRowBandSize w:val="1"/>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locked/>
    <w:rPr>
      <w:rFonts w:cs="Calibri"/>
      <w:szCs w:val="20"/>
      <w:lang w:eastAsia="de-AT"/>
    </w:rPr>
    <w:tblPr>
      <w:tblStyleRowBandSize w:val="2"/>
      <w:tblBorders>
        <w:bottom w:val="single" w:sz="12" w:space="0" w:color="808080"/>
      </w:tblBorders>
    </w:tblPr>
  </w:style>
  <w:style w:type="table" w:styleId="TableList3">
    <w:name w:val="Table List 3"/>
    <w:basedOn w:val="TableNormal"/>
    <w:uiPriority w:val="99"/>
    <w:locked/>
    <w:rPr>
      <w:rFonts w:cs="Calibri"/>
      <w:szCs w:val="20"/>
      <w:lang w:eastAsia="de-AT"/>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locked/>
    <w:rPr>
      <w:rFonts w:cs="Calibri"/>
      <w:szCs w:val="20"/>
      <w:lang w:eastAsia="de-AT"/>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locked/>
    <w:rPr>
      <w:rFonts w:cs="Calibri"/>
      <w:szCs w:val="20"/>
      <w:lang w:eastAsia="de-AT"/>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locked/>
    <w:rPr>
      <w:rFonts w:cs="Calibri"/>
      <w:szCs w:val="20"/>
      <w:lang w:eastAsia="de-AT"/>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locked/>
    <w:rPr>
      <w:rFonts w:cs="Calibri"/>
      <w:szCs w:val="20"/>
      <w:lang w:eastAsia="de-AT"/>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locked/>
    <w:rPr>
      <w:rFonts w:cs="Calibri"/>
      <w:szCs w:val="20"/>
      <w:lang w:eastAsia="de-AT"/>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locked/>
    <w:rPr>
      <w:rFonts w:cs="Calibri"/>
      <w:szCs w:val="20"/>
      <w:lang w:eastAsia="de-A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1">
    <w:name w:val="Table Grid 1"/>
    <w:basedOn w:val="TableNormal"/>
    <w:uiPriority w:val="99"/>
    <w:locked/>
    <w:rPr>
      <w:rFonts w:cs="Calibri"/>
      <w:szCs w:val="20"/>
      <w:lang w:eastAsia="de-A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locked/>
    <w:rPr>
      <w:rFonts w:cs="Calibri"/>
      <w:szCs w:val="20"/>
      <w:lang w:eastAsia="de-AT"/>
    </w:rPr>
    <w:tblPr>
      <w:tblBorders>
        <w:insideH w:val="single" w:sz="6" w:space="0" w:color="000000"/>
        <w:insideV w:val="single" w:sz="6" w:space="0" w:color="000000"/>
      </w:tblBorders>
    </w:tblPr>
  </w:style>
  <w:style w:type="table" w:styleId="TableGrid3">
    <w:name w:val="Table Grid 3"/>
    <w:basedOn w:val="TableNormal"/>
    <w:uiPriority w:val="99"/>
    <w:locked/>
    <w:rPr>
      <w:rFonts w:cs="Calibri"/>
      <w:szCs w:val="20"/>
      <w:lang w:eastAsia="de-AT"/>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locked/>
    <w:rPr>
      <w:rFonts w:cs="Calibri"/>
      <w:szCs w:val="20"/>
      <w:lang w:eastAsia="de-AT"/>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locked/>
    <w:rPr>
      <w:rFonts w:cs="Calibri"/>
      <w:szCs w:val="20"/>
      <w:lang w:eastAsia="de-A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locked/>
    <w:rPr>
      <w:rFonts w:cs="Calibri"/>
      <w:szCs w:val="20"/>
      <w:lang w:eastAsia="de-AT"/>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locked/>
    <w:rPr>
      <w:rFonts w:cs="Calibri"/>
      <w:b/>
      <w:szCs w:val="20"/>
      <w:lang w:eastAsia="de-A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locked/>
    <w:rPr>
      <w:rFonts w:cs="Calibri"/>
      <w:szCs w:val="20"/>
      <w:lang w:eastAsia="de-AT"/>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Columns1">
    <w:name w:val="Table Columns 1"/>
    <w:basedOn w:val="TableNormal"/>
    <w:uiPriority w:val="99"/>
    <w:locked/>
    <w:rPr>
      <w:rFonts w:cs="Calibri"/>
      <w:b/>
      <w:szCs w:val="20"/>
      <w:lang w:eastAsia="de-AT"/>
    </w:rPr>
    <w:tblPr>
      <w:tblStyleColBandSize w:val="1"/>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locked/>
    <w:rPr>
      <w:rFonts w:cs="Calibri"/>
      <w:b/>
      <w:szCs w:val="20"/>
      <w:lang w:eastAsia="de-AT"/>
    </w:rPr>
    <w:tblPr>
      <w:tblStyleColBandSize w:val="1"/>
    </w:tblPr>
  </w:style>
  <w:style w:type="table" w:styleId="TableColumns3">
    <w:name w:val="Table Columns 3"/>
    <w:basedOn w:val="TableNormal"/>
    <w:uiPriority w:val="99"/>
    <w:locked/>
    <w:rPr>
      <w:rFonts w:cs="Calibri"/>
      <w:b/>
      <w:szCs w:val="20"/>
      <w:lang w:eastAsia="de-AT"/>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locked/>
    <w:rPr>
      <w:rFonts w:cs="Calibri"/>
      <w:szCs w:val="20"/>
      <w:lang w:eastAsia="de-AT"/>
    </w:rPr>
    <w:tblPr>
      <w:tblStyleColBandSize w:val="1"/>
    </w:tblPr>
  </w:style>
  <w:style w:type="table" w:styleId="TableColumns5">
    <w:name w:val="Table Columns 5"/>
    <w:basedOn w:val="TableNormal"/>
    <w:uiPriority w:val="99"/>
    <w:locked/>
    <w:rPr>
      <w:rFonts w:cs="Calibri"/>
      <w:szCs w:val="20"/>
      <w:lang w:eastAsia="de-AT"/>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Subtle1">
    <w:name w:val="Table Subtle 1"/>
    <w:basedOn w:val="TableNormal"/>
    <w:uiPriority w:val="99"/>
    <w:locked/>
    <w:rPr>
      <w:rFonts w:cs="Calibri"/>
      <w:szCs w:val="20"/>
      <w:lang w:eastAsia="de-AT"/>
    </w:rPr>
    <w:tblPr>
      <w:tblStyleRowBandSize w:val="1"/>
    </w:tblPr>
  </w:style>
  <w:style w:type="table" w:styleId="TableSubtle2">
    <w:name w:val="Table Subtle 2"/>
    <w:basedOn w:val="TableNormal"/>
    <w:uiPriority w:val="99"/>
    <w:locked/>
    <w:rPr>
      <w:rFonts w:cs="Calibri"/>
      <w:szCs w:val="20"/>
      <w:lang w:eastAsia="de-AT"/>
    </w:rPr>
    <w:tblPr>
      <w:tblBorders>
        <w:left w:val="single" w:sz="6" w:space="0" w:color="000000"/>
        <w:right w:val="single" w:sz="6" w:space="0" w:color="000000"/>
      </w:tblBorders>
    </w:tblPr>
  </w:style>
  <w:style w:type="table" w:styleId="TableWeb1">
    <w:name w:val="Table Web 1"/>
    <w:basedOn w:val="TableNormal"/>
    <w:uiPriority w:val="99"/>
    <w:locked/>
    <w:rPr>
      <w:rFonts w:cs="Calibri"/>
      <w:szCs w:val="20"/>
      <w:lang w:eastAsia="de-AT"/>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locked/>
    <w:rPr>
      <w:rFonts w:cs="Calibri"/>
      <w:szCs w:val="20"/>
      <w:lang w:eastAsia="de-AT"/>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locked/>
    <w:rPr>
      <w:rFonts w:cs="Calibri"/>
      <w:szCs w:val="20"/>
      <w:lang w:eastAsia="de-AT"/>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table" w:styleId="TableTheme">
    <w:name w:val="Table Theme"/>
    <w:basedOn w:val="TableNormal"/>
    <w:uiPriority w:val="99"/>
    <w:locked/>
    <w:rPr>
      <w:rFonts w:cs="Calibri"/>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ldsymbol">
    <w:name w:val="gldsymbol"/>
    <w:basedOn w:val="DefaultParagraphFont"/>
    <w:locked/>
    <w:rPr>
      <w:rFonts w:cs="Times New Roman"/>
      <w:b/>
    </w:rPr>
  </w:style>
  <w:style w:type="paragraph" w:styleId="PlainText">
    <w:name w:val="Plain Text"/>
    <w:basedOn w:val="Normal"/>
    <w:link w:val="PlainTextChar"/>
    <w:uiPriority w:val="99"/>
    <w:locked/>
  </w:style>
  <w:style w:type="character" w:customStyle="1" w:styleId="PlainTextChar">
    <w:name w:val="Plain Text Char"/>
    <w:basedOn w:val="DefaultParagraphFont"/>
    <w:link w:val="PlainText"/>
    <w:uiPriority w:val="99"/>
    <w:locked/>
    <w:rPr>
      <w:rFonts w:ascii="Calibri" w:hAnsi="Calibri" w:cs="Calibri"/>
    </w:rPr>
  </w:style>
  <w:style w:type="paragraph" w:customStyle="1" w:styleId="52Aufzaehle1Ziffer">
    <w:name w:val="52_Aufzaehl_e1_Ziffer"/>
    <w:basedOn w:val="00LegStandard"/>
    <w:qFormat/>
    <w:rsid w:val="00D00167"/>
    <w:pPr>
      <w:tabs>
        <w:tab w:val="right" w:pos="624"/>
        <w:tab w:val="left" w:pos="680"/>
      </w:tabs>
      <w:spacing w:before="40"/>
      <w:ind w:left="680" w:hanging="680"/>
    </w:pPr>
    <w:rPr>
      <w:lang w:eastAsia="de-AT"/>
    </w:rPr>
  </w:style>
  <w:style w:type="paragraph" w:customStyle="1" w:styleId="52Aufzaehle1ZiffermitBetrag">
    <w:name w:val="52_Aufzaehl_e1_Ziffer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680" w:right="1066" w:hanging="680"/>
      <w:textAlignment w:val="baseline"/>
    </w:pPr>
    <w:rPr>
      <w:lang w:eastAsia="de-AT"/>
    </w:rPr>
  </w:style>
  <w:style w:type="paragraph" w:customStyle="1" w:styleId="52Aufzaehle1ZiffermitBetragTGUE">
    <w:name w:val="52_Aufzaehl_e1_Ziffer_mit_Betrag_TGUE"/>
    <w:basedOn w:val="52Aufzaehle1ZiffermitBetrag"/>
    <w:rsid w:val="00D00167"/>
    <w:pPr>
      <w:tabs>
        <w:tab w:val="clear" w:pos="6663"/>
        <w:tab w:val="clear" w:pos="8505"/>
        <w:tab w:val="right" w:leader="dot" w:pos="4678"/>
        <w:tab w:val="right" w:leader="dot" w:pos="6521"/>
      </w:tabs>
    </w:pPr>
  </w:style>
  <w:style w:type="paragraph" w:customStyle="1" w:styleId="52Aufzaehle2Lit">
    <w:name w:val="52_Aufzaehl_e2_Lit"/>
    <w:basedOn w:val="00LegStandard"/>
    <w:rsid w:val="00D00167"/>
    <w:pPr>
      <w:tabs>
        <w:tab w:val="right" w:pos="851"/>
        <w:tab w:val="left" w:pos="907"/>
      </w:tabs>
      <w:spacing w:before="40"/>
      <w:ind w:left="907" w:hanging="907"/>
    </w:pPr>
    <w:rPr>
      <w:lang w:eastAsia="de-AT"/>
    </w:rPr>
  </w:style>
  <w:style w:type="paragraph" w:customStyle="1" w:styleId="52Aufzaehle2LitmitBetrag">
    <w:name w:val="52_Aufzaehl_e2_Lit_mit_Betrag"/>
    <w:basedOn w:val="52Aufzaehle1ZiffermitBetrag"/>
    <w:rsid w:val="00D00167"/>
    <w:pPr>
      <w:tabs>
        <w:tab w:val="clear" w:pos="624"/>
        <w:tab w:val="clear" w:pos="680"/>
        <w:tab w:val="right" w:pos="851"/>
        <w:tab w:val="left" w:pos="907"/>
      </w:tabs>
      <w:ind w:left="907" w:hanging="907"/>
    </w:pPr>
  </w:style>
  <w:style w:type="paragraph" w:customStyle="1" w:styleId="52Aufzaehle2LitmitBetragTGUE">
    <w:name w:val="52_Aufzaehl_e2_Lit_mit_Betrag_TGUE"/>
    <w:basedOn w:val="52Aufzaehle2LitmitBetrag"/>
    <w:rsid w:val="00D00167"/>
    <w:pPr>
      <w:tabs>
        <w:tab w:val="clear" w:pos="6663"/>
        <w:tab w:val="clear" w:pos="8505"/>
        <w:tab w:val="right" w:leader="dot" w:pos="4678"/>
        <w:tab w:val="right" w:leader="dot" w:pos="6521"/>
      </w:tabs>
    </w:pPr>
  </w:style>
  <w:style w:type="paragraph" w:customStyle="1" w:styleId="52Aufzaehle3Sublit">
    <w:name w:val="52_Aufzaehl_e3_Sublit"/>
    <w:basedOn w:val="00LegStandard"/>
    <w:rsid w:val="00D00167"/>
    <w:pPr>
      <w:tabs>
        <w:tab w:val="right" w:pos="1191"/>
        <w:tab w:val="left" w:pos="1247"/>
      </w:tabs>
      <w:spacing w:before="40"/>
      <w:ind w:left="1247" w:hanging="1247"/>
    </w:pPr>
    <w:rPr>
      <w:lang w:eastAsia="de-AT"/>
    </w:rPr>
  </w:style>
  <w:style w:type="paragraph" w:customStyle="1" w:styleId="52Aufzaehle3SublitmitBetrag">
    <w:name w:val="52_Aufzaehl_e3_Sublit_mit_Betrag"/>
    <w:basedOn w:val="52Aufzaehle1ZiffermitBetrag"/>
    <w:rsid w:val="00D00167"/>
    <w:pPr>
      <w:tabs>
        <w:tab w:val="clear" w:pos="624"/>
        <w:tab w:val="clear" w:pos="680"/>
        <w:tab w:val="right" w:pos="1191"/>
        <w:tab w:val="left" w:pos="1247"/>
      </w:tabs>
      <w:ind w:left="1247" w:hanging="1247"/>
    </w:pPr>
  </w:style>
  <w:style w:type="paragraph" w:customStyle="1" w:styleId="52Aufzaehle3SublitmitBetragTGUE">
    <w:name w:val="52_Aufzaehl_e3_Sublit_mit_Betrag_TGUE"/>
    <w:basedOn w:val="52Aufzaehle3SublitmitBetrag"/>
    <w:rsid w:val="00D00167"/>
    <w:pPr>
      <w:tabs>
        <w:tab w:val="clear" w:pos="6663"/>
        <w:tab w:val="clear" w:pos="8505"/>
        <w:tab w:val="right" w:leader="dot" w:pos="4678"/>
        <w:tab w:val="right" w:leader="dot" w:pos="6521"/>
      </w:tabs>
    </w:pPr>
  </w:style>
  <w:style w:type="paragraph" w:customStyle="1" w:styleId="52Aufzaehle4Strich">
    <w:name w:val="52_Aufzaehl_e4_Strich"/>
    <w:basedOn w:val="00LegStandard"/>
    <w:rsid w:val="00D00167"/>
    <w:pPr>
      <w:tabs>
        <w:tab w:val="right" w:pos="1588"/>
        <w:tab w:val="left" w:pos="1644"/>
      </w:tabs>
      <w:spacing w:before="40"/>
      <w:ind w:left="1644" w:hanging="1644"/>
    </w:pPr>
    <w:rPr>
      <w:lang w:eastAsia="de-AT"/>
    </w:rPr>
  </w:style>
  <w:style w:type="paragraph" w:customStyle="1" w:styleId="52Aufzaehle4StrichmitBetrag">
    <w:name w:val="52_Aufzaehl_e4_Strich_mit_Betrag"/>
    <w:basedOn w:val="52Aufzaehle1ZiffermitBetrag"/>
    <w:rsid w:val="00D00167"/>
    <w:pPr>
      <w:tabs>
        <w:tab w:val="clear" w:pos="624"/>
        <w:tab w:val="clear" w:pos="680"/>
        <w:tab w:val="right" w:pos="1588"/>
        <w:tab w:val="left" w:pos="1644"/>
      </w:tabs>
      <w:ind w:left="1644" w:hanging="1644"/>
    </w:pPr>
  </w:style>
  <w:style w:type="paragraph" w:customStyle="1" w:styleId="52Aufzaehle4StrichmitBetragTGUE">
    <w:name w:val="52_Aufzaehl_e4_Strich_mit_Betrag_TGUE"/>
    <w:basedOn w:val="52Aufzaehle4StrichmitBetrag"/>
    <w:rsid w:val="00D00167"/>
    <w:pPr>
      <w:tabs>
        <w:tab w:val="clear" w:pos="6663"/>
        <w:tab w:val="clear" w:pos="8505"/>
        <w:tab w:val="right" w:leader="dot" w:pos="4678"/>
        <w:tab w:val="right" w:leader="dot" w:pos="6521"/>
      </w:tabs>
    </w:pPr>
  </w:style>
  <w:style w:type="paragraph" w:customStyle="1" w:styleId="52Aufzaehle5Strich">
    <w:name w:val="52_Aufzaehl_e5_Strich"/>
    <w:basedOn w:val="00LegStandard"/>
    <w:rsid w:val="00D00167"/>
    <w:pPr>
      <w:tabs>
        <w:tab w:val="right" w:pos="1928"/>
        <w:tab w:val="left" w:pos="1985"/>
      </w:tabs>
      <w:spacing w:before="40"/>
      <w:ind w:left="1985" w:hanging="1985"/>
    </w:pPr>
    <w:rPr>
      <w:lang w:eastAsia="de-AT"/>
    </w:rPr>
  </w:style>
  <w:style w:type="paragraph" w:customStyle="1" w:styleId="52Aufzaehle6Strich">
    <w:name w:val="52_Aufzaehl_e6_Strich"/>
    <w:basedOn w:val="00LegStandard"/>
    <w:rsid w:val="00D00167"/>
    <w:pPr>
      <w:tabs>
        <w:tab w:val="right" w:pos="2268"/>
        <w:tab w:val="left" w:pos="2325"/>
      </w:tabs>
      <w:spacing w:before="40"/>
      <w:ind w:left="2325" w:hanging="2325"/>
    </w:pPr>
    <w:rPr>
      <w:lang w:eastAsia="de-AT"/>
    </w:rPr>
  </w:style>
  <w:style w:type="paragraph" w:customStyle="1" w:styleId="52Aufzaehle7Strich">
    <w:name w:val="52_Aufzaehl_e7_Strich"/>
    <w:basedOn w:val="00LegStandard"/>
    <w:rsid w:val="00D00167"/>
    <w:pPr>
      <w:tabs>
        <w:tab w:val="right" w:pos="2608"/>
        <w:tab w:val="left" w:pos="2665"/>
      </w:tabs>
      <w:spacing w:before="40"/>
      <w:ind w:left="2665" w:hanging="2665"/>
    </w:pPr>
    <w:rPr>
      <w:lang w:eastAsia="de-AT"/>
    </w:rPr>
  </w:style>
  <w:style w:type="paragraph" w:customStyle="1" w:styleId="58Schlussteile0Abs">
    <w:name w:val="58_Schlussteil_e0_Abs"/>
    <w:basedOn w:val="00LegStandard"/>
    <w:next w:val="51Abs"/>
    <w:rsid w:val="00D00167"/>
    <w:pPr>
      <w:spacing w:before="40"/>
    </w:pPr>
    <w:rPr>
      <w:lang w:eastAsia="de-AT"/>
    </w:rPr>
  </w:style>
  <w:style w:type="paragraph" w:customStyle="1" w:styleId="58Schlussteile05">
    <w:name w:val="58_Schlussteil_e0.5"/>
    <w:basedOn w:val="00LegStandard"/>
    <w:next w:val="51Abs"/>
    <w:rsid w:val="00D00167"/>
    <w:pPr>
      <w:spacing w:before="40"/>
      <w:ind w:left="454"/>
    </w:pPr>
  </w:style>
  <w:style w:type="paragraph" w:customStyle="1" w:styleId="58Schlussteile05mitBetrag">
    <w:name w:val="58_Schlussteil_e0.5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454" w:right="1066"/>
      <w:textAlignment w:val="baseline"/>
    </w:pPr>
    <w:rPr>
      <w:lang w:eastAsia="de-AT"/>
    </w:rPr>
  </w:style>
  <w:style w:type="paragraph" w:customStyle="1" w:styleId="58Schlussteile05mitBetragTGUE">
    <w:name w:val="58_Schlussteil_e0.5_mit_Betrag_TGUE"/>
    <w:basedOn w:val="58Schlussteile05mitBetrag"/>
    <w:rsid w:val="00D00167"/>
    <w:pPr>
      <w:tabs>
        <w:tab w:val="clear" w:pos="6663"/>
        <w:tab w:val="clear" w:pos="8505"/>
        <w:tab w:val="right" w:leader="dot" w:pos="4678"/>
        <w:tab w:val="right" w:leader="dot" w:pos="6521"/>
      </w:tabs>
    </w:pPr>
  </w:style>
  <w:style w:type="paragraph" w:customStyle="1" w:styleId="58Schlussteile0AbsmitBetrag">
    <w:name w:val="58_Schlussteil_e0_Abs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right="1066"/>
      <w:textAlignment w:val="baseline"/>
    </w:pPr>
    <w:rPr>
      <w:lang w:eastAsia="de-AT"/>
    </w:rPr>
  </w:style>
  <w:style w:type="paragraph" w:customStyle="1" w:styleId="58Schlussteile0AbsmitBetragTGUE">
    <w:name w:val="58_Schlussteil_e0_Abs_mit_Betrag_TGUE"/>
    <w:basedOn w:val="58Schlussteile0AbsmitBetrag"/>
    <w:rsid w:val="00D00167"/>
    <w:pPr>
      <w:tabs>
        <w:tab w:val="clear" w:pos="6663"/>
        <w:tab w:val="clear" w:pos="8505"/>
        <w:tab w:val="right" w:leader="dot" w:pos="4678"/>
        <w:tab w:val="right" w:leader="dot" w:pos="6521"/>
      </w:tabs>
    </w:pPr>
  </w:style>
  <w:style w:type="paragraph" w:customStyle="1" w:styleId="58Schlussteile1Ziffer">
    <w:name w:val="58_Schlussteil_e1_Ziffer"/>
    <w:basedOn w:val="00LegStandard"/>
    <w:next w:val="51Abs"/>
    <w:rsid w:val="00D00167"/>
    <w:pPr>
      <w:spacing w:before="40"/>
      <w:ind w:left="680"/>
    </w:pPr>
    <w:rPr>
      <w:lang w:eastAsia="de-AT"/>
    </w:rPr>
  </w:style>
  <w:style w:type="paragraph" w:customStyle="1" w:styleId="58Schlussteile1ZiffermitBetrag">
    <w:name w:val="58_Schlussteil_e1_Ziffer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680" w:right="1066"/>
      <w:textAlignment w:val="baseline"/>
    </w:pPr>
    <w:rPr>
      <w:lang w:eastAsia="de-AT"/>
    </w:rPr>
  </w:style>
  <w:style w:type="paragraph" w:customStyle="1" w:styleId="58Schlussteile1ZiffermitBetragTGUE">
    <w:name w:val="58_Schlussteil_e1_Ziffer_mit_Betrag_TGUE"/>
    <w:basedOn w:val="58Schlussteile1ZiffermitBetrag"/>
    <w:rsid w:val="00D00167"/>
    <w:pPr>
      <w:tabs>
        <w:tab w:val="clear" w:pos="6663"/>
        <w:tab w:val="clear" w:pos="8505"/>
        <w:tab w:val="right" w:leader="dot" w:pos="4678"/>
        <w:tab w:val="right" w:leader="dot" w:pos="6521"/>
      </w:tabs>
    </w:pPr>
  </w:style>
  <w:style w:type="paragraph" w:customStyle="1" w:styleId="58Schlussteile2Lit">
    <w:name w:val="58_Schlussteil_e2_Lit"/>
    <w:basedOn w:val="00LegStandard"/>
    <w:next w:val="51Abs"/>
    <w:rsid w:val="00D00167"/>
    <w:pPr>
      <w:spacing w:before="40"/>
      <w:ind w:left="907"/>
    </w:pPr>
    <w:rPr>
      <w:lang w:eastAsia="de-AT"/>
    </w:rPr>
  </w:style>
  <w:style w:type="paragraph" w:customStyle="1" w:styleId="58Schlussteile2LitmitBetrag">
    <w:name w:val="58_Schlussteil_e2_Lit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907" w:right="1066"/>
      <w:textAlignment w:val="baseline"/>
    </w:pPr>
    <w:rPr>
      <w:lang w:eastAsia="de-AT"/>
    </w:rPr>
  </w:style>
  <w:style w:type="paragraph" w:customStyle="1" w:styleId="58Schlussteile2LitmitBetragTGUE">
    <w:name w:val="58_Schlussteil_e2_Lit_mit_Betrag_TGUE"/>
    <w:basedOn w:val="58Schlussteile2LitmitBetrag"/>
    <w:rsid w:val="00D00167"/>
    <w:pPr>
      <w:tabs>
        <w:tab w:val="clear" w:pos="6663"/>
        <w:tab w:val="clear" w:pos="8505"/>
        <w:tab w:val="right" w:leader="dot" w:pos="4678"/>
        <w:tab w:val="right" w:leader="dot" w:pos="6521"/>
      </w:tabs>
    </w:pPr>
  </w:style>
  <w:style w:type="paragraph" w:customStyle="1" w:styleId="58Schlussteile3Sublit">
    <w:name w:val="58_Schlussteil_e3_Sublit"/>
    <w:basedOn w:val="00LegStandard"/>
    <w:next w:val="51Abs"/>
    <w:rsid w:val="00D00167"/>
    <w:pPr>
      <w:spacing w:before="40"/>
      <w:ind w:left="1247"/>
    </w:pPr>
  </w:style>
  <w:style w:type="paragraph" w:customStyle="1" w:styleId="58Schlussteile3SublitmitBetrag">
    <w:name w:val="58_Schlussteil_e3_Sublit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1247" w:right="1066"/>
      <w:textAlignment w:val="baseline"/>
    </w:pPr>
    <w:rPr>
      <w:lang w:eastAsia="de-AT"/>
    </w:rPr>
  </w:style>
  <w:style w:type="paragraph" w:customStyle="1" w:styleId="58Schlussteile3SublitmitBetragTGUE">
    <w:name w:val="58_Schlussteil_e3_Sublit_mit_Betrag_TGUE"/>
    <w:basedOn w:val="58Schlussteile3SublitmitBetrag"/>
    <w:rsid w:val="00D00167"/>
    <w:pPr>
      <w:tabs>
        <w:tab w:val="clear" w:pos="6663"/>
        <w:tab w:val="clear" w:pos="8505"/>
        <w:tab w:val="right" w:leader="dot" w:pos="4678"/>
        <w:tab w:val="right" w:leader="dot" w:pos="6521"/>
      </w:tabs>
    </w:pPr>
  </w:style>
  <w:style w:type="paragraph" w:customStyle="1" w:styleId="58Schlussteile4Strich">
    <w:name w:val="58_Schlussteil_e4_Strich"/>
    <w:basedOn w:val="00LegStandard"/>
    <w:next w:val="51Abs"/>
    <w:rsid w:val="00D00167"/>
    <w:pPr>
      <w:spacing w:before="40"/>
      <w:ind w:left="1644"/>
    </w:pPr>
  </w:style>
  <w:style w:type="paragraph" w:customStyle="1" w:styleId="58Schlussteile4StrichmitBetrag">
    <w:name w:val="58_Schlussteil_e4_Strich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1644" w:right="1066"/>
      <w:textAlignment w:val="baseline"/>
    </w:pPr>
    <w:rPr>
      <w:lang w:eastAsia="de-AT"/>
    </w:rPr>
  </w:style>
  <w:style w:type="paragraph" w:customStyle="1" w:styleId="58Schlussteile4StrichmitBetragTGUE">
    <w:name w:val="58_Schlussteil_e4_Strich_mit_Betrag_TGUE"/>
    <w:basedOn w:val="58Schlussteile4StrichmitBetrag"/>
    <w:rsid w:val="00D00167"/>
    <w:pPr>
      <w:tabs>
        <w:tab w:val="clear" w:pos="6663"/>
        <w:tab w:val="clear" w:pos="8505"/>
        <w:tab w:val="right" w:leader="dot" w:pos="4678"/>
        <w:tab w:val="right" w:leader="dot" w:pos="6521"/>
      </w:tabs>
    </w:pPr>
  </w:style>
  <w:style w:type="paragraph" w:customStyle="1" w:styleId="52Aufzaehle5StrichmitBetrag">
    <w:name w:val="52_Aufzaehl_e5_Strich_mit_Betrag"/>
    <w:basedOn w:val="52Aufzaehle1ZiffermitBetrag"/>
    <w:rsid w:val="00D00167"/>
    <w:pPr>
      <w:tabs>
        <w:tab w:val="clear" w:pos="624"/>
        <w:tab w:val="clear" w:pos="680"/>
        <w:tab w:val="right" w:pos="1928"/>
        <w:tab w:val="left" w:pos="1985"/>
      </w:tabs>
      <w:ind w:left="1985" w:hanging="1985"/>
    </w:pPr>
  </w:style>
  <w:style w:type="paragraph" w:customStyle="1" w:styleId="52Aufzaehle5StrichmitBetragTGUE">
    <w:name w:val="52_Aufzaehl_e5_Strich_mit_Betrag_TGUE"/>
    <w:basedOn w:val="52Aufzaehle5StrichmitBetrag"/>
    <w:rsid w:val="00D00167"/>
    <w:pPr>
      <w:tabs>
        <w:tab w:val="clear" w:pos="6663"/>
        <w:tab w:val="clear" w:pos="8505"/>
        <w:tab w:val="right" w:leader="dot" w:pos="4678"/>
        <w:tab w:val="right" w:leader="dot" w:pos="6521"/>
      </w:tabs>
    </w:pPr>
  </w:style>
  <w:style w:type="paragraph" w:customStyle="1" w:styleId="52Aufzaehle6StrichmitBetrag">
    <w:name w:val="52_Aufzaehl_e6_Strich_mit_Betrag"/>
    <w:basedOn w:val="52Aufzaehle1ZiffermitBetrag"/>
    <w:rsid w:val="00D00167"/>
    <w:pPr>
      <w:tabs>
        <w:tab w:val="clear" w:pos="624"/>
        <w:tab w:val="clear" w:pos="680"/>
        <w:tab w:val="right" w:pos="2268"/>
        <w:tab w:val="left" w:pos="2325"/>
      </w:tabs>
      <w:ind w:left="2325" w:hanging="2325"/>
    </w:pPr>
  </w:style>
  <w:style w:type="paragraph" w:customStyle="1" w:styleId="52Aufzaehle6StrichmitBetragTGUE">
    <w:name w:val="52_Aufzaehl_e6_Strich_mit_Betrag_TGUE"/>
    <w:basedOn w:val="52Aufzaehle6StrichmitBetrag"/>
    <w:rsid w:val="00D00167"/>
    <w:pPr>
      <w:tabs>
        <w:tab w:val="clear" w:pos="6663"/>
        <w:tab w:val="clear" w:pos="8505"/>
        <w:tab w:val="right" w:leader="dot" w:pos="4678"/>
        <w:tab w:val="right" w:leader="dot" w:pos="6521"/>
      </w:tabs>
    </w:pPr>
  </w:style>
  <w:style w:type="paragraph" w:customStyle="1" w:styleId="52Aufzaehle7StrichmitBetrag">
    <w:name w:val="52_Aufzaehl_e7_Strich_mit_Betrag"/>
    <w:basedOn w:val="52Aufzaehle1ZiffermitBetrag"/>
    <w:rsid w:val="00D00167"/>
    <w:pPr>
      <w:tabs>
        <w:tab w:val="clear" w:pos="624"/>
        <w:tab w:val="clear" w:pos="680"/>
        <w:tab w:val="right" w:pos="2608"/>
        <w:tab w:val="left" w:pos="2665"/>
      </w:tabs>
      <w:ind w:left="2665" w:hanging="2665"/>
    </w:pPr>
  </w:style>
  <w:style w:type="paragraph" w:customStyle="1" w:styleId="52Aufzaehle7StrichmitBetragTGUE">
    <w:name w:val="52_Aufzaehl_e7_Strich_mit_Betrag_TGUE"/>
    <w:basedOn w:val="52Aufzaehle7StrichmitBetrag"/>
    <w:rsid w:val="00D00167"/>
    <w:pPr>
      <w:tabs>
        <w:tab w:val="clear" w:pos="6663"/>
        <w:tab w:val="clear" w:pos="8505"/>
        <w:tab w:val="right" w:leader="dot" w:pos="4678"/>
        <w:tab w:val="right" w:leader="dot" w:pos="6521"/>
      </w:tabs>
    </w:pPr>
  </w:style>
  <w:style w:type="paragraph" w:customStyle="1" w:styleId="58Schlussteile5Strich">
    <w:name w:val="58_Schlussteil_e5_Strich"/>
    <w:basedOn w:val="00LegStandard"/>
    <w:next w:val="51Abs"/>
    <w:rsid w:val="00D00167"/>
    <w:pPr>
      <w:spacing w:before="40"/>
      <w:ind w:left="1985"/>
    </w:pPr>
  </w:style>
  <w:style w:type="paragraph" w:customStyle="1" w:styleId="58Schlussteile5StrichmitBetrag">
    <w:name w:val="58_Schlussteil_e5_Strich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1985" w:right="1066"/>
      <w:textAlignment w:val="baseline"/>
    </w:pPr>
    <w:rPr>
      <w:lang w:eastAsia="de-AT"/>
    </w:rPr>
  </w:style>
  <w:style w:type="paragraph" w:customStyle="1" w:styleId="58Schlussteile5StrichmitBetragTGUE">
    <w:name w:val="58_Schlussteil_e5_Strich_mit_Betrag_TGUE"/>
    <w:basedOn w:val="58Schlussteile5StrichmitBetrag"/>
    <w:rsid w:val="00D00167"/>
    <w:pPr>
      <w:tabs>
        <w:tab w:val="clear" w:pos="6663"/>
        <w:tab w:val="clear" w:pos="8505"/>
        <w:tab w:val="right" w:leader="dot" w:pos="4678"/>
        <w:tab w:val="right" w:leader="dot" w:pos="6521"/>
      </w:tabs>
    </w:pPr>
  </w:style>
  <w:style w:type="paragraph" w:customStyle="1" w:styleId="58Schlussteile6Strich">
    <w:name w:val="58_Schlussteil_e6_Strich"/>
    <w:basedOn w:val="00LegStandard"/>
    <w:next w:val="51Abs"/>
    <w:rsid w:val="00D00167"/>
    <w:pPr>
      <w:spacing w:before="40"/>
      <w:ind w:left="2325"/>
    </w:pPr>
  </w:style>
  <w:style w:type="paragraph" w:customStyle="1" w:styleId="58Schlussteile6StrichmitBetrag">
    <w:name w:val="58_Schlussteil_e6_Strich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2325" w:right="1066"/>
      <w:textAlignment w:val="baseline"/>
    </w:pPr>
    <w:rPr>
      <w:lang w:eastAsia="de-AT"/>
    </w:rPr>
  </w:style>
  <w:style w:type="paragraph" w:customStyle="1" w:styleId="58Schlussteile6StrichmitBetragTGUE">
    <w:name w:val="58_Schlussteil_e6_Strich_mit_Betrag_TGUE"/>
    <w:basedOn w:val="58Schlussteile6StrichmitBetrag"/>
    <w:rsid w:val="00D00167"/>
    <w:pPr>
      <w:tabs>
        <w:tab w:val="clear" w:pos="6663"/>
        <w:tab w:val="clear" w:pos="8505"/>
        <w:tab w:val="right" w:leader="dot" w:pos="4678"/>
        <w:tab w:val="right" w:leader="dot" w:pos="6521"/>
      </w:tabs>
    </w:pPr>
  </w:style>
  <w:style w:type="paragraph" w:customStyle="1" w:styleId="58Schlussteile7Strich">
    <w:name w:val="58_Schlussteil_e7_Strich"/>
    <w:basedOn w:val="00LegStandard"/>
    <w:next w:val="51Abs"/>
    <w:rsid w:val="00D00167"/>
    <w:pPr>
      <w:spacing w:before="40"/>
      <w:ind w:left="2665"/>
    </w:pPr>
  </w:style>
  <w:style w:type="paragraph" w:customStyle="1" w:styleId="58Schlussteile7StrichmitBetrag">
    <w:name w:val="58_Schlussteil_e7_Strich_mit_Betrag"/>
    <w:basedOn w:val="00LegStandard"/>
    <w:rsid w:val="00D00167"/>
    <w:pPr>
      <w:widowControl w:val="0"/>
      <w:tabs>
        <w:tab w:val="right" w:pos="624"/>
        <w:tab w:val="left" w:pos="680"/>
        <w:tab w:val="right" w:leader="dot" w:pos="6663"/>
        <w:tab w:val="right" w:leader="dot" w:pos="8505"/>
      </w:tabs>
      <w:overflowPunct w:val="0"/>
      <w:autoSpaceDE w:val="0"/>
      <w:autoSpaceDN w:val="0"/>
      <w:adjustRightInd w:val="0"/>
      <w:spacing w:before="40"/>
      <w:ind w:left="2665" w:right="1066"/>
      <w:textAlignment w:val="baseline"/>
    </w:pPr>
    <w:rPr>
      <w:lang w:eastAsia="de-AT"/>
    </w:rPr>
  </w:style>
  <w:style w:type="paragraph" w:customStyle="1" w:styleId="58Schlussteile7StrichmitBetragTGUE">
    <w:name w:val="58_Schlussteil_e7_Strich_mit_Betrag_TGUE"/>
    <w:basedOn w:val="58Schlussteile7StrichmitBetrag"/>
    <w:rsid w:val="00D00167"/>
    <w:pPr>
      <w:tabs>
        <w:tab w:val="clear" w:pos="6663"/>
        <w:tab w:val="clear" w:pos="8505"/>
        <w:tab w:val="right" w:leader="dot" w:pos="4678"/>
        <w:tab w:val="right" w:leader="dot" w:pos="6521"/>
      </w:tabs>
    </w:pPr>
  </w:style>
  <w:style w:type="paragraph" w:customStyle="1" w:styleId="PDFuzeile">
    <w:name w:val="PD_Fußzeile"/>
    <w:basedOn w:val="Footer"/>
    <w:rsid w:val="00D00167"/>
    <w:pPr>
      <w:shd w:val="clear" w:color="auto" w:fill="CCCCCC"/>
      <w:spacing w:before="120"/>
      <w:jc w:val="center"/>
    </w:pPr>
    <w:rPr>
      <w:rFonts w:ascii="Times" w:eastAsia="Times New Roman" w:hAnsi="Times"/>
      <w:b/>
      <w:sz w:val="18"/>
    </w:rPr>
  </w:style>
  <w:style w:type="paragraph" w:customStyle="1" w:styleId="CM4">
    <w:name w:val="CM4"/>
    <w:basedOn w:val="Normal"/>
    <w:next w:val="Normal"/>
    <w:uiPriority w:val="99"/>
    <w:locked/>
    <w:rPr>
      <w:rFonts w:ascii="EUAlbertina" w:hAnsi="EUAlbertina" w:cs="EUAlbertina"/>
    </w:rPr>
  </w:style>
  <w:style w:type="paragraph" w:styleId="Caption">
    <w:name w:val="caption"/>
    <w:basedOn w:val="Normal"/>
    <w:next w:val="Normal"/>
    <w:uiPriority w:val="35"/>
    <w:qFormat/>
    <w:locked/>
    <w:pPr>
      <w:spacing w:before="120" w:after="120"/>
    </w:pPr>
    <w:rPr>
      <w:b/>
      <w:sz w:val="20"/>
    </w:rPr>
  </w:style>
  <w:style w:type="paragraph" w:customStyle="1" w:styleId="abs">
    <w:name w:val="abs"/>
    <w:basedOn w:val="Normal"/>
    <w:locked/>
    <w:pPr>
      <w:spacing w:before="80" w:line="288" w:lineRule="auto"/>
      <w:ind w:firstLine="397"/>
    </w:pPr>
    <w:rPr>
      <w:sz w:val="20"/>
    </w:rPr>
  </w:style>
  <w:style w:type="paragraph" w:styleId="NoSpacing">
    <w:name w:val="No Spacing"/>
    <w:uiPriority w:val="1"/>
    <w:qFormat/>
    <w:locked/>
    <w:pPr>
      <w:spacing w:after="0" w:line="240" w:lineRule="auto"/>
    </w:pPr>
    <w:rPr>
      <w:rFonts w:ascii="Trebuchet MS" w:hAnsi="Trebuchet MS" w:cs="Trebuchet MS"/>
      <w:szCs w:val="20"/>
      <w:lang w:eastAsia="de-AT"/>
    </w:rPr>
  </w:style>
  <w:style w:type="character" w:customStyle="1" w:styleId="highlighted">
    <w:name w:val="highlighted"/>
    <w:basedOn w:val="DefaultParagraphFont"/>
    <w:locked/>
    <w:rPr>
      <w:rFonts w:cs="Times New Roman"/>
      <w:color w:val="000000"/>
      <w:shd w:val="clear" w:color="auto" w:fill="D1DDFF"/>
    </w:rPr>
  </w:style>
  <w:style w:type="paragraph" w:styleId="CommentText">
    <w:name w:val="annotation text"/>
    <w:basedOn w:val="Normal"/>
    <w:link w:val="CommentTextChar"/>
    <w:uiPriority w:val="99"/>
    <w:locked/>
    <w:rPr>
      <w:sz w:val="20"/>
    </w:rPr>
  </w:style>
  <w:style w:type="character" w:customStyle="1" w:styleId="CommentTextChar">
    <w:name w:val="Comment Text Char"/>
    <w:basedOn w:val="DefaultParagraphFont"/>
    <w:link w:val="CommentText"/>
    <w:uiPriority w:val="99"/>
    <w:locked/>
    <w:rPr>
      <w:rFonts w:ascii="Calibri" w:hAnsi="Calibri" w:cs="Calibri"/>
      <w:color w:val="000000"/>
      <w:sz w:val="20"/>
    </w:rPr>
  </w:style>
  <w:style w:type="paragraph" w:styleId="CommentSubject">
    <w:name w:val="annotation subject"/>
    <w:basedOn w:val="CommentText"/>
    <w:next w:val="CommentText"/>
    <w:link w:val="CommentSubjectChar"/>
    <w:uiPriority w:val="99"/>
    <w:locked/>
    <w:rPr>
      <w:b/>
    </w:rPr>
  </w:style>
  <w:style w:type="character" w:customStyle="1" w:styleId="CommentSubjectChar">
    <w:name w:val="Comment Subject Char"/>
    <w:basedOn w:val="CommentTextChar"/>
    <w:link w:val="CommentSubject"/>
    <w:uiPriority w:val="99"/>
    <w:locked/>
    <w:rPr>
      <w:rFonts w:ascii="Calibri" w:hAnsi="Calibri" w:cs="Calibri"/>
      <w:b/>
      <w:color w:val="000000"/>
      <w:sz w:val="20"/>
    </w:rPr>
  </w:style>
  <w:style w:type="paragraph" w:customStyle="1" w:styleId="Default">
    <w:name w:val="Default"/>
    <w:basedOn w:val="Normal"/>
    <w:locked/>
    <w:rPr>
      <w:rFonts w:ascii="Arial" w:hAnsi="Arial" w:cs="Arial"/>
    </w:rPr>
  </w:style>
  <w:style w:type="paragraph" w:customStyle="1" w:styleId="64FNLinie">
    <w:name w:val="64_FN_Linie"/>
    <w:basedOn w:val="00LegStandard"/>
    <w:next w:val="65FNText"/>
    <w:locked/>
    <w:pPr>
      <w:pBdr>
        <w:top w:val="single" w:sz="4" w:space="1" w:color="auto"/>
      </w:pBdr>
      <w:spacing w:after="260"/>
      <w:ind w:right="7371"/>
    </w:pPr>
  </w:style>
  <w:style w:type="paragraph" w:customStyle="1" w:styleId="06UrheberZitat">
    <w:name w:val="06_UrheberZitat"/>
    <w:basedOn w:val="Normal"/>
    <w:locked/>
    <w:pPr>
      <w:spacing w:before="120" w:after="120" w:line="180" w:lineRule="exact"/>
      <w:jc w:val="center"/>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name="Larissa">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23101</Words>
  <Characters>120435</Characters>
  <Application>Microsoft Office Word</Application>
  <DocSecurity>0</DocSecurity>
  <Lines>1721</Lines>
  <Paragraphs>681</Paragraphs>
  <ScaleCrop>false</ScaleCrop>
  <HeadingPairs>
    <vt:vector size="6" baseType="variant">
      <vt:variant>
        <vt:lpstr>Title</vt:lpstr>
      </vt:variant>
      <vt:variant>
        <vt:i4>1</vt:i4>
      </vt:variant>
      <vt:variant>
        <vt:lpstr>Titel</vt:lpstr>
      </vt:variant>
      <vt:variant>
        <vt:i4>1</vt:i4>
      </vt:variant>
      <vt:variant>
        <vt:lpstr>Überschriften</vt:lpstr>
      </vt:variant>
      <vt:variant>
        <vt:i4>100</vt:i4>
      </vt:variant>
    </vt:vector>
  </HeadingPairs>
  <TitlesOfParts>
    <vt:vector size="102" baseType="lpstr">
      <vt:lpstr/>
      <vt:lpstr/>
      <vt:lpstr>BUNDESGESETZBLATT</vt:lpstr>
      <vt:lpstr>        1. Im Inhaltsverzeichnis lautet der Eintrag zu § 9:</vt:lpstr>
      <vt:lpstr>        2. Im Inhaltsverzeichnis werden nach dem Eintrag zu § 12 folgende Einträge zu § </vt:lpstr>
      <vt:lpstr>        3. Im Inhaltsverzeichnis lautet der Eintrag zu § 13a:</vt:lpstr>
      <vt:lpstr>        4. Im Inhaltsverzeichnis werden nach dem Eintrag zu § 13m folgende Einträge zu §</vt:lpstr>
      <vt:lpstr>        5. Im Inhaltsverzeichnis werden nach dem Eintrag zu § 14 folgende Einträge zu § </vt:lpstr>
      <vt:lpstr>        6. Im Inhaltsverzeichnis lautet der Eintrag zu § 18:</vt:lpstr>
      <vt:lpstr>        7. Im Inhaltsverzeichnis lautet der Eintrag zu § 19:</vt:lpstr>
      <vt:lpstr>        8. Im Inhaltsverzeichnis wird nach dem Eintrag zu § 22d folgender Eintrag zu § 2</vt:lpstr>
      <vt:lpstr>        9. Im Inhaltsverzeichnis lautet der Eintrag zu § 27:</vt:lpstr>
      <vt:lpstr>        10. Im Inhaltsverzeichnis wird nach dem Eintrag zu § 28a folgender Eintrag zu § </vt:lpstr>
      <vt:lpstr>        11. Im Inhaltsverzeichnis lautet die Überschrift des 5. Abschnittes „Regime der </vt:lpstr>
      <vt:lpstr>        12. Im Inhaltsverzeichnis wird vor dem Eintrag zu § 29 folgender Eintrag zu § 28</vt:lpstr>
      <vt:lpstr>        13. Im Inhaltsverzeichnis entfallen die Einträge zu den §§ 33 bis 35.</vt:lpstr>
      <vt:lpstr>        14. Im Inhaltsverzeichnis wird nach dem Eintrag zu § 72a folgender Eintrag zu § </vt:lpstr>
      <vt:lpstr>        15. Im Inhaltsverzeichnis werden nach dem Eintrag zu Anhang 1 folgende Einträge </vt:lpstr>
      <vt:lpstr>        16. Im § 1 Abs. 1 wird am Ende der Z 2 der Beistrich durch einen Strichpunkt ers</vt:lpstr>
      <vt:lpstr>        17. Im § 1 Abs. 1 wird am Ende der Z 3 vor dem Beistrich die Wortfolge „und die </vt:lpstr>
      <vt:lpstr>        18. Im § 1 Abs. 1 wird nach der Z 3 folgende Z 3a eingefügt:</vt:lpstr>
      <vt:lpstr>        19. § 1 Abs. 2a Z 4 lautet:</vt:lpstr>
      <vt:lpstr>        20. Im § 1 Abs. 2a wird folgende Z 5 angefügt:</vt:lpstr>
      <vt:lpstr>        21. Im § 2 Abs. 3a wird im Einleitungsteil die Wortfolge „kann nur dann“ durch d</vt:lpstr>
      <vt:lpstr>        22. § 2 Abs. 4 Z 2 lautet:</vt:lpstr>
      <vt:lpstr>        23. Im § 2 Abs. 4 wird nach der Z 3 folgende Z 3a eingefügt:</vt:lpstr>
      <vt:lpstr>        24. Dem § 2 Abs. 4 werden folgende Z 6 bis 9 angefügt:</vt:lpstr>
      <vt:lpstr>        25. Im § 2 Abs. 5 wird nach der Z 2 folgende Z 2a eingefügt:</vt:lpstr>
      <vt:lpstr>        26. § 2 Abs. 5 Z 3 lit. c lautet:</vt:lpstr>
      <vt:lpstr>        27. Im § 2 Abs. 5 wird nach der Z 7 folgende Z 7a eingefügt:</vt:lpstr>
      <vt:lpstr>        28. Im § 2 Abs. 5 wird nach der Z 9 folgende Z 10 angefügt:</vt:lpstr>
      <vt:lpstr>        29. Im § 2 Abs. 7 wird am Ende in der Z 4 der Punkt durch einen Strichpunkt erse</vt:lpstr>
      <vt:lpstr>        30. Im § 2 Abs. 8 wird nach der Z 4 folgende Z 4a eingefügt:</vt:lpstr>
      <vt:lpstr>        31. Im § 2 Abs. 10 lautet der Einleitungsteil:</vt:lpstr>
      <vt:lpstr>        32. Im § 2 Abs. 10 wird in der Z 6 der Punkt durch einen Strichpunkt ersetzt und</vt:lpstr>
      <vt:lpstr>        33. Im § 3 Abs. 1 wird am Ende der Z 8 der Punkt durch einen Beistrich ersetzt u</vt:lpstr>
      <vt:lpstr>        34. Im § 4, § 5 Abs. 2, 6 und 7, § 8 Abs. 4, § 8a Abs. 5 und 7, § 9a Abs. 1 und </vt:lpstr>
      <vt:lpstr>        35. Im § 4 wird am Ende der Z 3 der Punkt durch einen Strichpunkt ersetzt und fo</vt:lpstr>
      <vt:lpstr>        36. Dem § 5 Abs. 1 wird folgender Satz angefügt:</vt:lpstr>
      <vt:lpstr>        37. Im § 5 wird nach dem Abs. 1 folgender Abs. 1a eingefügt:</vt:lpstr>
      <vt:lpstr>        38. § 5 Abs. 2 Z 1 lautet:</vt:lpstr>
      <vt:lpstr>        39. § 5 Abs. 3 Z 3 lautet:</vt:lpstr>
      <vt:lpstr>        40. § 5 Abs. 3 Z 5 lautet:</vt:lpstr>
      <vt:lpstr>        41. Im § 5 Abs. 3 wird in der Z 6 der Punkt durch das Wort „und“ ersetzt und fol</vt:lpstr>
      <vt:lpstr>        42. Dem § 5 Abs. 3 und dem § 23 Abs. 1 und 2 wird folgender Schlussteil angefügt</vt:lpstr>
      <vt:lpstr>        43. § 5 Abs. 4 lautet:</vt:lpstr>
      <vt:lpstr>        44. Im § 5 Abs. 5, § 7 Abs. 1 und 7, § 8 Abs. 5, § 8b Abs. 3, § 13, § 13d Abs. 3</vt:lpstr>
      <vt:lpstr>        45. Im § 5 Abs. 5, § 29 Abs. 4b und 7, § 33 Abs. 2, § 34 Abs. 4, § 59l Abs. 6, §</vt:lpstr>
      <vt:lpstr>        46. Im § 6 Abs. 1 wird nach dem ersten Satz folgender Satz eingefügt:</vt:lpstr>
      <vt:lpstr>        47. Im § 6 Abs. 5 wird nach der Wortfolge „ob oder inwieweit eine Sache einer Ve</vt:lpstr>
      <vt:lpstr>        48. Im § 6 Abs. 5, § 7 Abs. 3 und 4, § 8 Abs. 1 und 2, § 8a Abs. 3, 4 und 6, § 8</vt:lpstr>
      <vt:lpstr>        49. Dem § 6 Abs. 7 wird folgender Satz angefügt:</vt:lpstr>
      <vt:lpstr>        50. Im § 7 Abs. 1 werden die Z 1 und 2 durch folgende Z 1 bis 3 ersetzt:</vt:lpstr>
      <vt:lpstr>        51. Im § 7 Abs. 2, § 8 Abs. 2, § 8a Abs. 5 und § 21 Abs. 1 wird jeweils die Wort</vt:lpstr>
      <vt:lpstr>        52. Im § 7 Abs. 4 wird nach dem ersten Satz folgender Satz eingefügt:</vt:lpstr>
      <vt:lpstr>        53. Im § 7 Abs. 5 wird die Wortfolge „Einzelchargenausstufung oder Prozessausstu</vt:lpstr>
      <vt:lpstr>        54. Im § 7 Abs. 6 wird die Wortfolge „verfestigten, stabilisierten oder immobili</vt:lpstr>
      <vt:lpstr>        55. Im § 7 Abs. 7 wird das Wort „Prozessausstufung“ durch die Wortfolge „Ausstuf</vt:lpstr>
      <vt:lpstr>        56. Im § 8 Abs. 2 wird die Wortfolge „der Bundesminister für Wirtschaft, Familie</vt:lpstr>
      <vt:lpstr>        57. Im § 8 Abs. 2, § 8a Abs. 3, 5 und 6, § 29 Abs. 4 und 4b und § 34 Abs. 1, 3 u</vt:lpstr>
      <vt:lpstr>        58. Im § 8 Abs. 3 wird der Z 4 vor dem Strichpunkt folgende Wortfolge angefügt:</vt:lpstr>
      <vt:lpstr>        59. Im § 8 Abs. 3 lautet die Z 5:</vt:lpstr>
      <vt:lpstr>        60. Im § 8 Abs. 3 werden nach der Z 8 folgende Z 8a und 8b eingefügt:</vt:lpstr>
      <vt:lpstr>        61. Im § 8 Abs. 3 Z 9 wird nach der Wortfolge „Vorkehrungen für bestimmte Abfäll</vt:lpstr>
      <vt:lpstr>        62. Dem § 8 Abs. 3 wird folgender Schlussteil angefügt:</vt:lpstr>
      <vt:lpstr>        63. Im § 8b Abs. 3 wird die Wortfolge „Beim Bundesminister für Land- und Forstwi</vt:lpstr>
      <vt:lpstr>        64. § 9 samt Überschrift lautet:</vt:lpstr>
      <vt:lpstr>        65. Im § 9a Abs. 2 wird am Ende der Z 2 vor dem Strichpunkt die Wortfolge „einsc</vt:lpstr>
      <vt:lpstr>        66. Im § 9a Abs. 2 wird am Ende der Z 3 vor dem Strichpunkt die Wortfolge „und e</vt:lpstr>
      <vt:lpstr>        67. Im § 9a Abs. 2 wird am Ende der Z 5 der Punkt durch einen Strichpunkt ersetz</vt:lpstr>
      <vt:lpstr>        68. § 11 Abs. 2 lautet:</vt:lpstr>
      <vt:lpstr>        69. Nach § 12 werden folgende §§ 12a bis 12c samt Überschriften eingefügt:</vt:lpstr>
      <vt:lpstr>        70. § 13a samt Überschrift lautet:</vt:lpstr>
      <vt:lpstr>        71. Im § 13b Abs. 1 wird am Ende der Z 9 der Punkt durch einen Strichpunkt erset</vt:lpstr>
      <vt:lpstr>        72. Im § 13b Abs. 5 wird das Zitat „§ 5 Abs. 1 des Datenschutzgesetzes 2000“ dur</vt:lpstr>
      <vt:lpstr>        73. Im § 13d Abs. 1, § 14 Abs. 6 Z 4, § 22 Abs. 1 Z 2 lit. c, § 23 Abs. 2, § 29 </vt:lpstr>
      <vt:lpstr>        74. § 13g Abs. 2 lautet:</vt:lpstr>
      <vt:lpstr>        75. Im § 13g Abs. 3 wird die Z 1 durch folgende Z 1 und 1a ersetzt:</vt:lpstr>
      <vt:lpstr>        76. Im § 13g Abs. 3 werden am Ende der Z 3 der Punkt durch einen Beistrich erset</vt:lpstr>
      <vt:lpstr>        77. Dem § 13g wird folgender Abs. 5 angefügt:</vt:lpstr>
      <vt:lpstr>        78. Im § 13h Abs. 1 lautet der vorletzte Satz:</vt:lpstr>
      <vt:lpstr>        79. Im § 13m Abs. 2, § 20a, § 21 Abs. 2c, § 22 Abs. 4, 5, 5a, 5b, 6, 8 und 10, §</vt:lpstr>
      <vt:lpstr>        80. Nach § 13m werden folgende §§ 13n bis 13q samt Überschriften eingefügt:</vt:lpstr>
      <vt:lpstr>        81. Im § 14 Abs. 1 wird im ersten Satz die Wortfolge „der Ziele gemäß § 9“ durch</vt:lpstr>
      <vt:lpstr>        82. Im § 14 Abs. 1, 6 und 7, § 23 Abs. 1 und 3, § 29b Abs. 5, § 36, § 65 Abs. 1 </vt:lpstr>
      <vt:lpstr>        83. Im § 14 Abs. 2 Z 1 wird folgende Wortfolge angefügt:</vt:lpstr>
      <vt:lpstr>        84. Im § 14 Abs. 2 wird nach der Z 2 folgende Z 2a eingefügt:</vt:lpstr>
      <vt:lpstr>        85. Im § 14 Abs. 2 werden nach der Z 3 folgende Z 3a und 3b eingefügt:</vt:lpstr>
      <vt:lpstr>        86. Im § 14 Abs. 2 wird nach der Z 5 folgende Z 5a eingefügt:</vt:lpstr>
      <vt:lpstr>        87. Dem § 14 Abs. 2 wird folgender Satz angefügt:</vt:lpstr>
      <vt:lpstr>        88. Im § 14 Abs. 4, § 32 Abs. 4 und § 34 Abs. 2 wird jeweils die Wortfolge „vom </vt:lpstr>
      <vt:lpstr>        89. Nach § 14 werden folgende §§ 14a bis 14c samt Überschriften eingefügt:</vt:lpstr>
      <vt:lpstr>        90. Im § 15 wird nach Abs. 4a folgender Abs. 4b eingefügt:</vt:lpstr>
      <vt:lpstr>        91. Dem § 15 wird folgender Abs. 9 angefügt:</vt:lpstr>
      <vt:lpstr>        92. Im § 16 Abs. 3 Z 1 wird die Wortfolge „Altöle sind einem Recycling“ durch di</vt:lpstr>
      <vt:lpstr>        93. Im § 16 Abs. 4 wird die Wortfolge „Abfälle, die gemäß Anhang IV der Verordnu</vt:lpstr>
      <vt:lpstr>        94. Im § 16 Abs. 7 wird im Einleitungsteil die Wortfolge „Abfälle, die im Zuge v</vt:lpstr>
      <vt:lpstr>        95. Dem § 17 wird folgender Abs. 6 angefügt:</vt:lpstr>
      <vt:lpstr>        96. Die Überschrift zu § 18 lautet:</vt:lpstr>
      <vt:lpstr>        97. Dem § 18 Abs. 1 wird folgender Satz angefügt:</vt:lpstr>
      <vt:lpstr>        98. Im § 18 Abs. 3 wird nach dem Wort „Landeshauptmann“ die Wortfolge „im Wege d</vt:lpstr>
      <vt:lpstr>        99. Dem § 18 wird folgender Abs. 8 angefügt:</vt:lpstr>
    </vt:vector>
  </TitlesOfParts>
  <Company/>
  <LinksUpToDate>false</LinksUpToDate>
  <CharactersWithSpaces>143149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class='Internal'</cp:keywords>
  <dc:description/>
  <cp:lastModifiedBy/>
  <cp:revision>1</cp:revision>
  <dcterms:created xsi:type="dcterms:W3CDTF">2022-02-28T15:29:00Z</dcterms:created>
  <dcterms:modified xsi:type="dcterms:W3CDTF">2022-02-28T15:29:00Z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aFormatMigrationDone">
    <vt:bool>true</vt:bool>
  </property>
  <property fmtid="{D5CDD505-2E9C-101B-9397-08002B2CF9AE}" pid="3" name="LegistikVersion">
    <vt:lpwstr>1.7.6.0 (26.02.2021)</vt:lpwstr>
  </property>
  <property fmtid="{D5CDD505-2E9C-101B-9397-08002B2CF9AE}" pid="4" name="BKALegistikAktiv">
    <vt:bool>false</vt:bool>
  </property>
</Properties>
</file>