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F774" w14:textId="7DEFCC7F" w:rsidR="00E526B5" w:rsidRDefault="00B670F2" w:rsidP="00CC0ADF">
      <w:pPr>
        <w:ind w:left="709" w:hanging="720"/>
        <w:jc w:val="both"/>
        <w:outlineLvl w:val="3"/>
      </w:pPr>
      <w:r>
        <w:rPr>
          <w:sz w:val="22"/>
        </w:rPr>
        <w:t xml:space="preserve">KAPITEL 4:</w:t>
      </w:r>
      <w:r>
        <w:rPr>
          <w:sz w:val="22"/>
        </w:rPr>
        <w:t xml:space="preserve"> </w:t>
      </w:r>
      <w:r>
        <w:rPr>
          <w:sz w:val="22"/>
        </w:rPr>
        <w:t xml:space="preserve">Tillgänglighet till transportmedel</w:t>
      </w:r>
    </w:p>
    <w:p w14:paraId="456422CC" w14:textId="551AF3E3" w:rsidR="00CC0ADF" w:rsidRPr="00CC0ADF" w:rsidRDefault="00CC0ADF" w:rsidP="000F4434">
      <w:pPr>
        <w:pStyle w:val="ListParagraph"/>
        <w:numPr>
          <w:ilvl w:val="1"/>
          <w:numId w:val="2"/>
        </w:numPr>
        <w:ind w:left="709"/>
        <w:jc w:val="both"/>
        <w:outlineLvl w:val="3"/>
        <w:rPr>
          <w:bCs/>
          <w:sz w:val="22"/>
          <w:szCs w:val="22"/>
          <w:rFonts w:cs="Arial"/>
        </w:rPr>
      </w:pPr>
      <w:r>
        <w:rPr>
          <w:sz w:val="22"/>
        </w:rPr>
        <w:t xml:space="preserve">När en taxitjänst erbjuds via telefonbokning måste denna tjänst utöka beställningssätten med användning av ny teknik, applikationer, internet, textmeddelanden, fax eller dylikt så att alla användare, även personer med hörselnedsättning, kan beställa tjänsten på egen hand.</w:t>
      </w:r>
    </w:p>
    <w:p w14:paraId="2D97C4D3" w14:textId="77777777" w:rsidR="00CC0ADF" w:rsidRPr="000F0A63" w:rsidRDefault="00CC0ADF" w:rsidP="000F4434">
      <w:pPr>
        <w:pStyle w:val="ListParagraph"/>
        <w:numPr>
          <w:ilvl w:val="1"/>
          <w:numId w:val="2"/>
        </w:numPr>
        <w:ind w:left="709"/>
        <w:jc w:val="both"/>
        <w:outlineLvl w:val="3"/>
        <w:rPr>
          <w:bCs/>
          <w:sz w:val="22"/>
          <w:szCs w:val="22"/>
          <w:rFonts w:cs="Arial"/>
        </w:rPr>
      </w:pPr>
      <w:r>
        <w:rPr>
          <w:sz w:val="22"/>
        </w:rPr>
        <w:t xml:space="preserve">Om beställningstaxitjänsten har en webbplats måste den vara tillgänglig, åtminstone på AA-nivå enligt WCAG 2.1-riktlinjerna.</w:t>
      </w:r>
      <w:r>
        <w:rPr>
          <w:sz w:val="22"/>
        </w:rPr>
        <w:t xml:space="preserve"> </w:t>
      </w:r>
    </w:p>
    <w:p w14:paraId="4AEFA1EE" w14:textId="2FEB6DE3" w:rsidR="00CC0ADF" w:rsidRDefault="00CC0ADF" w:rsidP="000F4434">
      <w:pPr>
        <w:pStyle w:val="ListParagraph"/>
        <w:numPr>
          <w:ilvl w:val="1"/>
          <w:numId w:val="3"/>
        </w:numPr>
        <w:ind w:left="709" w:hanging="709"/>
        <w:jc w:val="both"/>
        <w:outlineLvl w:val="3"/>
        <w:rPr>
          <w:bCs/>
          <w:sz w:val="22"/>
          <w:szCs w:val="22"/>
          <w:rFonts w:cs="Arial"/>
        </w:rPr>
      </w:pPr>
      <w:r>
        <w:rPr>
          <w:sz w:val="22"/>
        </w:rPr>
        <w:t xml:space="preserve">Hyrning av en taxi som är tillgänglig för personer med nedsatt rörlighet via telefon, internet eller mobilapplikation får inte omfattas av något förhandstillägg för beställningstaxi.</w:t>
      </w:r>
      <w:r>
        <w:rPr>
          <w:sz w:val="22"/>
        </w:rPr>
        <w:t xml:space="preserve"> </w:t>
      </w:r>
      <w:r>
        <w:rPr>
          <w:sz w:val="22"/>
        </w:rPr>
        <w:t xml:space="preserve">Intyget om funktionsnedsättning fungerar som bevis om det efterfrågas.</w:t>
      </w:r>
    </w:p>
    <w:p w14:paraId="3615AB3D" w14:textId="77777777" w:rsidR="00E526B5" w:rsidRPr="00CC0ADF" w:rsidRDefault="00E526B5" w:rsidP="00E526B5">
      <w:pPr>
        <w:pStyle w:val="ListParagraph"/>
        <w:ind w:left="709"/>
        <w:jc w:val="both"/>
        <w:outlineLvl w:val="3"/>
        <w:rPr>
          <w:rFonts w:cs="Arial"/>
          <w:bCs/>
          <w:sz w:val="22"/>
          <w:szCs w:val="22"/>
          <w:lang w:val="es-ES"/>
        </w:rPr>
      </w:pPr>
    </w:p>
    <w:p w14:paraId="7A0F7A5F" w14:textId="6B83C219" w:rsidR="000B6FCF" w:rsidRDefault="00B670F2">
      <w:r>
        <w:rPr>
          <w:sz w:val="22"/>
        </w:rPr>
        <w:t xml:space="preserve">KAPITEL 5:</w:t>
      </w:r>
      <w:r>
        <w:rPr>
          <w:sz w:val="22"/>
        </w:rPr>
        <w:t xml:space="preserve"> </w:t>
      </w:r>
      <w:r>
        <w:rPr>
          <w:sz w:val="22"/>
        </w:rPr>
        <w:t xml:space="preserve">Tillgänglighet av produkter</w:t>
      </w:r>
    </w:p>
    <w:p w14:paraId="183BC7CF" w14:textId="76471CF5" w:rsidR="00CC0ADF" w:rsidRPr="000F0A63" w:rsidRDefault="00CC0ADF" w:rsidP="00CC0ADF">
      <w:pPr>
        <w:keepNext/>
        <w:jc w:val="both"/>
        <w:outlineLvl w:val="2"/>
        <w:rPr>
          <w:bCs/>
          <w:sz w:val="22"/>
          <w:szCs w:val="22"/>
          <w:rFonts w:cs="Arial"/>
        </w:rPr>
      </w:pPr>
      <w:bookmarkStart w:id="0" w:name="_Ref447791242"/>
      <w:r>
        <w:rPr>
          <w:sz w:val="22"/>
        </w:rPr>
        <w:t xml:space="preserve">Artikel 116.</w:t>
      </w:r>
      <w:r>
        <w:rPr>
          <w:sz w:val="22"/>
        </w:rPr>
        <w:tab/>
      </w:r>
      <w:r>
        <w:rPr>
          <w:sz w:val="22"/>
        </w:rPr>
        <w:t xml:space="preserve">Konsumentprodukter</w:t>
      </w:r>
      <w:bookmarkEnd w:id="0"/>
      <w:r>
        <w:rPr>
          <w:sz w:val="22"/>
        </w:rPr>
        <w:t xml:space="preserve"> </w:t>
      </w:r>
    </w:p>
    <w:p w14:paraId="486D059F" w14:textId="75EDE98D" w:rsidR="00CC0ADF" w:rsidRPr="00CC0ADF" w:rsidRDefault="00CC0ADF" w:rsidP="000F4434">
      <w:pPr>
        <w:pStyle w:val="ListParagraph"/>
        <w:numPr>
          <w:ilvl w:val="1"/>
          <w:numId w:val="8"/>
        </w:numPr>
        <w:jc w:val="both"/>
        <w:outlineLvl w:val="3"/>
        <w:rPr>
          <w:bCs/>
          <w:sz w:val="22"/>
          <w:szCs w:val="22"/>
          <w:rFonts w:cs="Arial"/>
        </w:rPr>
      </w:pPr>
      <w:r>
        <w:rPr>
          <w:sz w:val="22"/>
        </w:rPr>
        <w:t xml:space="preserve">En produkt anses vara tillgänglig om den uppfyller följande villkor:</w:t>
      </w:r>
    </w:p>
    <w:p w14:paraId="197D9229"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Den har en etikett om tillgänglighet som är anpassad till dess egenskaper, vilken gör det möjligt att identifiera den, inklusive produktens namn och den mest relevanta informationen.</w:t>
      </w:r>
    </w:p>
    <w:p w14:paraId="015CE9DE"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Dess utformning följer universella formgivningskriterier, med lämpliga användnings- och säkerhetsvillkor för alla användare.</w:t>
      </w:r>
    </w:p>
    <w:p w14:paraId="64849B40"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Ytterligare information, instruktioner eller broschyrer kan erhållas genom internet, produktapplikationer och användning av ny teknik, med tillgängligt innehåll som uppfyller villkoren i punkterna 25 och 26 i bilaga 5a.</w:t>
      </w:r>
    </w:p>
    <w:p w14:paraId="4E44C98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Företag som saluför en produkt ansvarar för att de tillgänglighetsvillkor som gäller för produkten uppfylls.</w:t>
      </w:r>
    </w:p>
    <w:p w14:paraId="3FF43F32"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Läkemedel och farliga produkter måste innehålla dataelement och system så att blinda eller dövblinda personer har tillgång till följande information:</w:t>
      </w:r>
      <w:r>
        <w:rPr>
          <w:sz w:val="22"/>
        </w:rPr>
        <w:t xml:space="preserve"> </w:t>
      </w:r>
    </w:p>
    <w:p w14:paraId="1829445F"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Identifiering av produktens namn på förpackningen med användning av brailleskrift och ikonografi.</w:t>
      </w:r>
    </w:p>
    <w:p w14:paraId="0230B6E0"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Utgångsdatumet på förpackningen med användning av brailleskrift och ikonografi eller andra, alternativa resurser som har samma funktioner.</w:t>
      </w:r>
      <w:r>
        <w:rPr>
          <w:sz w:val="22"/>
        </w:rPr>
        <w:t xml:space="preserve"> </w:t>
      </w:r>
    </w:p>
    <w:p w14:paraId="21E451FE" w14:textId="77777777" w:rsidR="00CC0ADF" w:rsidRPr="000F0A63" w:rsidRDefault="00CC0ADF" w:rsidP="000F4434">
      <w:pPr>
        <w:numPr>
          <w:ilvl w:val="0"/>
          <w:numId w:val="5"/>
        </w:numPr>
        <w:tabs>
          <w:tab w:val="clear" w:pos="372"/>
          <w:tab w:val="left" w:pos="284"/>
          <w:tab w:val="num" w:pos="426"/>
        </w:tabs>
        <w:ind w:left="0" w:firstLine="0"/>
        <w:jc w:val="both"/>
        <w:rPr>
          <w:i/>
          <w:sz w:val="22"/>
          <w:szCs w:val="22"/>
          <w:rFonts w:cs="Arial"/>
        </w:rPr>
      </w:pPr>
      <w:r>
        <w:rPr>
          <w:sz w:val="22"/>
        </w:rPr>
        <w:t xml:space="preserve">Produktens huvudsakliga egenskaper, såsom dess sammansättning och konservering, bland annat genom ljudsökning via internet eller på något annat sätt med användning av ny teknik med samma effektivitet, på begäran av föreningar för personer med synnedsättning.</w:t>
      </w:r>
      <w:r>
        <w:rPr>
          <w:sz w:val="22"/>
        </w:rPr>
        <w:t xml:space="preserve"> </w:t>
      </w:r>
    </w:p>
    <w:p w14:paraId="4F2A53F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Snabbköpskedjor och livsmedelsanläggningar eller blandade anläggningar, på alla platser där de innehar en lokal på mer än 250 m² användbar yta för allmänt bruk, ska på begäran av en blind person eller dennes anhöriga garantera följande villkor:</w:t>
      </w:r>
    </w:p>
    <w:p w14:paraId="25E421A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Minst en av anläggningarna på orten ska sköta märkningen av namn och utgångsdatum i brailleskrift på färskvaror eller produkter som kan skapa förvirring, med användning av skrivare eller system för sådan märkning i brailleskrift, vid själva anläggningen.</w:t>
      </w:r>
    </w:p>
    <w:p w14:paraId="3BEB7488"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Att produkter som säljs på nätet med hemleverans ska också vara märkta med brailleskrift såsom anges i punkten ovan.</w:t>
      </w:r>
    </w:p>
    <w:p w14:paraId="52E26B1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Den kommersiella spridning som sker på nätet eller med andra medel ger information i ett tillgängligt format om vilka lokaler som erbjuder märkning av produkter i brailleskrift.</w:t>
      </w:r>
    </w:p>
    <w:p w14:paraId="5332F12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I kommuner med mer än 50 000 invånare anses varje bostadsområde utgöra ett annat territoriellt område och likställs med en ort vid tillämpningen av föregående punkt.</w:t>
      </w:r>
      <w:r>
        <w:rPr>
          <w:sz w:val="22"/>
        </w:rPr>
        <w:t xml:space="preserve"> </w:t>
      </w:r>
    </w:p>
    <w:p w14:paraId="6459331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Regionförvaltningen måste gradvis utarbeta tekniska instruktioner som innefattar nya tekniska framsteg samt fastställa specifikationer, tidsfrister, egenskaper och kriterier för tillgänglig märkning, och de universella formgivningsriktlinjer som gäller för produkter inom de olika kommersiella sektorerna.</w:t>
      </w:r>
      <w:r>
        <w:rPr>
          <w:sz w:val="22"/>
        </w:rPr>
        <w:t xml:space="preserve"> </w:t>
      </w:r>
    </w:p>
    <w:p w14:paraId="4D08CFD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Konsumenter med synnedsättning och dövblindhet har rätt att få tillgång till samma produktinformation på märkningen som alla andra konsumenter och användare, på ett självständigt, normalt och enkelt sätt samt omedelbart och på lika villkor.</w:t>
      </w:r>
      <w:r>
        <w:rPr>
          <w:sz w:val="22"/>
        </w:rPr>
        <w:t xml:space="preserve"> </w:t>
      </w:r>
      <w:r>
        <w:rPr>
          <w:sz w:val="22"/>
        </w:rPr>
        <w:t xml:space="preserve">För detta ändamål ska tillgänglighetsmärkningen uppfylla följande villkor:</w:t>
      </w:r>
    </w:p>
    <w:p w14:paraId="661B566E"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Den måste tillhandahålla så mycket information som möjligt och erbjuda konsumenter med funktionsnedsättning likvärdiga förutsättningar som andra konsumenter.</w:t>
      </w:r>
    </w:p>
    <w:p w14:paraId="41CFB18C"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Den ska göra det möjligt att erhålla information på ett självständigt, snabbt, smidigt, direkt och standardiserat sätt, utan att konsumenten behöver besitta någon djupare teknisk kunskap eller använda tekniska hjälpmedel.</w:t>
      </w:r>
    </w:p>
    <w:p w14:paraId="57DB1DC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Den får inte innebära en extra kostnad för konsumenter med funktionsnedsättning.</w:t>
      </w:r>
    </w:p>
    <w:p w14:paraId="0C13286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Den får inte generera orimliga kostnader för företagen.</w:t>
      </w:r>
    </w:p>
    <w:p w14:paraId="5602A71A"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De förpliktade företag som erbjuder elektroniska försäljningstjänster måste på respektive webbplats göra det möjligt för produkter som köps på detta sätt att levereras med tillgänglig märkning.</w:t>
      </w:r>
    </w:p>
    <w:p w14:paraId="3ED1718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Systemet för konsumenttvister och dess förfaranden och processer måste vara tillgängliga för personer med funktionsnedsättning.</w:t>
      </w:r>
    </w:p>
    <w:p w14:paraId="03FE17A7"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Offentliga och privata kundtjänstkontor måste vidta åtgärder för att underlätta tillgången till kommunikation, för döva som kommunicerar på teckenspråk och muntligen, med tillräckligt stöd.</w:t>
      </w:r>
      <w:r>
        <w:rPr>
          <w:sz w:val="22"/>
        </w:rPr>
        <w:t xml:space="preserve"> </w:t>
      </w:r>
      <w:r>
        <w:rPr>
          <w:sz w:val="22"/>
        </w:rPr>
        <w:t xml:space="preserve">De måste dessutom ha installerat en teleslinga vid 20 % av kundtjänstdiskarna, och deras personal måste vara beredd att tillhandahålla information till personer med funktionsnedsättning, inom en period på högst tre år från ikraftträdandet av denna lag.</w:t>
      </w:r>
    </w:p>
    <w:p w14:paraId="178D066A" w14:textId="77777777" w:rsidR="00CC0ADF" w:rsidRDefault="00CC0ADF">
      <w:pPr>
        <w:rPr>
          <w:lang w:val="es-ES"/>
        </w:rPr>
      </w:pPr>
    </w:p>
    <w:p w14:paraId="3EF53236" w14:textId="476D7F11" w:rsidR="00E526B5" w:rsidRDefault="00B670F2">
      <w:r>
        <w:rPr>
          <w:sz w:val="22"/>
        </w:rPr>
        <w:t xml:space="preserve">KAPITEL 6:</w:t>
      </w:r>
      <w:r>
        <w:rPr>
          <w:sz w:val="22"/>
        </w:rPr>
        <w:t xml:space="preserve"> </w:t>
      </w:r>
      <w:r>
        <w:rPr>
          <w:sz w:val="22"/>
        </w:rPr>
        <w:t xml:space="preserve">Tillgänglighet till tjänster</w:t>
      </w:r>
    </w:p>
    <w:p w14:paraId="7DEC37FB" w14:textId="27CCD605" w:rsidR="00CC0ADF" w:rsidRPr="00CC0ADF" w:rsidRDefault="00CC0ADF" w:rsidP="000F4434">
      <w:pPr>
        <w:pStyle w:val="ListParagraph"/>
        <w:numPr>
          <w:ilvl w:val="1"/>
          <w:numId w:val="9"/>
        </w:numPr>
        <w:ind w:left="0" w:firstLine="0"/>
        <w:jc w:val="both"/>
        <w:outlineLvl w:val="3"/>
        <w:rPr>
          <w:bCs/>
          <w:sz w:val="22"/>
          <w:szCs w:val="22"/>
          <w:rFonts w:cs="Arial"/>
        </w:rPr>
      </w:pPr>
      <w:r>
        <w:rPr>
          <w:sz w:val="22"/>
        </w:rPr>
        <w:t xml:space="preserve">Offentliga tjänster med webbplatser som är öppna för allmänheten måste tillhandahålla information om tillgängligheten till dessa tjänster och om deras lokaler, anläggningar och förfaranden.</w:t>
      </w:r>
    </w:p>
    <w:p w14:paraId="6A2C95FC" w14:textId="77777777" w:rsidR="00CC0ADF" w:rsidRPr="000F0A63" w:rsidRDefault="00CC0ADF" w:rsidP="000F4434">
      <w:pPr>
        <w:pStyle w:val="ListParagraph"/>
        <w:numPr>
          <w:ilvl w:val="1"/>
          <w:numId w:val="9"/>
        </w:numPr>
        <w:ind w:left="0" w:firstLine="0"/>
        <w:jc w:val="both"/>
        <w:outlineLvl w:val="3"/>
        <w:rPr>
          <w:bCs/>
          <w:sz w:val="22"/>
          <w:szCs w:val="22"/>
          <w:rFonts w:cs="Arial"/>
        </w:rPr>
      </w:pPr>
      <w:r>
        <w:rPr>
          <w:sz w:val="22"/>
        </w:rPr>
        <w:t xml:space="preserve">De webbplatser, mobilapplikationer och andra informations- och kommunikationstekniska produkter och tjänster som erbjuds av offentliga tjänster måste uppfylla de villkor som anges i bilaga 5a till denna lag samt standarden UNE-EN 301549:2022 eller den standard som ersätter denna i enlighet med Europaparlamentets och rådets direktiv (EU) 2016/2102 och införlivandet genom kungligt dekret 112/2018 av den 7 september 2018 om tillgänglighet avseende webbplatser och mobilapplikationer inom den offentliga sektorn, utan att det påverkar tillämpningen av den förordning som antagits av det behöriga organet i denna fråga i Katalonien.</w:t>
      </w:r>
      <w:r>
        <w:rPr>
          <w:sz w:val="22"/>
        </w:rPr>
        <w:t xml:space="preserve"> </w:t>
      </w:r>
    </w:p>
    <w:p w14:paraId="452D824A" w14:textId="77777777" w:rsidR="00CC0ADF" w:rsidRDefault="00CC0ADF">
      <w:pPr>
        <w:rPr>
          <w:lang w:val="es-ES"/>
        </w:rPr>
      </w:pPr>
    </w:p>
    <w:p w14:paraId="0F5A1CE0" w14:textId="332F976A" w:rsidR="003920DF" w:rsidRPr="003920DF" w:rsidRDefault="003920DF" w:rsidP="000F4434">
      <w:pPr>
        <w:pStyle w:val="ListParagraph"/>
        <w:numPr>
          <w:ilvl w:val="1"/>
          <w:numId w:val="11"/>
        </w:numPr>
        <w:ind w:left="0" w:firstLine="0"/>
        <w:jc w:val="both"/>
        <w:outlineLvl w:val="3"/>
        <w:rPr>
          <w:sz w:val="22"/>
          <w:szCs w:val="22"/>
          <w:rFonts w:cs="Arial"/>
        </w:rPr>
      </w:pPr>
      <w:r>
        <w:rPr>
          <w:sz w:val="22"/>
        </w:rPr>
        <w:t xml:space="preserve">Webbplatser och mobilapplikationer för snabbköpskedjor och livsmedelsanläggningar eller blandade anläggningar med en användbar yta för allmänt bruk på över 500 m² som erbjuder möjligheten att köpa produkter på nätet med hemleverans ska vara tillgängliga, i enlighet med villkoren i punkterna 25 och 26 i bilaga 5a, och åtminstone uppnå AA-nivån för tillgänglighet i enlighet med WCAG 2.1-riktlinjerna, i följande situationer:</w:t>
      </w:r>
    </w:p>
    <w:p w14:paraId="0F1270C7"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När det gäller nyskapade webbplatser eller applikationer.</w:t>
      </w:r>
      <w:r>
        <w:rPr>
          <w:sz w:val="22"/>
        </w:rPr>
        <w:t xml:space="preserve"> </w:t>
      </w:r>
    </w:p>
    <w:p w14:paraId="517D4CFF"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När de befintliga webbplatserna eller applikationerna ändras.</w:t>
      </w:r>
    </w:p>
    <w:p w14:paraId="4EFFB026"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Om de tidsfrister som anges i punkt 4 i bilaga 6b för att anpassa de befintliga webbplatserna och applikationerna följs.</w:t>
      </w:r>
    </w:p>
    <w:p w14:paraId="5888B379" w14:textId="77777777" w:rsidR="003920DF" w:rsidRDefault="003920DF">
      <w:pPr>
        <w:rPr>
          <w:lang w:val="es-ES"/>
        </w:rPr>
      </w:pPr>
    </w:p>
    <w:p w14:paraId="2D93A064" w14:textId="707F6457" w:rsidR="003920DF" w:rsidRPr="003920DF" w:rsidRDefault="003920DF" w:rsidP="000F4434">
      <w:pPr>
        <w:pStyle w:val="ListParagraph"/>
        <w:numPr>
          <w:ilvl w:val="1"/>
          <w:numId w:val="13"/>
        </w:numPr>
        <w:ind w:left="0" w:firstLine="0"/>
        <w:jc w:val="both"/>
        <w:outlineLvl w:val="3"/>
        <w:rPr>
          <w:bCs/>
          <w:sz w:val="22"/>
          <w:szCs w:val="22"/>
          <w:rFonts w:cs="Arial"/>
        </w:rPr>
      </w:pPr>
      <w:r>
        <w:rPr>
          <w:sz w:val="22"/>
        </w:rPr>
        <w:t xml:space="preserve">Webbplatser och mobilapplikationer som möjliggör bank- eller kontraktsverksamhet eller någon annan typ av förvaltning eller konsultation avseende produkter som kontrakteras vid ett fysiskt kontor ska vara tillgängliga i enlighet med villkoren i punkterna 25 och 26 i bilaga 5a och åtminstone uppnå AA-nivån för tillgänglighet i enlighet med WCAG 2.1-riktlinjerna, i följande situationer:</w:t>
      </w:r>
    </w:p>
    <w:p w14:paraId="137CE6E3"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När det gäller nyskapade webbplatser eller applikationer.</w:t>
      </w:r>
      <w:r>
        <w:rPr>
          <w:sz w:val="22"/>
        </w:rPr>
        <w:t xml:space="preserve"> </w:t>
      </w:r>
    </w:p>
    <w:p w14:paraId="39B23BAD"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När de befintliga webbplatserna eller applikationerna ändras.</w:t>
      </w:r>
    </w:p>
    <w:p w14:paraId="05A831F2"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Om de tidsfrister som anges i punkt 5 i bilaga 6b för att anpassa de befintliga webbplatserna och applikationerna följs.</w:t>
      </w:r>
    </w:p>
    <w:p w14:paraId="23C18109" w14:textId="77777777" w:rsidR="003920DF" w:rsidRDefault="003920DF">
      <w:pPr>
        <w:rPr>
          <w:lang w:val="es-ES"/>
        </w:rPr>
      </w:pPr>
    </w:p>
    <w:p w14:paraId="202F2283" w14:textId="6CDFB804" w:rsidR="003920DF" w:rsidRPr="003920DF" w:rsidRDefault="003920DF" w:rsidP="000F4434">
      <w:pPr>
        <w:pStyle w:val="ListParagraph"/>
        <w:numPr>
          <w:ilvl w:val="1"/>
          <w:numId w:val="15"/>
        </w:numPr>
        <w:ind w:left="0" w:firstLine="0"/>
        <w:jc w:val="both"/>
        <w:outlineLvl w:val="3"/>
        <w:rPr>
          <w:bCs/>
          <w:sz w:val="22"/>
          <w:szCs w:val="22"/>
          <w:rFonts w:cs="Arial"/>
        </w:rPr>
      </w:pPr>
      <w:r>
        <w:rPr>
          <w:sz w:val="22"/>
        </w:rPr>
        <w:t xml:space="preserve">Webbplatser och mobilapplikationer för hotellkedjor och inrättningar med en kapacitet på mer än 100 platser som möjliggör avtal om logi och onlinetjänster ska vara tillgängliga i enlighet med villkoren i punkterna 25 och 26 i bilaga 5a och åtminstone uppnå AA-nivån för tillgänglighet i enlighet med WCAG 2.1-riktlinjerna, i följande situationer:</w:t>
      </w:r>
    </w:p>
    <w:p w14:paraId="4B4BC252"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När det gäller nyskapade webbplatser eller applikationer.</w:t>
      </w:r>
      <w:r>
        <w:rPr>
          <w:sz w:val="22"/>
        </w:rPr>
        <w:t xml:space="preserve"> </w:t>
      </w:r>
    </w:p>
    <w:p w14:paraId="346AAF9D"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När de befintliga webbplatserna eller applikationerna ändras.</w:t>
      </w:r>
    </w:p>
    <w:p w14:paraId="7BDFDC1E"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Om de tidsfrister som anges i punkt 7 i bilaga 6b för att anpassa befintliga webbplatser och applikationer följs.</w:t>
      </w:r>
    </w:p>
    <w:p w14:paraId="16B5C42E" w14:textId="77777777" w:rsidR="003920DF" w:rsidRDefault="003920DF">
      <w:pPr>
        <w:rPr>
          <w:lang w:val="es-ES"/>
        </w:rPr>
      </w:pPr>
    </w:p>
    <w:p w14:paraId="7EEF18CE" w14:textId="6C8336B5" w:rsidR="003920DF" w:rsidRPr="003920DF" w:rsidRDefault="003920DF" w:rsidP="000F4434">
      <w:pPr>
        <w:pStyle w:val="ListParagraph"/>
        <w:keepLines/>
        <w:numPr>
          <w:ilvl w:val="1"/>
          <w:numId w:val="17"/>
        </w:numPr>
        <w:ind w:left="0" w:firstLine="0"/>
        <w:jc w:val="both"/>
        <w:outlineLvl w:val="3"/>
        <w:rPr>
          <w:sz w:val="22"/>
          <w:szCs w:val="22"/>
          <w:rFonts w:cs="Arial"/>
        </w:rPr>
      </w:pPr>
      <w:r>
        <w:rPr>
          <w:sz w:val="22"/>
        </w:rPr>
        <w:t xml:space="preserve">Webbplatser och mobilapplikationer för anläggningar eller sammanslutningar av anläggningar ska vara tillgängliga i enlighet med villkoren i punkterna 25 och 26 i bilaga 5a,</w:t>
      </w:r>
      <w:r>
        <w:rPr>
          <w:sz w:val="22"/>
        </w:rPr>
        <w:t xml:space="preserve"> </w:t>
      </w:r>
      <w:r>
        <w:rPr>
          <w:sz w:val="22"/>
        </w:rPr>
        <w:t xml:space="preserve">åtminstone uppnå AA-nivån för tillgänglighet i enlighet med WCAG 2.1-riktlinjerna och tillhandahålla den information som anges i föregående punkter i följande situationer:</w:t>
      </w:r>
    </w:p>
    <w:p w14:paraId="3597983D"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När det gäller nyskapade webbplatser eller applikationer.</w:t>
      </w:r>
      <w:r>
        <w:rPr>
          <w:sz w:val="22"/>
        </w:rPr>
        <w:t xml:space="preserve"> </w:t>
      </w:r>
    </w:p>
    <w:p w14:paraId="13B82A50"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När de befintliga webbplatserna eller applikationerna ändras.</w:t>
      </w:r>
    </w:p>
    <w:p w14:paraId="1B3C03D9"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Om de tidsfrister som anges i punkt 3 i bilaga 6b för att anpassa befintliga webbplatser och applikationer följs.</w:t>
      </w:r>
    </w:p>
    <w:p w14:paraId="0BFDF341" w14:textId="77777777" w:rsidR="003920DF" w:rsidRDefault="003920DF">
      <w:pPr>
        <w:rPr>
          <w:lang w:val="es-ES"/>
        </w:rPr>
      </w:pPr>
    </w:p>
    <w:p w14:paraId="14B92CA4" w14:textId="6C4DF49D" w:rsidR="003920DF" w:rsidRPr="003920DF" w:rsidRDefault="003920DF" w:rsidP="000F4434">
      <w:pPr>
        <w:pStyle w:val="ListParagraph"/>
        <w:keepLines/>
        <w:numPr>
          <w:ilvl w:val="1"/>
          <w:numId w:val="18"/>
        </w:numPr>
        <w:ind w:left="0" w:firstLine="0"/>
        <w:jc w:val="both"/>
        <w:outlineLvl w:val="3"/>
        <w:rPr>
          <w:bCs/>
          <w:sz w:val="22"/>
          <w:szCs w:val="22"/>
          <w:rFonts w:cs="Arial"/>
        </w:rPr>
      </w:pPr>
      <w:r>
        <w:rPr>
          <w:sz w:val="22"/>
        </w:rPr>
        <w:t xml:space="preserve">Webbplatser och mobilapplikationer för idrottsanläggningar och idrottsföreningar som erbjuder biljettförsäljning för evenemang vid deras anläggningar ska vara tillgängliga samt tillhandahålla nödvändig information på samma villkor som anges i artikel 133 för tjänster som rör scenkonst.</w:t>
      </w:r>
    </w:p>
    <w:p w14:paraId="01221CD8" w14:textId="77777777" w:rsidR="003920DF" w:rsidRDefault="003920DF">
      <w:pPr>
        <w:rPr>
          <w:lang w:val="es-ES"/>
        </w:rPr>
      </w:pPr>
    </w:p>
    <w:p w14:paraId="5122FB6C" w14:textId="3D7CFC92" w:rsidR="003920DF" w:rsidRPr="003920DF" w:rsidRDefault="003920DF" w:rsidP="000F4434">
      <w:pPr>
        <w:pStyle w:val="ListParagraph"/>
        <w:numPr>
          <w:ilvl w:val="1"/>
          <w:numId w:val="20"/>
        </w:numPr>
        <w:ind w:left="0" w:firstLine="0"/>
        <w:jc w:val="both"/>
        <w:outlineLvl w:val="3"/>
        <w:rPr>
          <w:bCs/>
          <w:sz w:val="22"/>
          <w:szCs w:val="22"/>
          <w:rFonts w:cs="Arial"/>
        </w:rPr>
      </w:pPr>
      <w:r>
        <w:rPr>
          <w:sz w:val="22"/>
        </w:rPr>
        <w:t xml:space="preserve">Webbplatser och mobilapplikationer för lärosäten som tillhandahåller formell utbildning ska vara tillgängliga i enlighet med villkoren i punkterna 25 och 26 i bilaga 5a och åtminstone uppnå AA-nivån för tillgänglighet i enlighet med WCAG 2.1-riktlinjerna, i följande situationer:</w:t>
      </w:r>
    </w:p>
    <w:p w14:paraId="46144290"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När det gäller nyskapade webbplatser eller applikationer.</w:t>
      </w:r>
      <w:r>
        <w:rPr>
          <w:sz w:val="22"/>
        </w:rPr>
        <w:t xml:space="preserve"> </w:t>
      </w:r>
    </w:p>
    <w:p w14:paraId="124A7079"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När de befintliga webbplatserna eller applikationerna ändras.</w:t>
      </w:r>
    </w:p>
    <w:p w14:paraId="4CC9837C"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Om de tidsfrister som anges i punkt 8 i bilaga 6b för att anpassa de befintliga webbplatserna och applikationerna följs.</w:t>
      </w:r>
    </w:p>
    <w:p w14:paraId="64EC1D0A" w14:textId="77777777" w:rsidR="003920DF" w:rsidRDefault="003920DF">
      <w:pPr>
        <w:rPr>
          <w:lang w:val="es-ES"/>
        </w:rPr>
      </w:pPr>
    </w:p>
    <w:p w14:paraId="2CF98FEF" w14:textId="37293E06" w:rsidR="003920DF" w:rsidRPr="000F0A63" w:rsidRDefault="003920DF" w:rsidP="003920DF">
      <w:pPr>
        <w:keepNext/>
        <w:jc w:val="both"/>
        <w:outlineLvl w:val="2"/>
        <w:rPr>
          <w:bCs/>
          <w:sz w:val="22"/>
          <w:szCs w:val="22"/>
          <w:rFonts w:cs="Arial"/>
        </w:rPr>
      </w:pPr>
      <w:bookmarkStart w:id="1" w:name="_Ref447800574"/>
      <w:r>
        <w:rPr>
          <w:sz w:val="22"/>
        </w:rPr>
        <w:t xml:space="preserve">Artikel 138.</w:t>
      </w:r>
      <w:r>
        <w:rPr>
          <w:sz w:val="22"/>
        </w:rPr>
        <w:tab/>
      </w:r>
      <w:r>
        <w:rPr>
          <w:sz w:val="22"/>
        </w:rPr>
        <w:t xml:space="preserve">Samhällsviktiga tjänster, tjänster av allmänt intresse eller offentligt finansierade tjänster</w:t>
      </w:r>
      <w:r>
        <w:rPr>
          <w:sz w:val="22"/>
        </w:rPr>
        <w:t xml:space="preserve"> </w:t>
      </w:r>
      <w:bookmarkEnd w:id="1"/>
    </w:p>
    <w:p w14:paraId="7D137DE4" w14:textId="752BD128" w:rsidR="003920DF" w:rsidRPr="003920DF" w:rsidRDefault="003920DF" w:rsidP="000F4434">
      <w:pPr>
        <w:pStyle w:val="ListParagraph"/>
        <w:numPr>
          <w:ilvl w:val="1"/>
          <w:numId w:val="23"/>
        </w:numPr>
        <w:ind w:left="0" w:firstLine="0"/>
        <w:jc w:val="both"/>
        <w:outlineLvl w:val="3"/>
        <w:rPr>
          <w:bCs/>
          <w:sz w:val="22"/>
          <w:szCs w:val="22"/>
          <w:rFonts w:cs="Arial"/>
        </w:rPr>
      </w:pPr>
      <w:r>
        <w:rPr>
          <w:sz w:val="22"/>
        </w:rPr>
        <w:t xml:space="preserve">Webbplatserna för den katalanska offentliga sektorn och offentligrättsliga institutioner, liksom alla webbplatser som lanseras med finansiering från den offentliga förvaltningen och webbplatser för enheter eller företag som tillhandahåller offentliga tjänster genom koncession eller via avtal med den offentliga förvaltningen, ska uppfylla kraven i punkt 25 i bilaga 5a och uppnå AA-nivån för tillgänglighet i enlighet med WCAG 2.1-riktlinjerna, utan att det påverkar tillämpningen av den förordning som antagits av det behöriga organet i denna fråga i Katalonien i enlighet med kungligt dekret 1112/2018 av den 7 september 2018 om tillgänglighet avseende webbplatser och mobilapplikationer inom den offentliga sektorn.</w:t>
      </w:r>
    </w:p>
    <w:p w14:paraId="6FD18B43"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Webbplatser för privata enheter som tillhandahåller samhällsviktiga tjänster eller tjänster av allmänt intresse, inbegripet el, vatten eller gas och telekommunikation, samt hälso- och sjukvård, post- och banktjänster, ska också uppfylla kraven i punkt 25 i bilaga 5a och uppnå AA-nivån för tillgänglighet i enlighet med WCAG 2.1-riktlinjerna.</w:t>
      </w:r>
      <w:r>
        <w:rPr>
          <w:sz w:val="22"/>
        </w:rPr>
        <w:t xml:space="preserve"> </w:t>
      </w:r>
    </w:p>
    <w:p w14:paraId="54D877DC" w14:textId="68D622D4"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Mobilapplikationer inom den offentliga sektorn och de enheter som nämns i punkterna 138.1 och 138.2 ovan ska uppfylla tillgänglighetskraven i punkt 26 i bilaga 5a, utan att det påverkar tillämpningen av den förordning som antagits av det behöriga organet i denna fråga i Katalonien.</w:t>
      </w:r>
    </w:p>
    <w:p w14:paraId="0F7B09C4" w14:textId="77777777" w:rsidR="003920DF" w:rsidRPr="000F0A63" w:rsidRDefault="003920DF" w:rsidP="000F4434">
      <w:pPr>
        <w:pStyle w:val="ListParagraph"/>
        <w:numPr>
          <w:ilvl w:val="1"/>
          <w:numId w:val="23"/>
        </w:numPr>
        <w:ind w:left="0" w:firstLine="0"/>
        <w:jc w:val="both"/>
        <w:outlineLvl w:val="3"/>
        <w:rPr>
          <w:sz w:val="22"/>
          <w:szCs w:val="22"/>
          <w:rFonts w:cs="Arial"/>
        </w:rPr>
      </w:pPr>
      <w:r>
        <w:rPr>
          <w:sz w:val="22"/>
        </w:rPr>
        <w:t xml:space="preserve">De tillgänglighetskrav för webbplatser och mobilapplikationer som fastställs i denna artikel ska tillämpas under förutsättning att de inte lägger en oproportionerlig börda på den enhet som måste tillämpa dem, i enlighet med följande omständigheter:</w:t>
      </w:r>
    </w:p>
    <w:p w14:paraId="7E326BAE"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Den specifika enhetens storlek, resurser och beskaffenhet.</w:t>
      </w:r>
    </w:p>
    <w:p w14:paraId="6F59FD5A"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Företagets lönsamhet och de uppskattade fördelarna för användarna, med beaktande av hur ofta och hur länge webbplatsen eller applikationen används.</w:t>
      </w:r>
      <w:r>
        <w:rPr>
          <w:sz w:val="22"/>
        </w:rPr>
        <w:t xml:space="preserve"> </w:t>
      </w:r>
    </w:p>
    <w:p w14:paraId="6A594B5F"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De diskriminerande effekterna på personer med funktionsnedsättning om webbplatsen eller applikationen inte är tillgänglig i händelse av att det finns webbplatser eller alternativa applikationer med samma funktioner och villkor på marknaden.</w:t>
      </w:r>
    </w:p>
    <w:p w14:paraId="7EAD681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Den offentliga sektorn eller ett offentligt organ som utnyttjar undantaget i punkt 138.4 måste förklara vilka tillgänglighetskrav som inte kunde uppfyllas i tillgänglighetsdeklarationen för webbplatsen eller applikationen och måste erbjuda tillgängliga alternativ inom ramen för vad som är möjligt.</w:t>
      </w:r>
    </w:p>
    <w:p w14:paraId="5D7ECF09"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Webbplatser och mobilapplikationer ska uppfylla de tillgänglighetsvillkor som anges i föregående punkter inom de slutliga tidsfrister som fastställs i punkt 2 i bilaga 6b.</w:t>
      </w:r>
    </w:p>
    <w:p w14:paraId="64D96B3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Tjänsteleverantörer och tillverkare som tillhandahåller it-utrustning och programvara till den katalanska offentliga sektorn och de enheter som avses i punkt 138.1 ska inkludera de ytterligare komponenter och funktioner avseende tillgänglighet som krävs för att ge personer med funktionsnedsättning tillgång till digitalt innehåll.</w:t>
      </w:r>
      <w:r>
        <w:rPr>
          <w:sz w:val="22"/>
        </w:rPr>
        <w:t xml:space="preserve"> </w:t>
      </w:r>
    </w:p>
    <w:p w14:paraId="03F2890E"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Offentliga och privata tv-nät i Katalonien måste utveckla planer avseende tillgängligheten till deras innehåll för att gradvis göra sitt programutbud tillgängligt för personer med sensorisk och intellektuell funktionsnedsättning.</w:t>
      </w:r>
      <w:r>
        <w:rPr>
          <w:sz w:val="22"/>
        </w:rPr>
        <w:t xml:space="preserve"> </w:t>
      </w:r>
      <w:r>
        <w:rPr>
          <w:sz w:val="22"/>
        </w:rPr>
        <w:t xml:space="preserve">Dessa planer ska göra det möjligt att uppnå följande mål inom en period på högst tre år från ikraftträdandet av denna lag:</w:t>
      </w:r>
    </w:p>
    <w:p w14:paraId="0A80856D"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Offentliga tv-nät:</w:t>
      </w:r>
      <w:r>
        <w:rPr>
          <w:sz w:val="22"/>
        </w:rPr>
        <w:t xml:space="preserve"> </w:t>
      </w:r>
      <w:r>
        <w:rPr>
          <w:sz w:val="22"/>
        </w:rPr>
        <w:t xml:space="preserve">100 % av programutbudet ska vara textat, innehåll motsvarande minst 15 timmar per vecka ska vara syntolkat och innehåll motsvarande 10 timmar per vecka ska finnas på katalanskt teckenspråk.</w:t>
      </w:r>
    </w:p>
    <w:p w14:paraId="7F8B67EE"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Privata tv-nät:</w:t>
      </w:r>
      <w:r>
        <w:rPr>
          <w:sz w:val="22"/>
        </w:rPr>
        <w:t xml:space="preserve"> </w:t>
      </w:r>
      <w:r>
        <w:rPr>
          <w:sz w:val="22"/>
        </w:rPr>
        <w:t xml:space="preserve">75 % av programutbudet ska vara textat, innehåll motsvarande minst 10 timmar per vecka ska vara syntolkat och innehåll motsvarande 7 timmar per vecka ska finnas på katalanskt teckenspråk.</w:t>
      </w:r>
    </w:p>
    <w:p w14:paraId="221F24A7"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Programutbudet på katalanskt teckenspråk måste innefatta nyhetsprogram och barnprogram som finns tillgängliga i erbjudandet om förinspelad sändning när denna tjänst är tillgänglig.</w:t>
      </w:r>
      <w:r>
        <w:rPr>
          <w:sz w:val="22"/>
        </w:rPr>
        <w:t xml:space="preserve"> </w:t>
      </w:r>
      <w:r>
        <w:rPr>
          <w:sz w:val="22"/>
        </w:rPr>
        <w:t xml:space="preserve">Dessa program måste sändas veckans alla dagar.</w:t>
      </w:r>
      <w:r>
        <w:rPr>
          <w:sz w:val="22"/>
        </w:rPr>
        <w:t xml:space="preserve"> </w:t>
      </w:r>
    </w:p>
    <w:p w14:paraId="1FCDD2A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Företag som distribuerar filmverk och audiovisuella verk måste inkludera textning, syntolkning och ljudnavigeringssystem, helst för utländska och inhemska filmer som har lockat många biobesökare eller som har tilldelats nationella eller internationella utmärkelser, för att göra dem tillgängliga via DVD-stöd eller liknande system med dessa funktioner.</w:t>
      </w:r>
    </w:p>
    <w:p w14:paraId="0F3986EB" w14:textId="77777777" w:rsidR="003920DF" w:rsidRDefault="003920DF">
      <w:pPr>
        <w:rPr>
          <w:lang w:val="es-ES"/>
        </w:rPr>
      </w:pPr>
    </w:p>
    <w:p w14:paraId="44244122" w14:textId="3BAB5CCF" w:rsidR="00E526B5" w:rsidRDefault="00B670F2">
      <w:r>
        <w:rPr>
          <w:sz w:val="22"/>
        </w:rPr>
        <w:t xml:space="preserve">KAPITEL 11:</w:t>
      </w:r>
      <w:r>
        <w:rPr>
          <w:sz w:val="22"/>
        </w:rPr>
        <w:t xml:space="preserve"> </w:t>
      </w:r>
      <w:r>
        <w:rPr>
          <w:sz w:val="22"/>
        </w:rPr>
        <w:t xml:space="preserve">Tillgänglighet – kvalitetsmärkning</w:t>
      </w:r>
    </w:p>
    <w:p w14:paraId="5E23591F" w14:textId="30E33DFC" w:rsidR="00E526B5" w:rsidRPr="000F0A63" w:rsidRDefault="00E526B5" w:rsidP="000F4434">
      <w:pPr>
        <w:pStyle w:val="Heading4"/>
        <w:keepNext w:val="0"/>
        <w:numPr>
          <w:ilvl w:val="1"/>
          <w:numId w:val="24"/>
        </w:numPr>
        <w:spacing w:before="0" w:after="0"/>
        <w:ind w:left="0" w:firstLine="0"/>
        <w:jc w:val="both"/>
        <w:rPr>
          <w:sz w:val="22"/>
          <w:szCs w:val="22"/>
          <w:rFonts w:cs="Arial"/>
        </w:rPr>
      </w:pPr>
      <w:r>
        <w:rPr>
          <w:sz w:val="22"/>
        </w:rPr>
        <w:t xml:space="preserve">Det måste vara möjligt att genomföra offentliga samråd med anläggningar, byggnader och offentliga organ som innehar kvalitetsmärkningen, åtminstone via internet, utan att det påverkar andra medel som kan anses lämpliga.</w:t>
      </w:r>
    </w:p>
    <w:p w14:paraId="6CBE5DDA" w14:textId="77777777" w:rsidR="00E526B5" w:rsidRDefault="00E526B5">
      <w:pPr>
        <w:rPr>
          <w:lang w:val="es-ES"/>
        </w:rPr>
      </w:pPr>
    </w:p>
    <w:p w14:paraId="3BFAD248" w14:textId="66A7955A" w:rsidR="00E526B5" w:rsidRDefault="00CF1E0D">
      <w:r>
        <w:rPr>
          <w:sz w:val="22"/>
        </w:rPr>
        <w:t xml:space="preserve">Bilaga 5a:</w:t>
      </w:r>
      <w:r>
        <w:rPr>
          <w:sz w:val="22"/>
        </w:rPr>
        <w:t xml:space="preserve"> </w:t>
      </w:r>
      <w:r>
        <w:rPr>
          <w:sz w:val="22"/>
        </w:rPr>
        <w:t xml:space="preserve">Standarder för produkters tillgänglighet</w:t>
      </w:r>
    </w:p>
    <w:p w14:paraId="3A59E424" w14:textId="22C29E85" w:rsidR="00E526B5" w:rsidRPr="00E526B5" w:rsidRDefault="00E526B5" w:rsidP="000F4434">
      <w:pPr>
        <w:pStyle w:val="ListParagraph"/>
        <w:keepNext/>
        <w:numPr>
          <w:ilvl w:val="0"/>
          <w:numId w:val="27"/>
        </w:numPr>
        <w:tabs>
          <w:tab w:val="left" w:pos="426"/>
        </w:tabs>
        <w:ind w:left="0" w:firstLine="0"/>
        <w:jc w:val="both"/>
        <w:outlineLvl w:val="1"/>
        <w:rPr>
          <w:bCs/>
          <w:iCs/>
          <w:sz w:val="22"/>
          <w:szCs w:val="22"/>
          <w:rFonts w:cs="Arial"/>
        </w:rPr>
      </w:pPr>
      <w:bookmarkStart w:id="2" w:name="_Ref447796406"/>
      <w:r>
        <w:rPr>
          <w:sz w:val="22"/>
        </w:rPr>
        <w:t xml:space="preserve">Tillgängliga webbplatser</w:t>
      </w:r>
      <w:bookmarkEnd w:id="2"/>
      <w:r>
        <w:rPr>
          <w:sz w:val="22"/>
        </w:rPr>
        <w:t xml:space="preserve"> </w:t>
      </w:r>
    </w:p>
    <w:p w14:paraId="2592043C" w14:textId="77777777" w:rsidR="00E526B5" w:rsidRPr="000F0A63" w:rsidRDefault="00E526B5" w:rsidP="00E526B5">
      <w:pPr>
        <w:tabs>
          <w:tab w:val="num" w:pos="0"/>
          <w:tab w:val="left" w:pos="284"/>
        </w:tabs>
        <w:jc w:val="both"/>
        <w:rPr>
          <w:sz w:val="22"/>
          <w:szCs w:val="22"/>
          <w:rFonts w:cs="Arial"/>
        </w:rPr>
      </w:pPr>
      <w:r>
        <w:rPr>
          <w:sz w:val="22"/>
        </w:rPr>
        <w:t xml:space="preserve">De riktlinjer som ska följas vid utformningen och skapandet av en webbplats samt villkoren för att den ska vara tillgänglig är följande:</w:t>
      </w:r>
      <w:r>
        <w:rPr>
          <w:sz w:val="22"/>
        </w:rPr>
        <w:t xml:space="preserve"> </w:t>
      </w:r>
    </w:p>
    <w:p w14:paraId="6DB92C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Innehållet ska konfigureras så att det kan anpassas till olika program, enheter och stödprodukter utan att information eller struktur går förlorad.</w:t>
      </w:r>
      <w:r>
        <w:rPr>
          <w:sz w:val="22"/>
        </w:rPr>
        <w:t xml:space="preserve"> </w:t>
      </w:r>
    </w:p>
    <w:p w14:paraId="73E8D3D0"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Alternativ text eller beskrivande identifiering av annat innehåll än text (bilder, grafik, multimediainnehåll) ska tillhandahållas.</w:t>
      </w:r>
      <w:r>
        <w:rPr>
          <w:sz w:val="22"/>
        </w:rPr>
        <w:t xml:space="preserve"> </w:t>
      </w:r>
    </w:p>
    <w:p w14:paraId="4612CA86"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Undertexter och syntolkning för multimediainnehåll ska inkluderas när det krävs för en korrekt förståelse av budskapet.</w:t>
      </w:r>
      <w:r>
        <w:rPr>
          <w:sz w:val="22"/>
        </w:rPr>
        <w:t xml:space="preserve"> </w:t>
      </w:r>
    </w:p>
    <w:p w14:paraId="59F0492D"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Mekanismer som gör det möjligt att stänga av och reglera ljudvolymen ska tillhandahållas.</w:t>
      </w:r>
      <w:r>
        <w:rPr>
          <w:sz w:val="22"/>
        </w:rPr>
        <w:t xml:space="preserve"> </w:t>
      </w:r>
    </w:p>
    <w:p w14:paraId="72341CA9"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Användning av färg får inte vara det enda sättet att förmedla information, ange en åtgärd eller särskilja ett element.</w:t>
      </w:r>
      <w:r>
        <w:rPr>
          <w:sz w:val="22"/>
        </w:rPr>
        <w:t xml:space="preserve"> </w:t>
      </w:r>
    </w:p>
    <w:p w14:paraId="543C6D04"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Text och bilder måste ha tillräcklig kontrast mot bakgrunden och en storlek som gör att de kan läsas utan problem.</w:t>
      </w:r>
      <w:r>
        <w:rPr>
          <w:sz w:val="22"/>
        </w:rPr>
        <w:t xml:space="preserve"> </w:t>
      </w:r>
    </w:p>
    <w:p w14:paraId="2D2F0267"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Storleken på texten ska kunna justeras från själva webbplatsen utan hjälp av stödprodukter och utan att innehåll eller funktioner går förlorade.</w:t>
      </w:r>
      <w:r>
        <w:rPr>
          <w:sz w:val="22"/>
        </w:rPr>
        <w:t xml:space="preserve"> </w:t>
      </w:r>
    </w:p>
    <w:p w14:paraId="7F7BFBFC" w14:textId="14BC9BD4"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Det ska gå att komma åt alla funktioner på webbplatsen via tangentbord, med en lösning som är kompatibel med skärmläsare och förstoringsglas.</w:t>
      </w:r>
    </w:p>
    <w:p w14:paraId="527EF9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Användarna ska kunna kontrollera den information eller de objekt som flyttas eller uppdateras automatiskt så att de kan stoppa dem, dölja dem eller kontrollera frekvensen.</w:t>
      </w:r>
      <w:r>
        <w:rPr>
          <w:sz w:val="22"/>
        </w:rPr>
        <w:t xml:space="preserve"> </w:t>
      </w:r>
    </w:p>
    <w:p w14:paraId="6C2AB65F"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bookmarkStart w:id="3" w:name="_Ref488129626"/>
      <w:r>
        <w:rPr>
          <w:sz w:val="22"/>
        </w:rPr>
        <w:t xml:space="preserve">Navigeringen ska underlättas genom att innehållet struktureras i en sammanhängande ordning, med tydliga navigeringsmekanismer.</w:t>
      </w:r>
      <w:r>
        <w:rPr>
          <w:sz w:val="22"/>
        </w:rPr>
        <w:t xml:space="preserve"> </w:t>
      </w:r>
    </w:p>
    <w:p w14:paraId="3DA35818"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Det ska finnas vägledande information som hjälper användarna att förstå komplexa element samt mekanismer för att upptäcka och förhindra fel i användarnas datainmatning.</w:t>
      </w:r>
      <w:r>
        <w:rPr>
          <w:sz w:val="22"/>
        </w:rPr>
        <w:t xml:space="preserve"> </w:t>
      </w:r>
    </w:p>
    <w:p w14:paraId="3E7754AE"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Det språk som används i varje stycke eller dokument på webbplatsen ska identifieras så att skärmläsare och talsyntesprogram automatiskt kan upptäcka och ändra språket.</w:t>
      </w:r>
      <w:r>
        <w:rPr>
          <w:sz w:val="22"/>
        </w:rPr>
        <w:t xml:space="preserve"> </w:t>
      </w:r>
    </w:p>
    <w:p w14:paraId="02F867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Språket ska vara tydligt och begripligt så att innehållet blir lättförståeligt, med definition av ovanliga ord och förklaring av akronymer och andra förkortningar.</w:t>
      </w:r>
      <w:r>
        <w:rPr>
          <w:sz w:val="22"/>
        </w:rPr>
        <w:t xml:space="preserve"> </w:t>
      </w:r>
    </w:p>
    <w:p w14:paraId="0EA30215"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Kompatibiliteten med applikationer, programvara och enheter som användare kan tänkas ha, inklusive stödprodukter, ska maximeras.</w:t>
      </w:r>
    </w:p>
    <w:p w14:paraId="1E938D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Dokument som publiceras på nätet ska också vara tillgängliga och kunna läsas av skärmläsare.</w:t>
      </w:r>
    </w:p>
    <w:p w14:paraId="1D9C45B4" w14:textId="70A58EB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Det ska tillhandahållas andra tillgängliga kommunikationskanaler än telefon, såsom e-post, sms eller formulär, med en handläggningstid som inte är diskriminerande i förhållande till ett telefonsamtal.</w:t>
      </w:r>
    </w:p>
    <w:p w14:paraId="0F2AC703" w14:textId="7777777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Kriterierna enligt WCAG 2.1-riktlinjerna ska uppfyllas på en av dess nivåer, med de villkor som fastställs i standarden UNE 139803:2012 eller den standard som ersätter denna, med undantag för de situationer där en högre nivå krävs enligt denna lag.</w:t>
      </w:r>
      <w:r>
        <w:rPr>
          <w:sz w:val="22"/>
        </w:rPr>
        <w:t xml:space="preserve"> </w:t>
      </w:r>
    </w:p>
    <w:p w14:paraId="77216F8A" w14:textId="77777777" w:rsidR="00E526B5" w:rsidRPr="000F0A63" w:rsidRDefault="00E526B5" w:rsidP="00E526B5">
      <w:pPr>
        <w:tabs>
          <w:tab w:val="left" w:pos="284"/>
          <w:tab w:val="num" w:pos="567"/>
        </w:tabs>
        <w:jc w:val="both"/>
        <w:rPr>
          <w:rFonts w:cs="Arial"/>
          <w:sz w:val="22"/>
          <w:szCs w:val="22"/>
          <w:lang w:val="es-ES"/>
        </w:rPr>
      </w:pPr>
    </w:p>
    <w:p w14:paraId="58C0FCD7" w14:textId="77777777" w:rsidR="00E526B5" w:rsidRPr="000F0A63" w:rsidRDefault="00E526B5" w:rsidP="000F4434">
      <w:pPr>
        <w:pStyle w:val="ListParagraph"/>
        <w:keepNext/>
        <w:numPr>
          <w:ilvl w:val="0"/>
          <w:numId w:val="27"/>
        </w:numPr>
        <w:tabs>
          <w:tab w:val="left" w:pos="426"/>
        </w:tabs>
        <w:ind w:left="0" w:firstLine="0"/>
        <w:jc w:val="both"/>
        <w:outlineLvl w:val="1"/>
        <w:rPr>
          <w:sz w:val="22"/>
          <w:szCs w:val="22"/>
          <w:rFonts w:cs="Arial"/>
        </w:rPr>
      </w:pPr>
      <w:bookmarkStart w:id="4" w:name="_Ref504990560"/>
      <w:r>
        <w:rPr>
          <w:sz w:val="22"/>
        </w:rPr>
        <w:t xml:space="preserve">Tillgängliga appar</w:t>
      </w:r>
      <w:bookmarkEnd w:id="3"/>
      <w:bookmarkEnd w:id="4"/>
    </w:p>
    <w:p w14:paraId="7EB099BF" w14:textId="77777777" w:rsidR="00E526B5" w:rsidRPr="000F0A63" w:rsidRDefault="00E526B5" w:rsidP="00E526B5">
      <w:pPr>
        <w:tabs>
          <w:tab w:val="left" w:pos="284"/>
          <w:tab w:val="left" w:pos="426"/>
        </w:tabs>
        <w:jc w:val="both"/>
        <w:rPr>
          <w:sz w:val="22"/>
          <w:szCs w:val="22"/>
          <w:rFonts w:cs="Arial"/>
        </w:rPr>
      </w:pPr>
      <w:r>
        <w:rPr>
          <w:sz w:val="22"/>
        </w:rPr>
        <w:t xml:space="preserve">Mobilapplikationer ska uppfylla de villkor som anges i standarden UNE 139803:2012, eller den standard som ersätter denna, samt följande allmänna kriterier:</w:t>
      </w:r>
      <w:r>
        <w:rPr>
          <w:sz w:val="22"/>
        </w:rPr>
        <w:t xml:space="preserve"> </w:t>
      </w:r>
    </w:p>
    <w:p w14:paraId="580725D4"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Alla meddelanden, hjälpsystem och texter ska vara skrivna på ett tydligt och enkelt språk.</w:t>
      </w:r>
    </w:p>
    <w:p w14:paraId="2543102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Texten måste vara begriplig, med en storlek och ett teckensnitt som underlättar läsning.</w:t>
      </w:r>
    </w:p>
    <w:p w14:paraId="18CF95B7"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Färgkontrasten mellan de olika beståndsdelarna och bakgrunden ska vara tillräcklig.</w:t>
      </w:r>
      <w:r>
        <w:rPr>
          <w:sz w:val="22"/>
        </w:rPr>
        <w:t xml:space="preserve"> </w:t>
      </w:r>
    </w:p>
    <w:p w14:paraId="6EAF5662"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Reglage, objekt, ikoner och bilder ska vara identifierbara, lätta att använda och ha tillhörande alternativ text som anger deras funktion eller betydelse.</w:t>
      </w:r>
      <w:r>
        <w:rPr>
          <w:sz w:val="22"/>
        </w:rPr>
        <w:t xml:space="preserve"> </w:t>
      </w:r>
    </w:p>
    <w:p w14:paraId="5791E3B0"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Varningssignaler ska finnas som visuella alternativ eller vibrationer.</w:t>
      </w:r>
      <w:r>
        <w:rPr>
          <w:sz w:val="22"/>
        </w:rPr>
        <w:t xml:space="preserve"> </w:t>
      </w:r>
    </w:p>
    <w:p w14:paraId="12D8BAF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Processen för att få tillgång till tjänsten ska vara snabb och smidig.</w:t>
      </w:r>
    </w:p>
    <w:p w14:paraId="1F898261"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Applikationen ska vara kompatibel med stödprodukter som skärmläsare, förstoringsglas och röstkommandon.</w:t>
      </w:r>
    </w:p>
    <w:p w14:paraId="795B853F"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Applikationen ska vara kompatibel med operativsystemets tillgänglighetsverktyg.</w:t>
      </w:r>
    </w:p>
    <w:p w14:paraId="56E59187" w14:textId="77777777" w:rsidR="00E526B5" w:rsidRDefault="00E526B5">
      <w:pPr>
        <w:rPr>
          <w:lang w:val="es-ES"/>
        </w:rPr>
      </w:pPr>
    </w:p>
    <w:p w14:paraId="53BF94FB" w14:textId="30F32856" w:rsidR="00E526B5" w:rsidRPr="000F0A63" w:rsidRDefault="00E526B5" w:rsidP="005917F0">
      <w:pPr>
        <w:keepNext/>
        <w:keepLines/>
        <w:tabs>
          <w:tab w:val="left" w:pos="284"/>
        </w:tabs>
        <w:jc w:val="both"/>
        <w:outlineLvl w:val="1"/>
        <w:rPr>
          <w:bCs/>
          <w:sz w:val="22"/>
          <w:szCs w:val="22"/>
          <w:rFonts w:cs="Arial"/>
        </w:rPr>
      </w:pPr>
      <w:r>
        <w:rPr>
          <w:sz w:val="22"/>
        </w:rPr>
        <w:t xml:space="preserve">Bilaga 6b:</w:t>
      </w:r>
      <w:r>
        <w:rPr>
          <w:sz w:val="22"/>
        </w:rPr>
        <w:t xml:space="preserve"> </w:t>
      </w:r>
      <w:r>
        <w:rPr>
          <w:sz w:val="22"/>
        </w:rPr>
        <w:t xml:space="preserve">Tidsfrister för att anpassa befintliga tjänster till de fastställda villkoren</w:t>
      </w:r>
    </w:p>
    <w:p w14:paraId="77C3480F" w14:textId="43B01EF3" w:rsidR="00E526B5" w:rsidRPr="000F0A63" w:rsidRDefault="00E526B5" w:rsidP="005917F0">
      <w:pPr>
        <w:keepNext/>
        <w:keepLines/>
        <w:tabs>
          <w:tab w:val="left" w:pos="284"/>
        </w:tabs>
        <w:jc w:val="both"/>
        <w:rPr>
          <w:rFonts w:cs="Arial"/>
          <w:bCs/>
          <w:sz w:val="22"/>
          <w:szCs w:val="22"/>
          <w:lang w:val="es-ES"/>
        </w:rPr>
      </w:pPr>
    </w:p>
    <w:p w14:paraId="19B0505A"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5" w:name="_Ref505083170"/>
      <w:r>
        <w:rPr>
          <w:sz w:val="22"/>
        </w:rPr>
        <w:t xml:space="preserve">Förenlighet med andra nödvändiga villkor</w:t>
      </w:r>
      <w:bookmarkEnd w:id="5"/>
      <w:r>
        <w:rPr>
          <w:sz w:val="22"/>
        </w:rPr>
        <w:t xml:space="preserve"> </w:t>
      </w:r>
    </w:p>
    <w:p w14:paraId="1C074B90" w14:textId="77777777" w:rsidR="00E526B5" w:rsidRPr="000F0A63" w:rsidRDefault="00E526B5" w:rsidP="00E526B5">
      <w:pPr>
        <w:keepNext/>
        <w:keepLines/>
        <w:tabs>
          <w:tab w:val="left" w:pos="284"/>
        </w:tabs>
        <w:jc w:val="both"/>
        <w:rPr>
          <w:sz w:val="22"/>
          <w:szCs w:val="22"/>
          <w:rFonts w:cs="Arial"/>
        </w:rPr>
      </w:pPr>
      <w:r>
        <w:rPr>
          <w:sz w:val="22"/>
        </w:rPr>
        <w:t xml:space="preserve">Villkoren i denna bilaga 6b påverkar inte skyldigheten att uppfylla kraven före de angivna tidsfristerna för de nödvändiga tillgänglighetsvillkoren vid ändring av befintliga element eller resurser.</w:t>
      </w:r>
      <w:r>
        <w:rPr>
          <w:sz w:val="22"/>
        </w:rPr>
        <w:t xml:space="preserve"> </w:t>
      </w:r>
    </w:p>
    <w:p w14:paraId="5EEA95FF" w14:textId="77777777" w:rsidR="00E526B5" w:rsidRPr="000F0A63" w:rsidRDefault="00E526B5" w:rsidP="00E526B5">
      <w:pPr>
        <w:keepNext/>
        <w:keepLines/>
        <w:tabs>
          <w:tab w:val="left" w:pos="284"/>
        </w:tabs>
        <w:jc w:val="both"/>
        <w:rPr>
          <w:rFonts w:cs="Arial"/>
          <w:sz w:val="22"/>
          <w:szCs w:val="22"/>
          <w:lang w:val="es-ES" w:eastAsia="x-none"/>
        </w:rPr>
      </w:pPr>
    </w:p>
    <w:p w14:paraId="68894ACD"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6" w:name="_Ref505083210"/>
      <w:r>
        <w:rPr>
          <w:sz w:val="22"/>
        </w:rPr>
        <w:t xml:space="preserve">Den katalanska offentliga sektorn, offentligrättsliga institutioner och offentliga tjänsteleverantörer</w:t>
      </w:r>
      <w:bookmarkEnd w:id="6"/>
    </w:p>
    <w:p w14:paraId="76077B47" w14:textId="77777777" w:rsidR="00E526B5" w:rsidRPr="000F0A63" w:rsidRDefault="00E526B5" w:rsidP="00E526B5">
      <w:pPr>
        <w:tabs>
          <w:tab w:val="left" w:pos="284"/>
        </w:tabs>
        <w:jc w:val="both"/>
        <w:rPr>
          <w:bCs/>
          <w:iCs/>
          <w:sz w:val="22"/>
          <w:szCs w:val="22"/>
          <w:rFonts w:cs="Arial"/>
        </w:rPr>
      </w:pPr>
      <w:r>
        <w:rPr>
          <w:sz w:val="22"/>
        </w:rPr>
        <w:t xml:space="preserve">Följande slutliga tidsfrister fastställs för att webbplatserna och mobilapplikationerna för den katalanska offentliga sektorn, offentligrättsliga institutioner samt enheter eller företag som tillhandahåller offentliga tjänster genom koncession eller via avtal med den offentliga förvaltningen ska vara tillgängliga och uppfylla de villkor som anges i artikel 138:</w:t>
      </w:r>
    </w:p>
    <w:p w14:paraId="181146B6"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Ett år efter ikraftträdandet av denna lag:</w:t>
      </w:r>
    </w:p>
    <w:p w14:paraId="69D26797" w14:textId="77777777" w:rsidR="00E526B5" w:rsidRPr="000F0A63" w:rsidRDefault="00E526B5" w:rsidP="000F4434">
      <w:pPr>
        <w:numPr>
          <w:ilvl w:val="1"/>
          <w:numId w:val="30"/>
        </w:numPr>
        <w:tabs>
          <w:tab w:val="clear" w:pos="1440"/>
          <w:tab w:val="left" w:pos="284"/>
          <w:tab w:val="num" w:pos="426"/>
          <w:tab w:val="num" w:pos="993"/>
        </w:tabs>
        <w:ind w:left="0" w:firstLine="0"/>
        <w:jc w:val="both"/>
        <w:rPr>
          <w:sz w:val="22"/>
          <w:szCs w:val="22"/>
          <w:rFonts w:cs="Arial"/>
        </w:rPr>
      </w:pPr>
      <w:r>
        <w:rPr>
          <w:sz w:val="22"/>
        </w:rPr>
        <w:t xml:space="preserve">Webbplatserna för den katalanska offentliga sektorn och offentligrättsliga institutioner.</w:t>
      </w:r>
    </w:p>
    <w:p w14:paraId="47DD03E4"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Två år efter ikraftträdandet av denna lag:</w:t>
      </w:r>
    </w:p>
    <w:p w14:paraId="04EB1B39" w14:textId="77777777" w:rsidR="00E526B5" w:rsidRPr="000F0A63" w:rsidRDefault="00E526B5" w:rsidP="000F4434">
      <w:pPr>
        <w:numPr>
          <w:ilvl w:val="0"/>
          <w:numId w:val="33"/>
        </w:numPr>
        <w:tabs>
          <w:tab w:val="left" w:pos="426"/>
        </w:tabs>
        <w:ind w:left="0" w:firstLine="0"/>
        <w:jc w:val="both"/>
        <w:rPr>
          <w:sz w:val="22"/>
          <w:szCs w:val="22"/>
          <w:rFonts w:cs="Arial"/>
        </w:rPr>
      </w:pPr>
      <w:r>
        <w:rPr>
          <w:sz w:val="22"/>
        </w:rPr>
        <w:t xml:space="preserve">Mobilapplikationer för den katalanska offentliga sektorn och offentligrättsliga institutioner.</w:t>
      </w:r>
    </w:p>
    <w:p w14:paraId="4A800192" w14:textId="77777777" w:rsidR="00E526B5" w:rsidRPr="000F0A63" w:rsidRDefault="00E526B5" w:rsidP="000F4434">
      <w:pPr>
        <w:keepNext/>
        <w:keepLines/>
        <w:numPr>
          <w:ilvl w:val="0"/>
          <w:numId w:val="29"/>
        </w:numPr>
        <w:tabs>
          <w:tab w:val="left" w:pos="284"/>
          <w:tab w:val="num" w:pos="426"/>
          <w:tab w:val="num" w:pos="567"/>
        </w:tabs>
        <w:ind w:left="0" w:firstLine="0"/>
        <w:jc w:val="both"/>
        <w:rPr>
          <w:bCs/>
          <w:sz w:val="22"/>
          <w:szCs w:val="22"/>
          <w:rFonts w:cs="Arial"/>
        </w:rPr>
      </w:pPr>
      <w:r>
        <w:rPr>
          <w:sz w:val="22"/>
        </w:rPr>
        <w:t xml:space="preserve">Tre år efter ikraftträdandet av denna lag:</w:t>
      </w:r>
      <w:r>
        <w:rPr>
          <w:sz w:val="22"/>
        </w:rPr>
        <w:t xml:space="preserve"> </w:t>
      </w:r>
    </w:p>
    <w:p w14:paraId="2BC909CB" w14:textId="77777777" w:rsidR="00E526B5" w:rsidRPr="000F0A63" w:rsidRDefault="00E526B5" w:rsidP="000F4434">
      <w:pPr>
        <w:numPr>
          <w:ilvl w:val="0"/>
          <w:numId w:val="50"/>
        </w:numPr>
        <w:tabs>
          <w:tab w:val="left" w:pos="426"/>
        </w:tabs>
        <w:ind w:left="0" w:firstLine="0"/>
        <w:jc w:val="both"/>
        <w:rPr>
          <w:sz w:val="22"/>
          <w:szCs w:val="22"/>
          <w:rFonts w:cs="Arial"/>
        </w:rPr>
      </w:pPr>
      <w:r>
        <w:rPr>
          <w:sz w:val="22"/>
        </w:rPr>
        <w:t xml:space="preserve">Webbplatser och mobilapplikationer för enheter eller företag som tillhandahåller offentliga tjänster genom koncession eller via avtal med den offentliga förvaltningen.</w:t>
      </w:r>
    </w:p>
    <w:p w14:paraId="5A897CB9" w14:textId="77777777" w:rsidR="00E526B5" w:rsidRPr="000F0A63" w:rsidRDefault="00E526B5" w:rsidP="00E526B5">
      <w:pPr>
        <w:tabs>
          <w:tab w:val="left" w:pos="284"/>
          <w:tab w:val="num" w:pos="426"/>
        </w:tabs>
        <w:jc w:val="both"/>
        <w:rPr>
          <w:sz w:val="22"/>
          <w:szCs w:val="22"/>
          <w:rFonts w:cs="Arial"/>
        </w:rPr>
      </w:pPr>
      <w:r>
        <w:rPr>
          <w:sz w:val="22"/>
        </w:rPr>
        <w:t xml:space="preserve">De angivna tidsfristerna ska inte påverka efterlevnaden av eventuella kortare tidsfrister som krävs utifrån tjänstens egenskaper i enlighet med övriga punkter i denna bilaga eller andra bestämmelser som reglerar den.</w:t>
      </w:r>
      <w:r>
        <w:rPr>
          <w:sz w:val="22"/>
        </w:rPr>
        <w:t xml:space="preserve"> </w:t>
      </w:r>
    </w:p>
    <w:p w14:paraId="6782A616" w14:textId="77777777" w:rsidR="00E526B5" w:rsidRPr="000F0A63" w:rsidRDefault="00E526B5" w:rsidP="00E526B5">
      <w:pPr>
        <w:tabs>
          <w:tab w:val="left" w:pos="284"/>
          <w:tab w:val="num" w:pos="426"/>
        </w:tabs>
        <w:jc w:val="both"/>
        <w:rPr>
          <w:rFonts w:cs="Arial"/>
          <w:sz w:val="22"/>
          <w:szCs w:val="22"/>
          <w:lang w:val="es-ES"/>
        </w:rPr>
      </w:pPr>
    </w:p>
    <w:p w14:paraId="1A2A94E1"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7" w:name="_Ref505083224"/>
      <w:r>
        <w:rPr>
          <w:sz w:val="22"/>
        </w:rPr>
        <w:t xml:space="preserve">Tjänster som rör scenkonst, biografer och idrottsevenemang</w:t>
      </w:r>
      <w:bookmarkEnd w:id="7"/>
    </w:p>
    <w:p w14:paraId="6E9E2B04" w14:textId="77777777" w:rsidR="00E526B5" w:rsidRPr="000F0A63" w:rsidRDefault="00E526B5" w:rsidP="00E526B5">
      <w:pPr>
        <w:tabs>
          <w:tab w:val="left" w:pos="284"/>
        </w:tabs>
        <w:jc w:val="both"/>
        <w:rPr>
          <w:bCs/>
          <w:sz w:val="22"/>
          <w:szCs w:val="22"/>
          <w:rFonts w:cs="Arial"/>
        </w:rPr>
      </w:pPr>
      <w:r>
        <w:rPr>
          <w:sz w:val="22"/>
        </w:rPr>
        <w:t xml:space="preserve">Följande slutliga tidsfrister fastställs för att se till att anläggningens webbplatser och elektroniska biljettförsäljningskanaler är tillgängliga och uppfyller de villkor som anges i artikel 133:</w:t>
      </w:r>
    </w:p>
    <w:p w14:paraId="44E529E5"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Två år efter ikraftträdandet av denna lag:</w:t>
      </w:r>
    </w:p>
    <w:p w14:paraId="26851055"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Webbplatser och mobilapplikationer för anläggningar som har en kapacitet på minst 2 000 sittplatser på hela området.</w:t>
      </w:r>
    </w:p>
    <w:p w14:paraId="59D0540F"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Webbplatser och mobilapplikationer för biljettförsäljningsplattformar på nätet som hanterar mer än en anläggning med en sammanlagd kapacitet på minst 2 000 sittplatser.</w:t>
      </w:r>
    </w:p>
    <w:p w14:paraId="2835B2B8"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Tre år efter ikraftträdandet av denna lag:</w:t>
      </w:r>
    </w:p>
    <w:p w14:paraId="2F160C92" w14:textId="77777777" w:rsidR="00E526B5" w:rsidRPr="000F0A63" w:rsidRDefault="00E526B5" w:rsidP="000F4434">
      <w:pPr>
        <w:numPr>
          <w:ilvl w:val="0"/>
          <w:numId w:val="36"/>
        </w:numPr>
        <w:tabs>
          <w:tab w:val="left" w:pos="567"/>
        </w:tabs>
        <w:ind w:left="0" w:firstLine="0"/>
        <w:jc w:val="both"/>
        <w:rPr>
          <w:sz w:val="22"/>
          <w:szCs w:val="22"/>
          <w:rFonts w:cs="Arial"/>
        </w:rPr>
      </w:pPr>
      <w:r>
        <w:rPr>
          <w:sz w:val="22"/>
        </w:rPr>
        <w:t xml:space="preserve">Webbplatser och mobilapplikationer för biljettförsäljningsplattformar på nätet som hanterar mer än en anläggning med en sammanlagd kapacitet på färre än 2 000 sittplatser.</w:t>
      </w:r>
      <w:r>
        <w:rPr>
          <w:sz w:val="22"/>
        </w:rPr>
        <w:t xml:space="preserve"> </w:t>
      </w:r>
    </w:p>
    <w:p w14:paraId="7BECFAB4" w14:textId="77777777" w:rsidR="00E526B5" w:rsidRPr="000F0A63" w:rsidRDefault="00E526B5" w:rsidP="000F4434">
      <w:pPr>
        <w:keepNext/>
        <w:numPr>
          <w:ilvl w:val="0"/>
          <w:numId w:val="34"/>
        </w:numPr>
        <w:tabs>
          <w:tab w:val="left" w:pos="284"/>
        </w:tabs>
        <w:ind w:left="0" w:firstLine="0"/>
        <w:jc w:val="both"/>
        <w:rPr>
          <w:sz w:val="22"/>
          <w:szCs w:val="22"/>
          <w:rFonts w:cs="Arial"/>
        </w:rPr>
      </w:pPr>
      <w:r>
        <w:rPr>
          <w:sz w:val="22"/>
        </w:rPr>
        <w:t xml:space="preserve">Fyra år efter ikraftträdandet av denna lag:</w:t>
      </w:r>
    </w:p>
    <w:p w14:paraId="4D5AB809" w14:textId="77777777" w:rsidR="00E526B5" w:rsidRPr="000F0A63" w:rsidRDefault="00E526B5" w:rsidP="000F4434">
      <w:pPr>
        <w:numPr>
          <w:ilvl w:val="0"/>
          <w:numId w:val="35"/>
        </w:numPr>
        <w:tabs>
          <w:tab w:val="left" w:pos="567"/>
        </w:tabs>
        <w:ind w:left="0" w:firstLine="0"/>
        <w:jc w:val="both"/>
        <w:rPr>
          <w:sz w:val="22"/>
          <w:szCs w:val="22"/>
          <w:rFonts w:cs="Arial"/>
        </w:rPr>
      </w:pPr>
      <w:r>
        <w:rPr>
          <w:sz w:val="22"/>
        </w:rPr>
        <w:t xml:space="preserve">Webbplatser och mobilapplikationer för anläggningar med en kapacitet på färre än 2 000 sittplatser på hela området.</w:t>
      </w:r>
      <w:r>
        <w:rPr>
          <w:sz w:val="22"/>
        </w:rPr>
        <w:t xml:space="preserve">  </w:t>
      </w:r>
    </w:p>
    <w:p w14:paraId="2C5319CC" w14:textId="77777777" w:rsidR="00E526B5" w:rsidRPr="000F0A63" w:rsidRDefault="00E526B5" w:rsidP="00E526B5">
      <w:pPr>
        <w:tabs>
          <w:tab w:val="left" w:pos="284"/>
        </w:tabs>
        <w:jc w:val="both"/>
        <w:rPr>
          <w:rFonts w:cs="Arial"/>
          <w:sz w:val="22"/>
          <w:szCs w:val="22"/>
          <w:lang w:val="es-ES"/>
        </w:rPr>
      </w:pPr>
    </w:p>
    <w:p w14:paraId="0B116980"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8" w:name="_Ref505083249"/>
      <w:r>
        <w:rPr>
          <w:sz w:val="22"/>
        </w:rPr>
        <w:t xml:space="preserve">Kommersiella tjänster</w:t>
      </w:r>
      <w:bookmarkEnd w:id="8"/>
    </w:p>
    <w:p w14:paraId="3609046E" w14:textId="77777777" w:rsidR="00E526B5" w:rsidRPr="000F0A63" w:rsidRDefault="00E526B5" w:rsidP="00E526B5">
      <w:pPr>
        <w:keepLines/>
        <w:tabs>
          <w:tab w:val="left" w:pos="284"/>
        </w:tabs>
        <w:jc w:val="both"/>
        <w:rPr>
          <w:bCs/>
          <w:sz w:val="22"/>
          <w:szCs w:val="22"/>
          <w:rFonts w:cs="Arial"/>
        </w:rPr>
      </w:pPr>
      <w:r>
        <w:rPr>
          <w:sz w:val="22"/>
        </w:rPr>
        <w:t xml:space="preserve">Följande slutliga tidsfrister fastställs för att se till att webbplatser och mobilapplikationer som erbjuder näthandel, samt för snabbköpskedjor och företag med livsmedelsanläggningar eller blandade anläggningar, är tillgängliga och uppfyller de villkor som anges i artikel 126:</w:t>
      </w:r>
    </w:p>
    <w:p w14:paraId="12FBBAE4"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Två år efter ikraftträdandet av denna lag:</w:t>
      </w:r>
    </w:p>
    <w:p w14:paraId="5E3D88E1" w14:textId="77777777" w:rsidR="00E526B5" w:rsidRPr="000F0A63" w:rsidRDefault="00E526B5" w:rsidP="000F4434">
      <w:pPr>
        <w:numPr>
          <w:ilvl w:val="1"/>
          <w:numId w:val="34"/>
        </w:numPr>
        <w:tabs>
          <w:tab w:val="clear" w:pos="1440"/>
          <w:tab w:val="num" w:pos="567"/>
        </w:tabs>
        <w:ind w:left="0" w:firstLine="0"/>
        <w:jc w:val="both"/>
        <w:rPr>
          <w:bCs/>
          <w:iCs/>
          <w:sz w:val="22"/>
          <w:szCs w:val="22"/>
          <w:rFonts w:cs="Arial"/>
        </w:rPr>
      </w:pPr>
      <w:r>
        <w:rPr>
          <w:sz w:val="22"/>
        </w:rPr>
        <w:t xml:space="preserve">Webbplatser och mobilapplikationer för snabbköpskedjor som har 10 eller fler anläggningar och lokaler på över 500 m² användbar yta för allmänt bruk.</w:t>
      </w:r>
    </w:p>
    <w:p w14:paraId="79B90796"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Tre år efter ikraftträdandet av denna lag:</w:t>
      </w:r>
    </w:p>
    <w:p w14:paraId="4A64FC41" w14:textId="77777777" w:rsidR="00E526B5" w:rsidRPr="000F0A63" w:rsidRDefault="00E526B5" w:rsidP="000F4434">
      <w:pPr>
        <w:numPr>
          <w:ilvl w:val="0"/>
          <w:numId w:val="37"/>
        </w:numPr>
        <w:tabs>
          <w:tab w:val="left" w:pos="567"/>
        </w:tabs>
        <w:ind w:left="0" w:firstLine="0"/>
        <w:jc w:val="both"/>
        <w:rPr>
          <w:bCs/>
          <w:iCs/>
          <w:sz w:val="22"/>
          <w:szCs w:val="22"/>
          <w:rFonts w:cs="Arial"/>
        </w:rPr>
      </w:pPr>
      <w:r>
        <w:rPr>
          <w:sz w:val="22"/>
        </w:rPr>
        <w:t xml:space="preserve">Webbplatser och mobilapplikationer för snabbköpskedjor som har 5–9 anläggningar och lokaler på över 500 m² användbar yta för allmänt bruk.</w:t>
      </w:r>
    </w:p>
    <w:p w14:paraId="1F2E1FB5" w14:textId="77777777" w:rsidR="00E526B5" w:rsidRPr="000F0A63" w:rsidRDefault="00E526B5" w:rsidP="000F4434">
      <w:pPr>
        <w:numPr>
          <w:ilvl w:val="0"/>
          <w:numId w:val="32"/>
        </w:numPr>
        <w:tabs>
          <w:tab w:val="left" w:pos="284"/>
        </w:tabs>
        <w:ind w:left="0" w:firstLine="0"/>
        <w:jc w:val="both"/>
        <w:rPr>
          <w:sz w:val="22"/>
          <w:szCs w:val="22"/>
          <w:rFonts w:cs="Arial"/>
        </w:rPr>
      </w:pPr>
      <w:r>
        <w:rPr>
          <w:sz w:val="22"/>
        </w:rPr>
        <w:t xml:space="preserve">Fyra år efter ikraftträdandet av denna lag:</w:t>
      </w:r>
    </w:p>
    <w:p w14:paraId="47833147" w14:textId="77777777" w:rsidR="00E526B5" w:rsidRPr="000F0A63" w:rsidRDefault="00E526B5" w:rsidP="000F4434">
      <w:pPr>
        <w:numPr>
          <w:ilvl w:val="0"/>
          <w:numId w:val="38"/>
        </w:numPr>
        <w:tabs>
          <w:tab w:val="left" w:pos="567"/>
        </w:tabs>
        <w:ind w:left="0" w:firstLine="0"/>
        <w:jc w:val="both"/>
        <w:rPr>
          <w:bCs/>
          <w:iCs/>
          <w:sz w:val="22"/>
          <w:szCs w:val="22"/>
          <w:rFonts w:cs="Arial"/>
        </w:rPr>
      </w:pPr>
      <w:r>
        <w:rPr>
          <w:sz w:val="22"/>
        </w:rPr>
        <w:t xml:space="preserve">Webbplatser och mobilapplikationer för snabbköpskedjor och livsmedelsanläggningar eller blandade anläggningar som har lokaler på över 500 m² användbar yta för allmänt bruk.</w:t>
      </w:r>
    </w:p>
    <w:p w14:paraId="0F06586C" w14:textId="77777777" w:rsidR="00E526B5" w:rsidRPr="000F0A63" w:rsidRDefault="00E526B5" w:rsidP="00E526B5">
      <w:pPr>
        <w:tabs>
          <w:tab w:val="left" w:pos="284"/>
        </w:tabs>
        <w:jc w:val="both"/>
        <w:rPr>
          <w:rFonts w:cs="Arial"/>
          <w:bCs/>
          <w:iCs/>
          <w:sz w:val="22"/>
          <w:szCs w:val="22"/>
          <w:lang w:val="es-ES" w:eastAsia="x-none"/>
        </w:rPr>
      </w:pPr>
    </w:p>
    <w:p w14:paraId="017AE2BB"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9" w:name="_Ref505083279"/>
      <w:r>
        <w:rPr>
          <w:sz w:val="22"/>
        </w:rPr>
        <w:t xml:space="preserve">Finans- och försäkringstjänster</w:t>
      </w:r>
      <w:bookmarkEnd w:id="9"/>
    </w:p>
    <w:p w14:paraId="6258DBF3" w14:textId="77777777" w:rsidR="00E526B5" w:rsidRPr="000F0A63" w:rsidRDefault="00E526B5" w:rsidP="00E526B5">
      <w:pPr>
        <w:keepLines/>
        <w:tabs>
          <w:tab w:val="left" w:pos="284"/>
        </w:tabs>
        <w:jc w:val="both"/>
        <w:rPr>
          <w:sz w:val="22"/>
          <w:szCs w:val="22"/>
          <w:rFonts w:cs="Arial"/>
        </w:rPr>
      </w:pPr>
      <w:r>
        <w:rPr>
          <w:sz w:val="22"/>
        </w:rPr>
        <w:t xml:space="preserve">Följande slutliga tidsfrister fastställs för att se till att webbplatser och mobilapplikationer som möjliggör bank- eller kontraktsverksamhet, läkarrådgivning eller någon annan typ av förvaltning eller konsultation avseende produkter som kontrakteras via enheten är tillgängliga och uppfyller de villkor som anges i artikel 127:</w:t>
      </w:r>
    </w:p>
    <w:p w14:paraId="05FAE614"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Ett år efter ikraftträdandet av denna lag:</w:t>
      </w:r>
    </w:p>
    <w:p w14:paraId="05594252" w14:textId="77777777" w:rsidR="00E526B5" w:rsidRPr="000F0A63" w:rsidRDefault="00E526B5" w:rsidP="000F4434">
      <w:pPr>
        <w:numPr>
          <w:ilvl w:val="0"/>
          <w:numId w:val="40"/>
        </w:numPr>
        <w:tabs>
          <w:tab w:val="clear" w:pos="1440"/>
          <w:tab w:val="num" w:pos="567"/>
        </w:tabs>
        <w:ind w:left="0" w:firstLine="0"/>
        <w:jc w:val="both"/>
        <w:rPr>
          <w:sz w:val="22"/>
          <w:szCs w:val="22"/>
          <w:rFonts w:cs="Arial"/>
        </w:rPr>
      </w:pPr>
      <w:r>
        <w:rPr>
          <w:sz w:val="22"/>
        </w:rPr>
        <w:t xml:space="preserve">Webbplatser</w:t>
      </w:r>
      <w:r>
        <w:rPr>
          <w:sz w:val="22"/>
        </w:rPr>
        <w:t xml:space="preserve"> </w:t>
      </w:r>
    </w:p>
    <w:p w14:paraId="4C51E7FB"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Två år efter ikraftträdandet av denna lag:</w:t>
      </w:r>
    </w:p>
    <w:p w14:paraId="7D3D57C1" w14:textId="77777777" w:rsidR="00E526B5" w:rsidRPr="000F0A63" w:rsidRDefault="00E526B5" w:rsidP="000F4434">
      <w:pPr>
        <w:numPr>
          <w:ilvl w:val="0"/>
          <w:numId w:val="41"/>
        </w:numPr>
        <w:tabs>
          <w:tab w:val="left" w:pos="567"/>
        </w:tabs>
        <w:ind w:left="0" w:firstLine="0"/>
        <w:jc w:val="both"/>
        <w:rPr>
          <w:sz w:val="22"/>
          <w:szCs w:val="22"/>
          <w:rFonts w:cs="Arial"/>
        </w:rPr>
      </w:pPr>
      <w:r>
        <w:rPr>
          <w:sz w:val="22"/>
        </w:rPr>
        <w:t xml:space="preserve">Mobilapplikationer.</w:t>
      </w:r>
    </w:p>
    <w:p w14:paraId="355C8392" w14:textId="77777777" w:rsidR="00E526B5" w:rsidRPr="000F0A63" w:rsidRDefault="00E526B5" w:rsidP="00E526B5">
      <w:pPr>
        <w:tabs>
          <w:tab w:val="left" w:pos="284"/>
        </w:tabs>
        <w:jc w:val="both"/>
        <w:rPr>
          <w:rFonts w:cs="Arial"/>
          <w:sz w:val="22"/>
          <w:szCs w:val="22"/>
          <w:lang w:val="es-ES"/>
        </w:rPr>
      </w:pPr>
    </w:p>
    <w:p w14:paraId="393046A4"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0" w:name="_Ref505083294"/>
      <w:r>
        <w:rPr>
          <w:sz w:val="22"/>
        </w:rPr>
        <w:t xml:space="preserve">Tjänster med anknytning till privata transporter</w:t>
      </w:r>
      <w:bookmarkEnd w:id="10"/>
    </w:p>
    <w:p w14:paraId="0C12C9D0" w14:textId="77777777" w:rsidR="00E526B5" w:rsidRPr="000F0A63" w:rsidRDefault="00E526B5" w:rsidP="00E526B5">
      <w:pPr>
        <w:tabs>
          <w:tab w:val="left" w:pos="284"/>
        </w:tabs>
        <w:jc w:val="both"/>
        <w:rPr>
          <w:bCs/>
          <w:sz w:val="22"/>
          <w:szCs w:val="22"/>
          <w:rFonts w:cs="Arial"/>
        </w:rPr>
      </w:pPr>
      <w:r>
        <w:rPr>
          <w:sz w:val="22"/>
        </w:rPr>
        <w:t xml:space="preserve">Följande slutliga tidsfrister fastställs för företag som erbjuder uthyrning av självkörande bilar, med ett bestånd på mer än 100 fordon, samt företag som erbjuder uthyrning av bilar med chaufför, med ett bestånd på mer än 50 fordon, att uppfylla villkoren i artikel 128:</w:t>
      </w:r>
      <w:r>
        <w:rPr>
          <w:sz w:val="22"/>
        </w:rPr>
        <w:t xml:space="preserve"> </w:t>
      </w:r>
    </w:p>
    <w:p w14:paraId="47D4E7EF"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Ett år efter ikraftträdandet av denna lag:</w:t>
      </w:r>
      <w:r>
        <w:rPr>
          <w:sz w:val="22"/>
        </w:rPr>
        <w:t xml:space="preserve"> </w:t>
      </w:r>
    </w:p>
    <w:p w14:paraId="4DD29E94" w14:textId="37067D80" w:rsidR="00E526B5" w:rsidRPr="000F0A63" w:rsidRDefault="00E526B5" w:rsidP="00E526B5">
      <w:pPr>
        <w:widowControl w:val="0"/>
        <w:tabs>
          <w:tab w:val="left" w:pos="426"/>
        </w:tabs>
        <w:jc w:val="both"/>
        <w:rPr>
          <w:sz w:val="22"/>
          <w:szCs w:val="22"/>
          <w:rFonts w:cs="Arial"/>
        </w:rPr>
      </w:pPr>
      <w:r>
        <w:rPr>
          <w:sz w:val="22"/>
        </w:rPr>
        <w:t xml:space="preserve">a1.</w:t>
      </w:r>
      <w:r>
        <w:rPr>
          <w:sz w:val="22"/>
        </w:rPr>
        <w:tab/>
      </w:r>
      <w:r>
        <w:rPr>
          <w:sz w:val="22"/>
        </w:rPr>
        <w:t xml:space="preserve">De måste tillhandahålla fordon som kan transportera personer i rullstol motsvarande minst 1 % av det förvaltade beståndet.</w:t>
      </w:r>
      <w:r>
        <w:rPr>
          <w:sz w:val="22"/>
        </w:rPr>
        <w:t xml:space="preserve"> </w:t>
      </w:r>
    </w:p>
    <w:p w14:paraId="241A7D0B" w14:textId="07973EFE" w:rsidR="00E526B5" w:rsidRPr="000F0A63" w:rsidRDefault="00E526B5" w:rsidP="00B670F2">
      <w:pPr>
        <w:widowControl w:val="0"/>
        <w:tabs>
          <w:tab w:val="left" w:pos="426"/>
        </w:tabs>
        <w:jc w:val="both"/>
        <w:rPr>
          <w:sz w:val="22"/>
          <w:szCs w:val="22"/>
          <w:rFonts w:cs="Arial"/>
        </w:rPr>
      </w:pPr>
      <w:r>
        <w:rPr>
          <w:sz w:val="22"/>
        </w:rPr>
        <w:t xml:space="preserve">a2.</w:t>
      </w:r>
      <w:r>
        <w:rPr>
          <w:sz w:val="22"/>
        </w:rPr>
        <w:tab/>
      </w:r>
      <w:r>
        <w:rPr>
          <w:sz w:val="22"/>
        </w:rPr>
        <w:t xml:space="preserve">De måste tillhandahålla anpassade fordon för förare med nedsatt rörlighet motsvarande minst 0,5 % av det förvaltade beståndet.</w:t>
      </w:r>
      <w:r>
        <w:rPr>
          <w:sz w:val="22"/>
        </w:rPr>
        <w:t xml:space="preserve"> </w:t>
      </w:r>
    </w:p>
    <w:p w14:paraId="273BCA57" w14:textId="19D21C18" w:rsidR="00E526B5" w:rsidRPr="000F0A63" w:rsidRDefault="00E526B5" w:rsidP="00B670F2">
      <w:pPr>
        <w:widowControl w:val="0"/>
        <w:tabs>
          <w:tab w:val="left" w:pos="426"/>
        </w:tabs>
        <w:jc w:val="both"/>
        <w:rPr>
          <w:sz w:val="22"/>
          <w:szCs w:val="22"/>
          <w:rFonts w:cs="Arial"/>
        </w:rPr>
      </w:pPr>
      <w:r>
        <w:rPr>
          <w:sz w:val="22"/>
        </w:rPr>
        <w:t xml:space="preserve">a3.</w:t>
      </w:r>
      <w:r>
        <w:rPr>
          <w:sz w:val="22"/>
        </w:rPr>
        <w:tab/>
      </w:r>
      <w:r>
        <w:rPr>
          <w:sz w:val="22"/>
        </w:rPr>
        <w:t xml:space="preserve">Det bestånd som anges i föregående punkter kan antingen bestå av egna fordon eller tillhandahållas genom avtal med andra aktörer som garanterar tillräcklig tillgänglighet.</w:t>
      </w:r>
    </w:p>
    <w:p w14:paraId="3BCE400D"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Tre år efter ikraftträdandet av denna lag:</w:t>
      </w:r>
      <w:r>
        <w:rPr>
          <w:sz w:val="22"/>
        </w:rPr>
        <w:t xml:space="preserve"> </w:t>
      </w:r>
    </w:p>
    <w:p w14:paraId="727C0165" w14:textId="23D3973D" w:rsidR="00E526B5" w:rsidRPr="000F0A63" w:rsidRDefault="00E526B5" w:rsidP="00B670F2">
      <w:pPr>
        <w:widowControl w:val="0"/>
        <w:tabs>
          <w:tab w:val="left" w:pos="426"/>
        </w:tabs>
        <w:jc w:val="both"/>
        <w:rPr>
          <w:sz w:val="22"/>
          <w:szCs w:val="22"/>
          <w:rFonts w:cs="Arial"/>
        </w:rPr>
      </w:pPr>
      <w:r>
        <w:rPr>
          <w:sz w:val="22"/>
        </w:rPr>
        <w:t xml:space="preserve">b1.</w:t>
      </w:r>
      <w:r>
        <w:rPr>
          <w:sz w:val="22"/>
        </w:rPr>
        <w:tab/>
      </w:r>
      <w:r>
        <w:rPr>
          <w:sz w:val="22"/>
        </w:rPr>
        <w:t xml:space="preserve">Minst 0,5 % av fordonen i det egna beståndet ska kunna transportera personer i rullstol.</w:t>
      </w:r>
      <w:r>
        <w:rPr>
          <w:sz w:val="22"/>
        </w:rPr>
        <w:t xml:space="preserve"> </w:t>
      </w:r>
    </w:p>
    <w:p w14:paraId="1A4E7542" w14:textId="77777777" w:rsidR="00E526B5" w:rsidRPr="000F0A63" w:rsidRDefault="00E526B5" w:rsidP="000F4434">
      <w:pPr>
        <w:keepNext/>
        <w:numPr>
          <w:ilvl w:val="0"/>
          <w:numId w:val="31"/>
        </w:numPr>
        <w:tabs>
          <w:tab w:val="left" w:pos="284"/>
        </w:tabs>
        <w:ind w:left="0" w:firstLine="0"/>
        <w:jc w:val="both"/>
        <w:rPr>
          <w:sz w:val="22"/>
          <w:szCs w:val="22"/>
          <w:rFonts w:cs="Arial"/>
        </w:rPr>
      </w:pPr>
      <w:r>
        <w:rPr>
          <w:sz w:val="22"/>
        </w:rPr>
        <w:t xml:space="preserve">Sex år efter ikraftträdandet av denna lag:</w:t>
      </w:r>
      <w:r>
        <w:rPr>
          <w:sz w:val="22"/>
        </w:rPr>
        <w:t xml:space="preserve"> </w:t>
      </w:r>
    </w:p>
    <w:p w14:paraId="4EF5184D" w14:textId="39EC3E47" w:rsidR="00E526B5" w:rsidRPr="000F0A63" w:rsidRDefault="00E526B5" w:rsidP="00B670F2">
      <w:pPr>
        <w:widowControl w:val="0"/>
        <w:tabs>
          <w:tab w:val="left" w:pos="426"/>
        </w:tabs>
        <w:jc w:val="both"/>
        <w:rPr>
          <w:sz w:val="22"/>
          <w:szCs w:val="22"/>
          <w:rFonts w:cs="Arial"/>
        </w:rPr>
      </w:pPr>
      <w:r>
        <w:rPr>
          <w:sz w:val="22"/>
        </w:rPr>
        <w:t xml:space="preserve">c1.</w:t>
      </w:r>
      <w:r>
        <w:rPr>
          <w:sz w:val="22"/>
        </w:rPr>
        <w:tab/>
      </w:r>
      <w:r>
        <w:rPr>
          <w:sz w:val="22"/>
        </w:rPr>
        <w:t xml:space="preserve">Minst 2 % av fordonen i det egna beståndet ska kunna transportera personer i rullstol.</w:t>
      </w:r>
    </w:p>
    <w:p w14:paraId="2BB22C13" w14:textId="169DA298" w:rsidR="00E526B5" w:rsidRPr="000F0A63" w:rsidRDefault="00E526B5" w:rsidP="00B670F2">
      <w:pPr>
        <w:widowControl w:val="0"/>
        <w:tabs>
          <w:tab w:val="left" w:pos="426"/>
        </w:tabs>
        <w:jc w:val="both"/>
        <w:rPr>
          <w:sz w:val="22"/>
          <w:szCs w:val="22"/>
          <w:rFonts w:cs="Arial"/>
        </w:rPr>
      </w:pPr>
      <w:r>
        <w:rPr>
          <w:sz w:val="22"/>
        </w:rPr>
        <w:t xml:space="preserve">c2.</w:t>
      </w:r>
      <w:r>
        <w:rPr>
          <w:sz w:val="22"/>
        </w:rPr>
        <w:tab/>
      </w:r>
      <w:r>
        <w:rPr>
          <w:sz w:val="22"/>
        </w:rPr>
        <w:t xml:space="preserve">Minst 0,5 % av fordonen i det egna beståndet ska vara anpassade till förare med nedsatt rörlighet.</w:t>
      </w:r>
      <w:r>
        <w:rPr>
          <w:sz w:val="22"/>
        </w:rPr>
        <w:t xml:space="preserve"> </w:t>
      </w:r>
    </w:p>
    <w:p w14:paraId="6D51902B" w14:textId="77777777" w:rsidR="00E526B5" w:rsidRPr="000F0A63" w:rsidRDefault="00E526B5" w:rsidP="00E526B5">
      <w:pPr>
        <w:tabs>
          <w:tab w:val="left" w:pos="284"/>
        </w:tabs>
        <w:jc w:val="both"/>
        <w:rPr>
          <w:rFonts w:cs="Arial"/>
          <w:sz w:val="22"/>
          <w:szCs w:val="22"/>
          <w:lang w:val="es-ES"/>
        </w:rPr>
      </w:pPr>
    </w:p>
    <w:p w14:paraId="6D14B575"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1" w:name="_Ref505095784"/>
      <w:r>
        <w:rPr>
          <w:sz w:val="22"/>
        </w:rPr>
        <w:t xml:space="preserve">Tjänster med anknytning till turistlogi</w:t>
      </w:r>
      <w:bookmarkEnd w:id="11"/>
      <w:r>
        <w:rPr>
          <w:sz w:val="22"/>
        </w:rPr>
        <w:t xml:space="preserve"> </w:t>
      </w:r>
    </w:p>
    <w:p w14:paraId="4E8242D0" w14:textId="77777777" w:rsidR="00E526B5" w:rsidRPr="000F0A63" w:rsidRDefault="00E526B5" w:rsidP="00E526B5">
      <w:pPr>
        <w:tabs>
          <w:tab w:val="left" w:pos="284"/>
        </w:tabs>
        <w:jc w:val="both"/>
        <w:rPr>
          <w:bCs/>
          <w:sz w:val="22"/>
          <w:szCs w:val="22"/>
          <w:rFonts w:cs="Arial"/>
        </w:rPr>
      </w:pPr>
      <w:r>
        <w:rPr>
          <w:sz w:val="22"/>
        </w:rPr>
        <w:t xml:space="preserve">Följande slutliga tidsfrister fastställs för att se till att webbplatser och mobilapplikationer för hotellkedjor och inrättningar med en kapacitet på mer än 100 rum, som erbjuder bokning av logi och onlinetjänster, är tillgängliga och uppfyller de villkor som anges i artikel 130:</w:t>
      </w:r>
    </w:p>
    <w:p w14:paraId="764A0265"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Två år efter ikraftträdandet av denna lag:</w:t>
      </w:r>
    </w:p>
    <w:p w14:paraId="104ADEEC" w14:textId="77777777" w:rsidR="00E526B5" w:rsidRPr="000F0A63" w:rsidRDefault="00E526B5" w:rsidP="000F4434">
      <w:pPr>
        <w:numPr>
          <w:ilvl w:val="0"/>
          <w:numId w:val="43"/>
        </w:numPr>
        <w:tabs>
          <w:tab w:val="clear" w:pos="1440"/>
          <w:tab w:val="num" w:pos="567"/>
        </w:tabs>
        <w:ind w:left="0" w:firstLine="0"/>
        <w:jc w:val="both"/>
        <w:rPr>
          <w:bCs/>
          <w:iCs/>
          <w:sz w:val="22"/>
          <w:szCs w:val="22"/>
          <w:rFonts w:cs="Arial"/>
        </w:rPr>
      </w:pPr>
      <w:r>
        <w:rPr>
          <w:sz w:val="22"/>
        </w:rPr>
        <w:t xml:space="preserve">Webbplatser och mobilapplikationer för hotellkedjor som har 5 eller fler inrättningar som sammantaget tillhandahåller mer än 500 rum.</w:t>
      </w:r>
    </w:p>
    <w:p w14:paraId="2356AB86"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Tre år efter ikraftträdandet av denna lag:</w:t>
      </w:r>
    </w:p>
    <w:p w14:paraId="4EFEF877"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Webbplatser och mobilapplikationer för hotellkedjor som har upp till 4 inrättningar som sammantaget tillhandahåller mer än 500 rum.</w:t>
      </w:r>
    </w:p>
    <w:p w14:paraId="268EBD55"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Webbplatser och mobilapplikationer för inrättningar med minst 500 rum.</w:t>
      </w:r>
    </w:p>
    <w:p w14:paraId="4D022006" w14:textId="77777777" w:rsidR="00E526B5" w:rsidRPr="000F0A63" w:rsidRDefault="00E526B5" w:rsidP="000F4434">
      <w:pPr>
        <w:numPr>
          <w:ilvl w:val="0"/>
          <w:numId w:val="42"/>
        </w:numPr>
        <w:tabs>
          <w:tab w:val="left" w:pos="284"/>
        </w:tabs>
        <w:ind w:left="0" w:firstLine="0"/>
        <w:jc w:val="both"/>
        <w:rPr>
          <w:sz w:val="22"/>
          <w:szCs w:val="22"/>
          <w:rFonts w:cs="Arial"/>
        </w:rPr>
      </w:pPr>
      <w:r>
        <w:rPr>
          <w:sz w:val="22"/>
        </w:rPr>
        <w:t xml:space="preserve">Fyra år efter ikraftträdandet av denna lag:</w:t>
      </w:r>
    </w:p>
    <w:p w14:paraId="65935E38" w14:textId="77777777" w:rsidR="00E526B5" w:rsidRPr="000F0A63" w:rsidRDefault="00E526B5" w:rsidP="000F4434">
      <w:pPr>
        <w:numPr>
          <w:ilvl w:val="0"/>
          <w:numId w:val="45"/>
        </w:numPr>
        <w:tabs>
          <w:tab w:val="left" w:pos="567"/>
        </w:tabs>
        <w:ind w:left="0" w:firstLine="0"/>
        <w:jc w:val="both"/>
        <w:rPr>
          <w:bCs/>
          <w:iCs/>
          <w:sz w:val="22"/>
          <w:szCs w:val="22"/>
          <w:rFonts w:cs="Arial"/>
        </w:rPr>
      </w:pPr>
      <w:r>
        <w:rPr>
          <w:sz w:val="22"/>
        </w:rPr>
        <w:t xml:space="preserve">Webbplatser och mobilapplikationer för hotellkedjor som sammantaget tillhandahåller mellan 100 och 500 rum.</w:t>
      </w:r>
    </w:p>
    <w:p w14:paraId="61927497" w14:textId="77777777" w:rsidR="00E526B5" w:rsidRPr="000F0A63" w:rsidRDefault="00E526B5" w:rsidP="000F4434">
      <w:pPr>
        <w:numPr>
          <w:ilvl w:val="0"/>
          <w:numId w:val="45"/>
        </w:numPr>
        <w:tabs>
          <w:tab w:val="left" w:pos="284"/>
          <w:tab w:val="left" w:pos="567"/>
        </w:tabs>
        <w:ind w:left="0" w:firstLine="0"/>
        <w:jc w:val="both"/>
        <w:rPr>
          <w:bCs/>
          <w:iCs/>
          <w:sz w:val="22"/>
          <w:szCs w:val="22"/>
          <w:rFonts w:cs="Arial"/>
        </w:rPr>
      </w:pPr>
      <w:r>
        <w:rPr>
          <w:sz w:val="22"/>
        </w:rPr>
        <w:t xml:space="preserve">Webbplatser och mobilapplikationer för inrättningar som tillhandahåller mellan 50 och 500 rum.</w:t>
      </w:r>
    </w:p>
    <w:p w14:paraId="4A8FB46C" w14:textId="77777777" w:rsidR="00E526B5" w:rsidRPr="000F0A63" w:rsidRDefault="00E526B5" w:rsidP="00E526B5">
      <w:pPr>
        <w:tabs>
          <w:tab w:val="left" w:pos="284"/>
        </w:tabs>
        <w:jc w:val="both"/>
        <w:rPr>
          <w:rFonts w:cs="Arial"/>
          <w:bCs/>
          <w:iCs/>
          <w:sz w:val="22"/>
          <w:szCs w:val="22"/>
          <w:lang w:val="es-ES" w:eastAsia="x-none"/>
        </w:rPr>
      </w:pPr>
    </w:p>
    <w:p w14:paraId="06097ED6"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12" w:name="_Ref63848315"/>
      <w:r>
        <w:rPr>
          <w:sz w:val="22"/>
        </w:rPr>
        <w:t xml:space="preserve">Utbildningstjänster</w:t>
      </w:r>
      <w:bookmarkEnd w:id="12"/>
    </w:p>
    <w:p w14:paraId="355384ED" w14:textId="77777777" w:rsidR="00E526B5" w:rsidRPr="000F0A63" w:rsidRDefault="00E526B5" w:rsidP="00E526B5">
      <w:pPr>
        <w:tabs>
          <w:tab w:val="left" w:pos="284"/>
        </w:tabs>
        <w:jc w:val="both"/>
        <w:rPr>
          <w:bCs/>
          <w:sz w:val="22"/>
          <w:szCs w:val="22"/>
          <w:rFonts w:cs="Arial"/>
        </w:rPr>
      </w:pPr>
      <w:r>
        <w:rPr>
          <w:sz w:val="22"/>
        </w:rPr>
        <w:t xml:space="preserve">Följande slutliga tidsfrister fastställs för att se till att webbplatser och mobilapplikationer för lärosäten som tillhandahåller formell utbildning är tillgängliga och uppfyller de villkor som anges i artikel 135:</w:t>
      </w:r>
    </w:p>
    <w:p w14:paraId="601F3FE1"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Två år efter ikraftträdandet av denna lag:</w:t>
      </w:r>
    </w:p>
    <w:p w14:paraId="29E27507" w14:textId="77777777" w:rsidR="00E526B5" w:rsidRPr="000F0A63" w:rsidRDefault="00E526B5" w:rsidP="000F4434">
      <w:pPr>
        <w:numPr>
          <w:ilvl w:val="0"/>
          <w:numId w:val="47"/>
        </w:numPr>
        <w:tabs>
          <w:tab w:val="clear" w:pos="1440"/>
          <w:tab w:val="num" w:pos="567"/>
        </w:tabs>
        <w:ind w:left="0" w:firstLine="0"/>
        <w:jc w:val="both"/>
        <w:rPr>
          <w:bCs/>
          <w:iCs/>
          <w:sz w:val="22"/>
          <w:szCs w:val="22"/>
          <w:rFonts w:cs="Arial"/>
        </w:rPr>
      </w:pPr>
      <w:r>
        <w:rPr>
          <w:sz w:val="22"/>
        </w:rPr>
        <w:t xml:space="preserve">Webbplatser och mobilapplikationer för sökning avseende studieresultat, fakturahantering eller andra onlineprocesser.</w:t>
      </w:r>
    </w:p>
    <w:p w14:paraId="6FB062A9"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Tre år efter ikraftträdandet av denna lag:</w:t>
      </w:r>
    </w:p>
    <w:p w14:paraId="5CC5D46B" w14:textId="77777777" w:rsidR="00E526B5" w:rsidRPr="000F0A63" w:rsidRDefault="00E526B5" w:rsidP="000F4434">
      <w:pPr>
        <w:numPr>
          <w:ilvl w:val="0"/>
          <w:numId w:val="48"/>
        </w:numPr>
        <w:tabs>
          <w:tab w:val="clear" w:pos="1440"/>
          <w:tab w:val="num" w:pos="567"/>
        </w:tabs>
        <w:ind w:left="0" w:firstLine="0"/>
        <w:jc w:val="both"/>
        <w:rPr>
          <w:bCs/>
          <w:sz w:val="22"/>
          <w:szCs w:val="22"/>
          <w:rFonts w:cs="Arial"/>
        </w:rPr>
      </w:pPr>
      <w:r>
        <w:rPr>
          <w:sz w:val="22"/>
        </w:rPr>
        <w:t xml:space="preserve">Webbplatser och mobilapplikationer för information om skolan, lokalerna och kursutbudet.</w:t>
      </w:r>
    </w:p>
    <w:p w14:paraId="2C7303C9" w14:textId="77777777" w:rsidR="00E526B5" w:rsidRPr="000F0A63" w:rsidRDefault="00E526B5" w:rsidP="00E526B5">
      <w:pPr>
        <w:tabs>
          <w:tab w:val="left" w:pos="284"/>
        </w:tabs>
        <w:jc w:val="both"/>
        <w:rPr>
          <w:rFonts w:cs="Arial"/>
          <w:bCs/>
          <w:sz w:val="22"/>
          <w:szCs w:val="22"/>
          <w:lang w:val="es-ES"/>
        </w:rPr>
      </w:pPr>
    </w:p>
    <w:p w14:paraId="5364F39C"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r>
        <w:rPr>
          <w:sz w:val="22"/>
        </w:rPr>
        <w:t xml:space="preserve">Hälso- och sjukvård</w:t>
      </w:r>
    </w:p>
    <w:p w14:paraId="62E28D59" w14:textId="77777777" w:rsidR="00E526B5" w:rsidRPr="000F0A63" w:rsidRDefault="00E526B5" w:rsidP="00E526B5">
      <w:pPr>
        <w:tabs>
          <w:tab w:val="left" w:pos="284"/>
        </w:tabs>
        <w:jc w:val="both"/>
        <w:rPr>
          <w:bCs/>
          <w:sz w:val="22"/>
          <w:szCs w:val="22"/>
          <w:rFonts w:cs="Arial"/>
        </w:rPr>
      </w:pPr>
      <w:r>
        <w:rPr>
          <w:sz w:val="22"/>
        </w:rPr>
        <w:t xml:space="preserve">Vårdinrättningar med minst 50 sängplatser ska uppfylla följande tidsfrister och villkor:</w:t>
      </w:r>
      <w:r>
        <w:rPr>
          <w:sz w:val="22"/>
        </w:rPr>
        <w:t xml:space="preserve"> </w:t>
      </w:r>
    </w:p>
    <w:p w14:paraId="28557BD4" w14:textId="77777777" w:rsidR="00E526B5" w:rsidRPr="000F0A63" w:rsidRDefault="00E526B5" w:rsidP="000F4434">
      <w:pPr>
        <w:numPr>
          <w:ilvl w:val="0"/>
          <w:numId w:val="49"/>
        </w:numPr>
        <w:tabs>
          <w:tab w:val="left" w:pos="284"/>
        </w:tabs>
        <w:ind w:left="0" w:firstLine="0"/>
        <w:jc w:val="both"/>
        <w:rPr>
          <w:bCs/>
          <w:iCs/>
          <w:sz w:val="22"/>
          <w:szCs w:val="22"/>
          <w:rFonts w:cs="Arial"/>
        </w:rPr>
      </w:pPr>
      <w:r>
        <w:rPr>
          <w:sz w:val="22"/>
        </w:rPr>
        <w:t xml:space="preserve">Tre år efter ikraftträdandet av denna lag:</w:t>
      </w:r>
    </w:p>
    <w:p w14:paraId="727C4E74" w14:textId="77777777" w:rsidR="00E526B5" w:rsidRPr="000F0A63" w:rsidRDefault="00E526B5" w:rsidP="00E526B5">
      <w:pPr>
        <w:tabs>
          <w:tab w:val="left" w:pos="284"/>
        </w:tabs>
        <w:jc w:val="both"/>
        <w:rPr>
          <w:sz w:val="22"/>
          <w:szCs w:val="22"/>
          <w:rFonts w:cs="Arial"/>
        </w:rPr>
      </w:pPr>
      <w:r>
        <w:rPr>
          <w:sz w:val="22"/>
        </w:rPr>
        <w:t xml:space="preserve">Ha infrastruktur, mobila enheter och protokoll för att vårda döva på katalanskt teckenspråk via teknik för tolkning på distans, med en kapacitet motsvarande minst 2 % av sängplatserna.</w:t>
      </w:r>
    </w:p>
    <w:p w14:paraId="3ECFE7A1" w14:textId="77777777" w:rsidR="00E526B5" w:rsidRPr="00CC0ADF" w:rsidRDefault="00E526B5">
      <w:pPr>
        <w:rPr>
          <w:lang w:val="es-ES"/>
        </w:rPr>
      </w:pPr>
    </w:p>
    <w:sectPr w:rsidR="00E526B5" w:rsidRPr="00CC0A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F3"/>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1E2605A"/>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 w15:restartNumberingAfterBreak="0">
    <w:nsid w:val="06A33B58"/>
    <w:multiLevelType w:val="multilevel"/>
    <w:tmpl w:val="E1D402DA"/>
    <w:lvl w:ilvl="0">
      <w:start w:val="130"/>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3B4DF6"/>
    <w:multiLevelType w:val="multilevel"/>
    <w:tmpl w:val="1D50C8A4"/>
    <w:lvl w:ilvl="0">
      <w:start w:val="126"/>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D921D0"/>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18EC5445"/>
    <w:multiLevelType w:val="multilevel"/>
    <w:tmpl w:val="23D628B2"/>
    <w:lvl w:ilvl="0">
      <w:start w:val="13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AC23A12"/>
    <w:multiLevelType w:val="hybridMultilevel"/>
    <w:tmpl w:val="CC961E28"/>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7" w15:restartNumberingAfterBreak="0">
    <w:nsid w:val="215D326C"/>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60598B"/>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834F6A"/>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 w15:restartNumberingAfterBreak="0">
    <w:nsid w:val="27BA5079"/>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8946E26"/>
    <w:multiLevelType w:val="multilevel"/>
    <w:tmpl w:val="131C83AE"/>
    <w:lvl w:ilvl="0">
      <w:start w:val="135"/>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C573874"/>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15:restartNumberingAfterBreak="0">
    <w:nsid w:val="2CA0323F"/>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14" w15:restartNumberingAfterBreak="0">
    <w:nsid w:val="2CAE52EE"/>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D2E0181"/>
    <w:multiLevelType w:val="hybridMultilevel"/>
    <w:tmpl w:val="4B2EB646"/>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A1DDB"/>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7" w15:restartNumberingAfterBreak="0">
    <w:nsid w:val="324416A9"/>
    <w:multiLevelType w:val="multilevel"/>
    <w:tmpl w:val="329032A2"/>
    <w:lvl w:ilvl="0">
      <w:start w:val="134"/>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544EB2"/>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9" w15:restartNumberingAfterBreak="0">
    <w:nsid w:val="36B90793"/>
    <w:multiLevelType w:val="multilevel"/>
    <w:tmpl w:val="C7549A48"/>
    <w:lvl w:ilvl="0">
      <w:start w:val="1"/>
      <w:numFmt w:val="lowerLetter"/>
      <w:lvlText w:val="%1)"/>
      <w:lvlJc w:val="left"/>
      <w:pPr>
        <w:tabs>
          <w:tab w:val="num" w:pos="372"/>
        </w:tabs>
        <w:ind w:left="1080" w:hanging="360"/>
      </w:pPr>
      <w:rPr>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E92ABC"/>
    <w:multiLevelType w:val="multilevel"/>
    <w:tmpl w:val="D00CEA98"/>
    <w:lvl w:ilvl="0">
      <w:start w:val="1"/>
      <w:numFmt w:val="decimal"/>
      <w:lvlText w:val="%1."/>
      <w:lvlJc w:val="left"/>
      <w:pPr>
        <w:ind w:left="360" w:hanging="360"/>
      </w:pPr>
      <w:rPr>
        <w:rFonts w:hint="default"/>
        <w:b w:val="0"/>
        <w:sz w:val="22"/>
        <w:szCs w:val="22"/>
      </w:rPr>
    </w:lvl>
    <w:lvl w:ilvl="1">
      <w:start w:val="1"/>
      <w:numFmt w:val="decimal"/>
      <w:lvlText w:val="%1.%2."/>
      <w:lvlJc w:val="left"/>
      <w:pPr>
        <w:ind w:left="1218" w:hanging="792"/>
      </w:pPr>
      <w:rPr>
        <w:rFonts w:hint="default"/>
        <w:b/>
        <w:i w:val="0"/>
        <w:sz w:val="22"/>
      </w:rPr>
    </w:lvl>
    <w:lvl w:ilvl="2">
      <w:start w:val="1"/>
      <w:numFmt w:val="decimal"/>
      <w:lvlText w:val="%1.%2.%3."/>
      <w:lvlJc w:val="left"/>
      <w:pPr>
        <w:ind w:left="1224" w:hanging="1224"/>
      </w:pPr>
      <w:rPr>
        <w:rFonts w:hint="default"/>
        <w:b/>
        <w:strike w:val="0"/>
        <w:dstrike w:val="0"/>
        <w:sz w:val="22"/>
        <w:szCs w:val="22"/>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401BDB"/>
    <w:multiLevelType w:val="multilevel"/>
    <w:tmpl w:val="7CDC686E"/>
    <w:lvl w:ilvl="0">
      <w:start w:val="1"/>
      <w:numFmt w:val="lowerLetter"/>
      <w:lvlText w:val="%1)"/>
      <w:lvlJc w:val="left"/>
      <w:pPr>
        <w:tabs>
          <w:tab w:val="num" w:pos="-168"/>
        </w:tabs>
        <w:ind w:left="540" w:hanging="360"/>
      </w:pPr>
    </w:lvl>
    <w:lvl w:ilvl="1">
      <w:start w:val="1"/>
      <w:numFmt w:val="lowerLetter"/>
      <w:lvlText w:val="%2)"/>
      <w:lvlJc w:val="left"/>
      <w:pPr>
        <w:tabs>
          <w:tab w:val="num" w:pos="360"/>
        </w:tabs>
        <w:ind w:left="360" w:hanging="360"/>
      </w:pPr>
      <w:rPr>
        <w:rFonts w:ascii="Arial" w:hAnsi="Arial" w:cs="Arial" w:hint="default"/>
      </w:rPr>
    </w:lvl>
    <w:lvl w:ilvl="2">
      <w:start w:val="1"/>
      <w:numFmt w:val="lowerRoman"/>
      <w:lvlText w:val="%3)"/>
      <w:lvlJc w:val="left"/>
      <w:pPr>
        <w:tabs>
          <w:tab w:val="num" w:pos="540"/>
        </w:tabs>
        <w:ind w:left="54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260"/>
        </w:tabs>
        <w:ind w:left="1260" w:hanging="360"/>
      </w:pPr>
    </w:lvl>
    <w:lvl w:ilvl="5">
      <w:start w:val="1"/>
      <w:numFmt w:val="lowerRoman"/>
      <w:lvlText w:val="(%6)"/>
      <w:lvlJc w:val="left"/>
      <w:pPr>
        <w:tabs>
          <w:tab w:val="num" w:pos="1620"/>
        </w:tabs>
        <w:ind w:left="1620" w:hanging="360"/>
      </w:pPr>
    </w:lvl>
    <w:lvl w:ilvl="6">
      <w:start w:val="1"/>
      <w:numFmt w:val="decimal"/>
      <w:lvlText w:val="%7."/>
      <w:lvlJc w:val="left"/>
      <w:pPr>
        <w:tabs>
          <w:tab w:val="num" w:pos="1980"/>
        </w:tabs>
        <w:ind w:left="1980" w:hanging="360"/>
      </w:pPr>
      <w:rPr>
        <w:i w:val="0"/>
        <w:color w:val="auto"/>
      </w:rPr>
    </w:lvl>
    <w:lvl w:ilvl="7">
      <w:start w:val="1"/>
      <w:numFmt w:val="lowerLetter"/>
      <w:lvlText w:val="%8."/>
      <w:lvlJc w:val="left"/>
      <w:pPr>
        <w:tabs>
          <w:tab w:val="num" w:pos="2340"/>
        </w:tabs>
        <w:ind w:left="2340" w:hanging="360"/>
      </w:pPr>
    </w:lvl>
    <w:lvl w:ilvl="8">
      <w:start w:val="1"/>
      <w:numFmt w:val="lowerRoman"/>
      <w:lvlText w:val="%9."/>
      <w:lvlJc w:val="left"/>
      <w:pPr>
        <w:tabs>
          <w:tab w:val="num" w:pos="2700"/>
        </w:tabs>
        <w:ind w:left="2700" w:hanging="360"/>
      </w:pPr>
    </w:lvl>
  </w:abstractNum>
  <w:abstractNum w:abstractNumId="22" w15:restartNumberingAfterBreak="0">
    <w:nsid w:val="3AC73415"/>
    <w:multiLevelType w:val="multilevel"/>
    <w:tmpl w:val="9EA805DC"/>
    <w:lvl w:ilvl="0">
      <w:start w:val="1"/>
      <w:numFmt w:val="upperLetter"/>
      <w:pStyle w:val="Heading1"/>
      <w:lvlText w:val="%1"/>
      <w:lvlJc w:val="left"/>
      <w:pPr>
        <w:tabs>
          <w:tab w:val="num" w:pos="3411"/>
        </w:tabs>
        <w:ind w:left="3411" w:hanging="432"/>
      </w:pPr>
      <w:rPr>
        <w:rFonts w:hint="default"/>
      </w:rPr>
    </w:lvl>
    <w:lvl w:ilvl="1">
      <w:start w:val="1"/>
      <w:numFmt w:val="decimal"/>
      <w:pStyle w:val="Heading2"/>
      <w:lvlText w:val="%1.%2"/>
      <w:lvlJc w:val="left"/>
      <w:pPr>
        <w:tabs>
          <w:tab w:val="num" w:pos="3555"/>
        </w:tabs>
        <w:ind w:left="3555" w:hanging="576"/>
      </w:pPr>
      <w:rPr>
        <w:rFonts w:hint="default"/>
      </w:rPr>
    </w:lvl>
    <w:lvl w:ilvl="2">
      <w:start w:val="1"/>
      <w:numFmt w:val="decimal"/>
      <w:pStyle w:val="Heading3"/>
      <w:lvlText w:val="Artículo %3."/>
      <w:lvlJc w:val="left"/>
      <w:pPr>
        <w:tabs>
          <w:tab w:val="num" w:pos="4692"/>
        </w:tabs>
        <w:ind w:left="4692" w:hanging="720"/>
      </w:pPr>
      <w:rPr>
        <w:rFonts w:hint="default"/>
        <w:b w:val="0"/>
        <w:strike w:val="0"/>
        <w:color w:val="auto"/>
        <w:sz w:val="22"/>
        <w:szCs w:val="22"/>
      </w:rPr>
    </w:lvl>
    <w:lvl w:ilvl="3">
      <w:start w:val="1"/>
      <w:numFmt w:val="decimal"/>
      <w:pStyle w:val="Heading4"/>
      <w:lvlText w:val="%3.%4"/>
      <w:lvlJc w:val="left"/>
      <w:pPr>
        <w:tabs>
          <w:tab w:val="num" w:pos="4269"/>
        </w:tabs>
        <w:ind w:left="4269" w:hanging="864"/>
      </w:pPr>
      <w:rPr>
        <w:rFonts w:ascii="Arial" w:hAnsi="Arial" w:cs="Arial" w:hint="default"/>
        <w:b w:val="0"/>
        <w:i w:val="0"/>
        <w:strike w:val="0"/>
        <w:color w:val="auto"/>
        <w:sz w:val="22"/>
        <w:szCs w:val="22"/>
      </w:rPr>
    </w:lvl>
    <w:lvl w:ilvl="4">
      <w:start w:val="1"/>
      <w:numFmt w:val="decimal"/>
      <w:pStyle w:val="Heading5"/>
      <w:lvlText w:val="%1.%2.%3.%4.%5"/>
      <w:lvlJc w:val="left"/>
      <w:pPr>
        <w:tabs>
          <w:tab w:val="num" w:pos="3987"/>
        </w:tabs>
        <w:ind w:left="3987" w:hanging="1008"/>
      </w:pPr>
      <w:rPr>
        <w:rFonts w:hint="default"/>
      </w:rPr>
    </w:lvl>
    <w:lvl w:ilvl="5">
      <w:start w:val="1"/>
      <w:numFmt w:val="decimal"/>
      <w:pStyle w:val="Heading6"/>
      <w:lvlText w:val="%1.%2.%3.%4.%5.%6"/>
      <w:lvlJc w:val="left"/>
      <w:pPr>
        <w:tabs>
          <w:tab w:val="num" w:pos="4131"/>
        </w:tabs>
        <w:ind w:left="4131" w:hanging="1152"/>
      </w:pPr>
      <w:rPr>
        <w:rFonts w:hint="default"/>
      </w:rPr>
    </w:lvl>
    <w:lvl w:ilvl="6">
      <w:start w:val="1"/>
      <w:numFmt w:val="decimal"/>
      <w:pStyle w:val="Heading7"/>
      <w:lvlText w:val="%1.%2.%3.%4.%5.%6.%7"/>
      <w:lvlJc w:val="left"/>
      <w:pPr>
        <w:tabs>
          <w:tab w:val="num" w:pos="4275"/>
        </w:tabs>
        <w:ind w:left="4275" w:hanging="1296"/>
      </w:pPr>
      <w:rPr>
        <w:rFonts w:hint="default"/>
      </w:rPr>
    </w:lvl>
    <w:lvl w:ilvl="7">
      <w:start w:val="1"/>
      <w:numFmt w:val="decimal"/>
      <w:pStyle w:val="Heading8"/>
      <w:lvlText w:val="%1.%2.%3.%4.%5.%6.%7.%8"/>
      <w:lvlJc w:val="left"/>
      <w:pPr>
        <w:tabs>
          <w:tab w:val="num" w:pos="4419"/>
        </w:tabs>
        <w:ind w:left="4419" w:hanging="1440"/>
      </w:pPr>
      <w:rPr>
        <w:rFonts w:hint="default"/>
      </w:rPr>
    </w:lvl>
    <w:lvl w:ilvl="8">
      <w:start w:val="1"/>
      <w:numFmt w:val="decimal"/>
      <w:pStyle w:val="Heading9"/>
      <w:suff w:val="space"/>
      <w:lvlText w:val="Artículo%9."/>
      <w:lvlJc w:val="left"/>
      <w:pPr>
        <w:ind w:left="2979" w:firstLine="0"/>
      </w:pPr>
      <w:rPr>
        <w:rFonts w:hint="default"/>
        <w:sz w:val="22"/>
        <w:szCs w:val="22"/>
      </w:rPr>
    </w:lvl>
  </w:abstractNum>
  <w:abstractNum w:abstractNumId="23" w15:restartNumberingAfterBreak="0">
    <w:nsid w:val="40CD4004"/>
    <w:multiLevelType w:val="hybridMultilevel"/>
    <w:tmpl w:val="E4D09A10"/>
    <w:lvl w:ilvl="0" w:tplc="555049A8">
      <w:start w:val="1"/>
      <w:numFmt w:val="decimal"/>
      <w:lvlText w:val="c%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24" w15:restartNumberingAfterBreak="0">
    <w:nsid w:val="422C517C"/>
    <w:multiLevelType w:val="multilevel"/>
    <w:tmpl w:val="9D60F7D8"/>
    <w:lvl w:ilvl="0">
      <w:start w:val="197"/>
      <w:numFmt w:val="decimal"/>
      <w:lvlText w:val="%1"/>
      <w:lvlJc w:val="left"/>
      <w:pPr>
        <w:ind w:left="540" w:hanging="540"/>
      </w:pPr>
      <w:rPr>
        <w:rFonts w:hint="default"/>
      </w:rPr>
    </w:lvl>
    <w:lvl w:ilvl="1">
      <w:start w:val="3"/>
      <w:numFmt w:val="decimal"/>
      <w:lvlText w:val="%1.%2"/>
      <w:lvlJc w:val="left"/>
      <w:pPr>
        <w:ind w:left="3945" w:hanging="540"/>
      </w:pPr>
      <w:rPr>
        <w:rFonts w:hint="default"/>
      </w:rPr>
    </w:lvl>
    <w:lvl w:ilvl="2">
      <w:start w:val="1"/>
      <w:numFmt w:val="decimal"/>
      <w:lvlText w:val="%1.%2.%3"/>
      <w:lvlJc w:val="left"/>
      <w:pPr>
        <w:ind w:left="7530" w:hanging="720"/>
      </w:pPr>
      <w:rPr>
        <w:rFonts w:hint="default"/>
      </w:rPr>
    </w:lvl>
    <w:lvl w:ilvl="3">
      <w:start w:val="1"/>
      <w:numFmt w:val="decimal"/>
      <w:lvlText w:val="%1.%2.%3.%4"/>
      <w:lvlJc w:val="left"/>
      <w:pPr>
        <w:ind w:left="10935" w:hanging="720"/>
      </w:pPr>
      <w:rPr>
        <w:rFonts w:hint="default"/>
      </w:rPr>
    </w:lvl>
    <w:lvl w:ilvl="4">
      <w:start w:val="1"/>
      <w:numFmt w:val="decimal"/>
      <w:lvlText w:val="%1.%2.%3.%4.%5"/>
      <w:lvlJc w:val="left"/>
      <w:pPr>
        <w:ind w:left="14700" w:hanging="1080"/>
      </w:pPr>
      <w:rPr>
        <w:rFonts w:hint="default"/>
      </w:rPr>
    </w:lvl>
    <w:lvl w:ilvl="5">
      <w:start w:val="1"/>
      <w:numFmt w:val="decimal"/>
      <w:lvlText w:val="%1.%2.%3.%4.%5.%6"/>
      <w:lvlJc w:val="left"/>
      <w:pPr>
        <w:ind w:left="18105" w:hanging="1080"/>
      </w:pPr>
      <w:rPr>
        <w:rFonts w:hint="default"/>
      </w:rPr>
    </w:lvl>
    <w:lvl w:ilvl="6">
      <w:start w:val="1"/>
      <w:numFmt w:val="decimal"/>
      <w:lvlText w:val="%1.%2.%3.%4.%5.%6.%7"/>
      <w:lvlJc w:val="left"/>
      <w:pPr>
        <w:ind w:left="21870" w:hanging="1440"/>
      </w:pPr>
      <w:rPr>
        <w:rFonts w:hint="default"/>
      </w:rPr>
    </w:lvl>
    <w:lvl w:ilvl="7">
      <w:start w:val="1"/>
      <w:numFmt w:val="decimal"/>
      <w:lvlText w:val="%1.%2.%3.%4.%5.%6.%7.%8"/>
      <w:lvlJc w:val="left"/>
      <w:pPr>
        <w:ind w:left="25275" w:hanging="1440"/>
      </w:pPr>
      <w:rPr>
        <w:rFonts w:hint="default"/>
      </w:rPr>
    </w:lvl>
    <w:lvl w:ilvl="8">
      <w:start w:val="1"/>
      <w:numFmt w:val="decimal"/>
      <w:lvlText w:val="%1.%2.%3.%4.%5.%6.%7.%8.%9"/>
      <w:lvlJc w:val="left"/>
      <w:pPr>
        <w:ind w:left="29040" w:hanging="1800"/>
      </w:pPr>
      <w:rPr>
        <w:rFonts w:hint="default"/>
      </w:rPr>
    </w:lvl>
  </w:abstractNum>
  <w:abstractNum w:abstractNumId="25" w15:restartNumberingAfterBreak="0">
    <w:nsid w:val="43030EC9"/>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26" w15:restartNumberingAfterBreak="0">
    <w:nsid w:val="452010D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7" w15:restartNumberingAfterBreak="0">
    <w:nsid w:val="45E0782C"/>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8" w15:restartNumberingAfterBreak="0">
    <w:nsid w:val="529F5C81"/>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9" w15:restartNumberingAfterBreak="0">
    <w:nsid w:val="55143B0E"/>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0" w15:restartNumberingAfterBreak="0">
    <w:nsid w:val="5D14104A"/>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31" w15:restartNumberingAfterBreak="0">
    <w:nsid w:val="5D4858AE"/>
    <w:multiLevelType w:val="multilevel"/>
    <w:tmpl w:val="A106E34C"/>
    <w:lvl w:ilvl="0">
      <w:start w:val="127"/>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ECE4537"/>
    <w:multiLevelType w:val="multilevel"/>
    <w:tmpl w:val="02560046"/>
    <w:lvl w:ilvl="0">
      <w:start w:val="11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13915AA"/>
    <w:multiLevelType w:val="multilevel"/>
    <w:tmpl w:val="B344D3D6"/>
    <w:lvl w:ilvl="0">
      <w:start w:val="97"/>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1B11D9B"/>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5" w15:restartNumberingAfterBreak="0">
    <w:nsid w:val="66161688"/>
    <w:multiLevelType w:val="hybridMultilevel"/>
    <w:tmpl w:val="271852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6842AE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7" w15:restartNumberingAfterBreak="0">
    <w:nsid w:val="67AC0D54"/>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38" w15:restartNumberingAfterBreak="0">
    <w:nsid w:val="6B101FD6"/>
    <w:multiLevelType w:val="multilevel"/>
    <w:tmpl w:val="363C2194"/>
    <w:lvl w:ilvl="0">
      <w:start w:val="1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A56EF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0" w15:restartNumberingAfterBreak="0">
    <w:nsid w:val="6ED4087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1" w15:restartNumberingAfterBreak="0">
    <w:nsid w:val="70663A9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2" w15:restartNumberingAfterBreak="0">
    <w:nsid w:val="72B145D2"/>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3" w15:restartNumberingAfterBreak="0">
    <w:nsid w:val="7333407D"/>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33E725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73AE2375"/>
    <w:multiLevelType w:val="hybridMultilevel"/>
    <w:tmpl w:val="168C4606"/>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54F3A8D"/>
    <w:multiLevelType w:val="multilevel"/>
    <w:tmpl w:val="C6369464"/>
    <w:lvl w:ilvl="0">
      <w:start w:val="133"/>
      <w:numFmt w:val="decimal"/>
      <w:lvlText w:val="%1"/>
      <w:lvlJc w:val="left"/>
      <w:pPr>
        <w:ind w:left="660" w:hanging="660"/>
      </w:pPr>
      <w:rPr>
        <w:rFonts w:hint="default"/>
      </w:rPr>
    </w:lvl>
    <w:lvl w:ilvl="1">
      <w:start w:val="15"/>
      <w:numFmt w:val="decimal"/>
      <w:lvlText w:val="%1.%2"/>
      <w:lvlJc w:val="left"/>
      <w:pPr>
        <w:ind w:left="1086" w:hanging="6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C923B88"/>
    <w:multiLevelType w:val="multilevel"/>
    <w:tmpl w:val="269A4CD6"/>
    <w:lvl w:ilvl="0">
      <w:start w:val="97"/>
      <w:numFmt w:val="decimal"/>
      <w:lvlText w:val="%1"/>
      <w:lvlJc w:val="left"/>
      <w:pPr>
        <w:ind w:left="540" w:hanging="540"/>
      </w:pPr>
      <w:rPr>
        <w:rFonts w:hint="default"/>
      </w:rPr>
    </w:lvl>
    <w:lvl w:ilvl="1">
      <w:start w:val="12"/>
      <w:numFmt w:val="decimal"/>
      <w:lvlText w:val="%1.%2"/>
      <w:lvlJc w:val="left"/>
      <w:pPr>
        <w:ind w:left="1818" w:hanging="54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48" w15:restartNumberingAfterBreak="0">
    <w:nsid w:val="7D405151"/>
    <w:multiLevelType w:val="hybridMultilevel"/>
    <w:tmpl w:val="6CD0DB8E"/>
    <w:lvl w:ilvl="0" w:tplc="818C5BC8">
      <w:start w:val="1"/>
      <w:numFmt w:val="decimal"/>
      <w:lvlText w:val="b%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7D7412B6"/>
    <w:multiLevelType w:val="hybridMultilevel"/>
    <w:tmpl w:val="10BC3C6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18202753">
    <w:abstractNumId w:val="22"/>
    <w:lvlOverride w:ilvl="0">
      <w:lvl w:ilvl="0">
        <w:start w:val="1"/>
        <w:numFmt w:val="upperLetter"/>
        <w:pStyle w:val="Heading1"/>
        <w:lvlText w:val="%1"/>
        <w:lvlJc w:val="left"/>
        <w:pPr>
          <w:tabs>
            <w:tab w:val="num" w:pos="3411"/>
          </w:tabs>
          <w:ind w:left="3411" w:hanging="432"/>
        </w:pPr>
        <w:rPr>
          <w:rFonts w:hint="default"/>
        </w:rPr>
      </w:lvl>
    </w:lvlOverride>
    <w:lvlOverride w:ilvl="1">
      <w:lvl w:ilvl="1">
        <w:start w:val="1"/>
        <w:numFmt w:val="decimal"/>
        <w:pStyle w:val="Heading2"/>
        <w:lvlText w:val="%1.%2"/>
        <w:lvlJc w:val="left"/>
        <w:pPr>
          <w:tabs>
            <w:tab w:val="num" w:pos="3555"/>
          </w:tabs>
          <w:ind w:left="3555" w:hanging="576"/>
        </w:pPr>
        <w:rPr>
          <w:rFonts w:hint="default"/>
        </w:rPr>
      </w:lvl>
    </w:lvlOverride>
    <w:lvlOverride w:ilvl="2">
      <w:lvl w:ilvl="2">
        <w:start w:val="1"/>
        <w:numFmt w:val="decimal"/>
        <w:pStyle w:val="Heading3"/>
        <w:lvlText w:val="Artículo %3."/>
        <w:lvlJc w:val="left"/>
        <w:pPr>
          <w:tabs>
            <w:tab w:val="num" w:pos="862"/>
          </w:tabs>
          <w:ind w:left="862" w:hanging="720"/>
        </w:pPr>
        <w:rPr>
          <w:rFonts w:ascii="Arial" w:hAnsi="Arial" w:hint="default"/>
          <w:b w:val="0"/>
          <w:i w:val="0"/>
          <w:strike w:val="0"/>
          <w:color w:val="auto"/>
          <w:sz w:val="22"/>
          <w:szCs w:val="22"/>
        </w:rPr>
      </w:lvl>
    </w:lvlOverride>
    <w:lvlOverride w:ilvl="3">
      <w:lvl w:ilvl="3">
        <w:start w:val="1"/>
        <w:numFmt w:val="decimal"/>
        <w:pStyle w:val="Heading4"/>
        <w:lvlText w:val="%3.%4"/>
        <w:lvlJc w:val="left"/>
        <w:pPr>
          <w:tabs>
            <w:tab w:val="num" w:pos="1290"/>
          </w:tabs>
          <w:ind w:left="1290" w:hanging="864"/>
        </w:pPr>
        <w:rPr>
          <w:rFonts w:ascii="Arial" w:hAnsi="Arial" w:cs="Arial" w:hint="default"/>
          <w:b w:val="0"/>
          <w:i w:val="0"/>
          <w:strike w:val="0"/>
          <w:color w:val="auto"/>
          <w:sz w:val="22"/>
          <w:szCs w:val="22"/>
        </w:rPr>
      </w:lvl>
    </w:lvlOverride>
    <w:lvlOverride w:ilvl="4">
      <w:lvl w:ilvl="4">
        <w:start w:val="1"/>
        <w:numFmt w:val="decimal"/>
        <w:pStyle w:val="Heading5"/>
        <w:lvlText w:val="%1.%2.%3.%4.%5"/>
        <w:lvlJc w:val="left"/>
        <w:pPr>
          <w:tabs>
            <w:tab w:val="num" w:pos="3987"/>
          </w:tabs>
          <w:ind w:left="3987" w:hanging="1008"/>
        </w:pPr>
        <w:rPr>
          <w:rFonts w:hint="default"/>
        </w:rPr>
      </w:lvl>
    </w:lvlOverride>
    <w:lvlOverride w:ilvl="5">
      <w:lvl w:ilvl="5">
        <w:start w:val="1"/>
        <w:numFmt w:val="decimal"/>
        <w:pStyle w:val="Heading6"/>
        <w:lvlText w:val="%1.%2.%3.%4.%5.%6"/>
        <w:lvlJc w:val="left"/>
        <w:pPr>
          <w:tabs>
            <w:tab w:val="num" w:pos="4131"/>
          </w:tabs>
          <w:ind w:left="4131" w:hanging="1152"/>
        </w:pPr>
        <w:rPr>
          <w:rFonts w:hint="default"/>
        </w:rPr>
      </w:lvl>
    </w:lvlOverride>
    <w:lvlOverride w:ilvl="6">
      <w:lvl w:ilvl="6">
        <w:start w:val="1"/>
        <w:numFmt w:val="decimal"/>
        <w:pStyle w:val="Heading7"/>
        <w:lvlText w:val="%1.%2.%3.%4.%5.%6.%7"/>
        <w:lvlJc w:val="left"/>
        <w:pPr>
          <w:tabs>
            <w:tab w:val="num" w:pos="4275"/>
          </w:tabs>
          <w:ind w:left="4275" w:hanging="1296"/>
        </w:pPr>
        <w:rPr>
          <w:rFonts w:hint="default"/>
        </w:rPr>
      </w:lvl>
    </w:lvlOverride>
    <w:lvlOverride w:ilvl="7">
      <w:lvl w:ilvl="7">
        <w:start w:val="1"/>
        <w:numFmt w:val="decimal"/>
        <w:pStyle w:val="Heading8"/>
        <w:lvlText w:val="%1.%2.%3.%4.%5.%6.%7.%8"/>
        <w:lvlJc w:val="left"/>
        <w:pPr>
          <w:tabs>
            <w:tab w:val="num" w:pos="4419"/>
          </w:tabs>
          <w:ind w:left="4419" w:hanging="1440"/>
        </w:pPr>
        <w:rPr>
          <w:rFonts w:hint="default"/>
        </w:rPr>
      </w:lvl>
    </w:lvlOverride>
    <w:lvlOverride w:ilvl="8">
      <w:lvl w:ilvl="8">
        <w:start w:val="1"/>
        <w:numFmt w:val="decimal"/>
        <w:pStyle w:val="Heading9"/>
        <w:suff w:val="space"/>
        <w:lvlText w:val="Artículo%9."/>
        <w:lvlJc w:val="left"/>
        <w:pPr>
          <w:ind w:left="2979" w:firstLine="0"/>
        </w:pPr>
        <w:rPr>
          <w:rFonts w:hint="default"/>
          <w:sz w:val="22"/>
          <w:szCs w:val="22"/>
        </w:rPr>
      </w:lvl>
    </w:lvlOverride>
  </w:num>
  <w:num w:numId="2" w16cid:durableId="718093796">
    <w:abstractNumId w:val="33"/>
  </w:num>
  <w:num w:numId="3" w16cid:durableId="583103481">
    <w:abstractNumId w:val="47"/>
  </w:num>
  <w:num w:numId="4" w16cid:durableId="270474763">
    <w:abstractNumId w:val="19"/>
  </w:num>
  <w:num w:numId="5" w16cid:durableId="919604255">
    <w:abstractNumId w:val="8"/>
  </w:num>
  <w:num w:numId="6" w16cid:durableId="695890123">
    <w:abstractNumId w:val="49"/>
  </w:num>
  <w:num w:numId="7" w16cid:durableId="1926382303">
    <w:abstractNumId w:val="7"/>
  </w:num>
  <w:num w:numId="8" w16cid:durableId="1009717288">
    <w:abstractNumId w:val="38"/>
  </w:num>
  <w:num w:numId="9" w16cid:durableId="1687365737">
    <w:abstractNumId w:val="32"/>
  </w:num>
  <w:num w:numId="10" w16cid:durableId="1113400361">
    <w:abstractNumId w:val="9"/>
  </w:num>
  <w:num w:numId="11" w16cid:durableId="1843080803">
    <w:abstractNumId w:val="3"/>
  </w:num>
  <w:num w:numId="12" w16cid:durableId="1537085568">
    <w:abstractNumId w:val="36"/>
  </w:num>
  <w:num w:numId="13" w16cid:durableId="917178159">
    <w:abstractNumId w:val="31"/>
  </w:num>
  <w:num w:numId="14" w16cid:durableId="1620529355">
    <w:abstractNumId w:val="34"/>
  </w:num>
  <w:num w:numId="15" w16cid:durableId="1476072087">
    <w:abstractNumId w:val="2"/>
  </w:num>
  <w:num w:numId="16" w16cid:durableId="1743017668">
    <w:abstractNumId w:val="42"/>
  </w:num>
  <w:num w:numId="17" w16cid:durableId="811026061">
    <w:abstractNumId w:val="46"/>
  </w:num>
  <w:num w:numId="18" w16cid:durableId="1956474413">
    <w:abstractNumId w:val="17"/>
  </w:num>
  <w:num w:numId="19" w16cid:durableId="256183655">
    <w:abstractNumId w:val="39"/>
  </w:num>
  <w:num w:numId="20" w16cid:durableId="390421390">
    <w:abstractNumId w:val="11"/>
  </w:num>
  <w:num w:numId="21" w16cid:durableId="373964347">
    <w:abstractNumId w:val="27"/>
  </w:num>
  <w:num w:numId="22" w16cid:durableId="521018600">
    <w:abstractNumId w:val="1"/>
  </w:num>
  <w:num w:numId="23" w16cid:durableId="1547259518">
    <w:abstractNumId w:val="5"/>
  </w:num>
  <w:num w:numId="24" w16cid:durableId="1823034120">
    <w:abstractNumId w:val="24"/>
  </w:num>
  <w:num w:numId="25" w16cid:durableId="187523253">
    <w:abstractNumId w:val="35"/>
  </w:num>
  <w:num w:numId="26" w16cid:durableId="1018315895">
    <w:abstractNumId w:val="21"/>
  </w:num>
  <w:num w:numId="27" w16cid:durableId="86314018">
    <w:abstractNumId w:val="15"/>
  </w:num>
  <w:num w:numId="28" w16cid:durableId="841817771">
    <w:abstractNumId w:val="20"/>
  </w:num>
  <w:num w:numId="29" w16cid:durableId="845435210">
    <w:abstractNumId w:val="44"/>
  </w:num>
  <w:num w:numId="30" w16cid:durableId="1216969531">
    <w:abstractNumId w:val="28"/>
  </w:num>
  <w:num w:numId="31" w16cid:durableId="1661931748">
    <w:abstractNumId w:val="6"/>
  </w:num>
  <w:num w:numId="32" w16cid:durableId="593899597">
    <w:abstractNumId w:val="0"/>
  </w:num>
  <w:num w:numId="33" w16cid:durableId="748118081">
    <w:abstractNumId w:val="16"/>
  </w:num>
  <w:num w:numId="34" w16cid:durableId="1750420613">
    <w:abstractNumId w:val="29"/>
  </w:num>
  <w:num w:numId="35" w16cid:durableId="1534805617">
    <w:abstractNumId w:val="13"/>
  </w:num>
  <w:num w:numId="36" w16cid:durableId="651521266">
    <w:abstractNumId w:val="40"/>
  </w:num>
  <w:num w:numId="37" w16cid:durableId="1129936482">
    <w:abstractNumId w:val="18"/>
  </w:num>
  <w:num w:numId="38" w16cid:durableId="1697923045">
    <w:abstractNumId w:val="30"/>
  </w:num>
  <w:num w:numId="39" w16cid:durableId="2129003545">
    <w:abstractNumId w:val="26"/>
  </w:num>
  <w:num w:numId="40" w16cid:durableId="1399785119">
    <w:abstractNumId w:val="45"/>
  </w:num>
  <w:num w:numId="41" w16cid:durableId="577634730">
    <w:abstractNumId w:val="37"/>
  </w:num>
  <w:num w:numId="42" w16cid:durableId="329721675">
    <w:abstractNumId w:val="14"/>
  </w:num>
  <w:num w:numId="43" w16cid:durableId="675576830">
    <w:abstractNumId w:val="43"/>
  </w:num>
  <w:num w:numId="44" w16cid:durableId="80835361">
    <w:abstractNumId w:val="41"/>
  </w:num>
  <w:num w:numId="45" w16cid:durableId="95253236">
    <w:abstractNumId w:val="25"/>
  </w:num>
  <w:num w:numId="46" w16cid:durableId="1550342143">
    <w:abstractNumId w:val="4"/>
  </w:num>
  <w:num w:numId="47" w16cid:durableId="566258002">
    <w:abstractNumId w:val="10"/>
  </w:num>
  <w:num w:numId="48" w16cid:durableId="1322854315">
    <w:abstractNumId w:val="48"/>
  </w:num>
  <w:num w:numId="49" w16cid:durableId="1916628148">
    <w:abstractNumId w:val="12"/>
  </w:num>
  <w:num w:numId="50" w16cid:durableId="2058579628">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DF"/>
    <w:rsid w:val="000B6FCF"/>
    <w:rsid w:val="000F4434"/>
    <w:rsid w:val="003920DF"/>
    <w:rsid w:val="005917F0"/>
    <w:rsid w:val="00B670F2"/>
    <w:rsid w:val="00CC0ADF"/>
    <w:rsid w:val="00CF1E0D"/>
    <w:rsid w:val="00E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1693"/>
  <w15:chartTrackingRefBased/>
  <w15:docId w15:val="{8675E010-830B-4FAB-ACB8-2339C25E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ADF"/>
    <w:pPr>
      <w:spacing w:after="0" w:line="240" w:lineRule="auto"/>
    </w:pPr>
    <w:rPr>
      <w:rFonts w:ascii="Arial" w:eastAsia="Times New Roman" w:hAnsi="Arial" w:cs="Times New Roman"/>
      <w:kern w:val="0"/>
      <w:sz w:val="24"/>
      <w:szCs w:val="24"/>
      <w:lang w:eastAsia="ca-ES"/>
      <w14:ligatures w14:val="none"/>
    </w:rPr>
  </w:style>
  <w:style w:type="paragraph" w:styleId="Heading1">
    <w:name w:val="heading 1"/>
    <w:basedOn w:val="Normal"/>
    <w:next w:val="Normal"/>
    <w:link w:val="Heading1Char"/>
    <w:qFormat/>
    <w:rsid w:val="00CC0ADF"/>
    <w:pPr>
      <w:keepNext/>
      <w:numPr>
        <w:numId w:val="1"/>
      </w:numPr>
      <w:outlineLvl w:val="0"/>
    </w:pPr>
    <w:rPr>
      <w:b/>
      <w:bCs/>
      <w:caps/>
      <w:kern w:val="32"/>
      <w:sz w:val="28"/>
      <w:szCs w:val="32"/>
    </w:rPr>
  </w:style>
  <w:style w:type="paragraph" w:styleId="Heading2">
    <w:name w:val="heading 2"/>
    <w:basedOn w:val="Normal"/>
    <w:next w:val="Normal"/>
    <w:link w:val="Heading2Char"/>
    <w:qFormat/>
    <w:rsid w:val="00CC0ADF"/>
    <w:pPr>
      <w:keepNext/>
      <w:numPr>
        <w:ilvl w:val="1"/>
        <w:numId w:val="1"/>
      </w:numPr>
      <w:spacing w:before="240" w:after="60"/>
      <w:outlineLvl w:val="1"/>
    </w:pPr>
    <w:rPr>
      <w:b/>
      <w:bCs/>
      <w:iCs/>
      <w:szCs w:val="28"/>
    </w:rPr>
  </w:style>
  <w:style w:type="paragraph" w:styleId="Heading3">
    <w:name w:val="heading 3"/>
    <w:basedOn w:val="Normal"/>
    <w:next w:val="Normal"/>
    <w:link w:val="Heading3Char"/>
    <w:qFormat/>
    <w:rsid w:val="00CC0ADF"/>
    <w:pPr>
      <w:keepNext/>
      <w:numPr>
        <w:ilvl w:val="2"/>
        <w:numId w:val="1"/>
      </w:numPr>
      <w:tabs>
        <w:tab w:val="clear" w:pos="862"/>
        <w:tab w:val="num" w:pos="4692"/>
      </w:tabs>
      <w:spacing w:before="240" w:after="60"/>
      <w:ind w:left="4692"/>
      <w:outlineLvl w:val="2"/>
    </w:pPr>
    <w:rPr>
      <w:b/>
      <w:bCs/>
      <w:szCs w:val="26"/>
    </w:rPr>
  </w:style>
  <w:style w:type="paragraph" w:styleId="Heading4">
    <w:name w:val="heading 4"/>
    <w:basedOn w:val="Normal"/>
    <w:next w:val="Normal"/>
    <w:link w:val="Heading4Char"/>
    <w:qFormat/>
    <w:rsid w:val="00CC0ADF"/>
    <w:pPr>
      <w:keepNext/>
      <w:numPr>
        <w:ilvl w:val="3"/>
        <w:numId w:val="1"/>
      </w:numPr>
      <w:tabs>
        <w:tab w:val="clear" w:pos="1290"/>
        <w:tab w:val="num" w:pos="4269"/>
      </w:tabs>
      <w:spacing w:before="240" w:after="60"/>
      <w:ind w:left="4269"/>
      <w:outlineLvl w:val="3"/>
    </w:pPr>
    <w:rPr>
      <w:bCs/>
      <w:szCs w:val="28"/>
    </w:rPr>
  </w:style>
  <w:style w:type="paragraph" w:styleId="Heading5">
    <w:name w:val="heading 5"/>
    <w:basedOn w:val="Normal"/>
    <w:next w:val="Normal"/>
    <w:link w:val="Heading5Char"/>
    <w:qFormat/>
    <w:rsid w:val="00CC0ADF"/>
    <w:pPr>
      <w:numPr>
        <w:ilvl w:val="4"/>
        <w:numId w:val="1"/>
      </w:numPr>
      <w:spacing w:before="240" w:after="60"/>
      <w:outlineLvl w:val="4"/>
    </w:pPr>
    <w:rPr>
      <w:bCs/>
      <w:iCs/>
      <w:szCs w:val="26"/>
    </w:rPr>
  </w:style>
  <w:style w:type="paragraph" w:styleId="Heading6">
    <w:name w:val="heading 6"/>
    <w:basedOn w:val="Normal"/>
    <w:next w:val="Normal"/>
    <w:link w:val="Heading6Char"/>
    <w:qFormat/>
    <w:rsid w:val="00CC0ADF"/>
    <w:pPr>
      <w:numPr>
        <w:ilvl w:val="5"/>
        <w:numId w:val="1"/>
      </w:numPr>
      <w:spacing w:before="240" w:after="60"/>
      <w:outlineLvl w:val="5"/>
    </w:pPr>
    <w:rPr>
      <w:bCs/>
      <w:szCs w:val="22"/>
    </w:rPr>
  </w:style>
  <w:style w:type="paragraph" w:styleId="Heading7">
    <w:name w:val="heading 7"/>
    <w:basedOn w:val="Normal"/>
    <w:next w:val="Normal"/>
    <w:link w:val="Heading7Char"/>
    <w:qFormat/>
    <w:rsid w:val="00CC0ADF"/>
    <w:pPr>
      <w:numPr>
        <w:ilvl w:val="6"/>
        <w:numId w:val="1"/>
      </w:numPr>
      <w:spacing w:before="240" w:after="60"/>
      <w:outlineLvl w:val="6"/>
    </w:pPr>
  </w:style>
  <w:style w:type="paragraph" w:styleId="Heading8">
    <w:name w:val="heading 8"/>
    <w:basedOn w:val="Normal"/>
    <w:next w:val="Normal"/>
    <w:link w:val="Heading8Char"/>
    <w:qFormat/>
    <w:rsid w:val="00CC0ADF"/>
    <w:pPr>
      <w:numPr>
        <w:ilvl w:val="7"/>
        <w:numId w:val="1"/>
      </w:numPr>
      <w:spacing w:before="240" w:after="60"/>
      <w:outlineLvl w:val="7"/>
    </w:pPr>
    <w:rPr>
      <w:iCs/>
    </w:rPr>
  </w:style>
  <w:style w:type="paragraph" w:styleId="Heading9">
    <w:name w:val="heading 9"/>
    <w:basedOn w:val="Normal"/>
    <w:next w:val="Normal"/>
    <w:link w:val="Heading9Char"/>
    <w:qFormat/>
    <w:rsid w:val="00CC0ADF"/>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ADF"/>
    <w:rPr>
      <w:rFonts w:ascii="Arial" w:eastAsia="Times New Roman" w:hAnsi="Arial" w:cs="Times New Roman"/>
      <w:b/>
      <w:bCs/>
      <w:caps/>
      <w:kern w:val="32"/>
      <w:sz w:val="28"/>
      <w:szCs w:val="32"/>
      <w:lang w:eastAsia="ca-ES"/>
      <w14:ligatures w14:val="none"/>
    </w:rPr>
  </w:style>
  <w:style w:type="character" w:customStyle="1" w:styleId="Heading2Char">
    <w:name w:val="Heading 2 Char"/>
    <w:basedOn w:val="DefaultParagraphFont"/>
    <w:link w:val="Heading2"/>
    <w:rsid w:val="00CC0ADF"/>
    <w:rPr>
      <w:rFonts w:ascii="Arial" w:eastAsia="Times New Roman" w:hAnsi="Arial" w:cs="Times New Roman"/>
      <w:b/>
      <w:bCs/>
      <w:iCs/>
      <w:kern w:val="0"/>
      <w:sz w:val="24"/>
      <w:szCs w:val="28"/>
      <w:lang w:eastAsia="ca-ES"/>
      <w14:ligatures w14:val="none"/>
    </w:rPr>
  </w:style>
  <w:style w:type="character" w:customStyle="1" w:styleId="Heading3Char">
    <w:name w:val="Heading 3 Char"/>
    <w:basedOn w:val="DefaultParagraphFont"/>
    <w:link w:val="Heading3"/>
    <w:rsid w:val="00CC0ADF"/>
    <w:rPr>
      <w:rFonts w:ascii="Arial" w:eastAsia="Times New Roman" w:hAnsi="Arial" w:cs="Times New Roman"/>
      <w:b/>
      <w:bCs/>
      <w:kern w:val="0"/>
      <w:sz w:val="24"/>
      <w:szCs w:val="26"/>
      <w:lang w:eastAsia="ca-ES"/>
      <w14:ligatures w14:val="none"/>
    </w:rPr>
  </w:style>
  <w:style w:type="character" w:customStyle="1" w:styleId="Heading4Char">
    <w:name w:val="Heading 4 Char"/>
    <w:basedOn w:val="DefaultParagraphFont"/>
    <w:link w:val="Heading4"/>
    <w:rsid w:val="00CC0ADF"/>
    <w:rPr>
      <w:rFonts w:ascii="Arial" w:eastAsia="Times New Roman" w:hAnsi="Arial" w:cs="Times New Roman"/>
      <w:bCs/>
      <w:kern w:val="0"/>
      <w:sz w:val="24"/>
      <w:szCs w:val="28"/>
      <w:lang w:eastAsia="ca-ES"/>
      <w14:ligatures w14:val="none"/>
    </w:rPr>
  </w:style>
  <w:style w:type="character" w:customStyle="1" w:styleId="Heading5Char">
    <w:name w:val="Heading 5 Char"/>
    <w:basedOn w:val="DefaultParagraphFont"/>
    <w:link w:val="Heading5"/>
    <w:rsid w:val="00CC0ADF"/>
    <w:rPr>
      <w:rFonts w:ascii="Arial" w:eastAsia="Times New Roman" w:hAnsi="Arial" w:cs="Times New Roman"/>
      <w:bCs/>
      <w:iCs/>
      <w:kern w:val="0"/>
      <w:sz w:val="24"/>
      <w:szCs w:val="26"/>
      <w:lang w:eastAsia="ca-ES"/>
      <w14:ligatures w14:val="none"/>
    </w:rPr>
  </w:style>
  <w:style w:type="character" w:customStyle="1" w:styleId="Heading6Char">
    <w:name w:val="Heading 6 Char"/>
    <w:basedOn w:val="DefaultParagraphFont"/>
    <w:link w:val="Heading6"/>
    <w:rsid w:val="00CC0ADF"/>
    <w:rPr>
      <w:rFonts w:ascii="Arial" w:eastAsia="Times New Roman" w:hAnsi="Arial" w:cs="Times New Roman"/>
      <w:bCs/>
      <w:kern w:val="0"/>
      <w:sz w:val="24"/>
      <w:lang w:eastAsia="ca-ES"/>
      <w14:ligatures w14:val="none"/>
    </w:rPr>
  </w:style>
  <w:style w:type="character" w:customStyle="1" w:styleId="Heading7Char">
    <w:name w:val="Heading 7 Char"/>
    <w:basedOn w:val="DefaultParagraphFont"/>
    <w:link w:val="Heading7"/>
    <w:rsid w:val="00CC0ADF"/>
    <w:rPr>
      <w:rFonts w:ascii="Arial" w:eastAsia="Times New Roman" w:hAnsi="Arial" w:cs="Times New Roman"/>
      <w:kern w:val="0"/>
      <w:sz w:val="24"/>
      <w:szCs w:val="24"/>
      <w:lang w:eastAsia="ca-ES"/>
      <w14:ligatures w14:val="none"/>
    </w:rPr>
  </w:style>
  <w:style w:type="character" w:customStyle="1" w:styleId="Heading8Char">
    <w:name w:val="Heading 8 Char"/>
    <w:basedOn w:val="DefaultParagraphFont"/>
    <w:link w:val="Heading8"/>
    <w:rsid w:val="00CC0ADF"/>
    <w:rPr>
      <w:rFonts w:ascii="Arial" w:eastAsia="Times New Roman" w:hAnsi="Arial" w:cs="Times New Roman"/>
      <w:iCs/>
      <w:kern w:val="0"/>
      <w:sz w:val="24"/>
      <w:szCs w:val="24"/>
      <w:lang w:eastAsia="ca-ES"/>
      <w14:ligatures w14:val="none"/>
    </w:rPr>
  </w:style>
  <w:style w:type="character" w:customStyle="1" w:styleId="Heading9Char">
    <w:name w:val="Heading 9 Char"/>
    <w:basedOn w:val="DefaultParagraphFont"/>
    <w:link w:val="Heading9"/>
    <w:rsid w:val="00CC0ADF"/>
    <w:rPr>
      <w:rFonts w:ascii="Arial" w:eastAsia="Times New Roman" w:hAnsi="Arial" w:cs="Times New Roman"/>
      <w:kern w:val="0"/>
      <w:sz w:val="24"/>
      <w:lang w:eastAsia="ca-ES"/>
      <w14:ligatures w14:val="none"/>
    </w:rPr>
  </w:style>
  <w:style w:type="paragraph" w:styleId="ListParagraph">
    <w:name w:val="List Paragraph"/>
    <w:basedOn w:val="Normal"/>
    <w:uiPriority w:val="34"/>
    <w:qFormat/>
    <w:rsid w:val="00CC0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Brili</dc:creator>
  <cp:keywords/>
  <dc:description/>
  <cp:lastModifiedBy>Liana Brili</cp:lastModifiedBy>
  <cp:revision>3</cp:revision>
  <dcterms:created xsi:type="dcterms:W3CDTF">2023-04-26T07:42:00Z</dcterms:created>
  <dcterms:modified xsi:type="dcterms:W3CDTF">2023-05-02T16:13:00Z</dcterms:modified>
</cp:coreProperties>
</file>