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20" w:type="dxa"/>
        <w:jc w:val="center"/>
        <w:tblLayout w:type="fixed"/>
        <w:tblCellMar>
          <w:left w:w="70" w:type="dxa"/>
          <w:right w:w="70" w:type="dxa"/>
        </w:tblCellMar>
        <w:tblLook w:val="0000" w:firstRow="0" w:lastRow="0" w:firstColumn="0" w:lastColumn="0" w:noHBand="0" w:noVBand="0"/>
      </w:tblPr>
      <w:tblGrid>
        <w:gridCol w:w="10820"/>
      </w:tblGrid>
      <w:tr w:rsidR="00C93CCC" w14:paraId="38FF51DE" w14:textId="77777777" w:rsidTr="00546D77">
        <w:trPr>
          <w:trHeight w:hRule="exact" w:val="1884"/>
          <w:jc w:val="center"/>
        </w:trPr>
        <w:tc>
          <w:tcPr>
            <w:tcW w:w="10820" w:type="dxa"/>
            <w:vAlign w:val="center"/>
          </w:tcPr>
          <w:p w14:paraId="4EB9625C" w14:textId="77777777" w:rsidR="00C93CCC" w:rsidRDefault="00C93CCC">
            <w:pPr>
              <w:pStyle w:val="Header"/>
              <w:tabs>
                <w:tab w:val="clear" w:pos="4252"/>
                <w:tab w:val="clear" w:pos="8504"/>
              </w:tabs>
              <w:ind w:left="360" w:right="172"/>
              <w:jc w:val="center"/>
              <w:rPr>
                <w:rFonts w:ascii="Arial" w:hAnsi="Arial"/>
                <w:sz w:val="20"/>
              </w:rPr>
            </w:pPr>
            <w:r>
              <w:rPr>
                <w:rFonts w:ascii="Arial" w:hAnsi="Arial"/>
                <w:sz w:val="20"/>
              </w:rPr>
              <w:t>Proponuje się Radzie Ministrów zatwierdzenie następującego projektu aktu normatywnego:</w:t>
            </w:r>
          </w:p>
        </w:tc>
      </w:tr>
    </w:tbl>
    <w:p w14:paraId="35F48173" w14:textId="77777777" w:rsidR="00C93CCC" w:rsidRDefault="00C93CCC">
      <w:pPr>
        <w:pStyle w:val="Header"/>
        <w:tabs>
          <w:tab w:val="clear" w:pos="4252"/>
          <w:tab w:val="clear" w:pos="8504"/>
        </w:tabs>
        <w:ind w:left="360" w:right="172"/>
        <w:rPr>
          <w:rFonts w:ascii="Arial" w:hAnsi="Arial"/>
          <w:spacing w:val="40"/>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773"/>
      </w:tblGrid>
      <w:tr w:rsidR="00C93CCC" w14:paraId="0FABBEB3" w14:textId="77777777" w:rsidTr="00546D77">
        <w:trPr>
          <w:trHeight w:hRule="exact" w:val="2220"/>
          <w:jc w:val="center"/>
        </w:trPr>
        <w:tc>
          <w:tcPr>
            <w:tcW w:w="10773" w:type="dxa"/>
            <w:tcBorders>
              <w:bottom w:val="single" w:sz="4" w:space="0" w:color="auto"/>
            </w:tcBorders>
          </w:tcPr>
          <w:p w14:paraId="0016DD6A" w14:textId="77777777" w:rsidR="00C93CCC" w:rsidRPr="00546D77" w:rsidRDefault="00C93CCC">
            <w:pPr>
              <w:pStyle w:val="Header"/>
              <w:tabs>
                <w:tab w:val="clear" w:pos="4252"/>
                <w:tab w:val="clear" w:pos="8504"/>
              </w:tabs>
              <w:ind w:left="461" w:right="172"/>
              <w:jc w:val="both"/>
              <w:rPr>
                <w:rFonts w:ascii="Arial" w:hAnsi="Arial"/>
              </w:rPr>
            </w:pPr>
          </w:p>
          <w:p w14:paraId="0838EDAC" w14:textId="77777777" w:rsidR="00C93CCC" w:rsidRPr="008577E8" w:rsidRDefault="00C93CCC">
            <w:pPr>
              <w:tabs>
                <w:tab w:val="left" w:pos="1080"/>
              </w:tabs>
              <w:spacing w:line="360" w:lineRule="atLeast"/>
              <w:ind w:left="461" w:right="170"/>
              <w:jc w:val="both"/>
              <w:rPr>
                <w:rFonts w:ascii="Arial" w:hAnsi="Arial"/>
              </w:rPr>
            </w:pPr>
          </w:p>
          <w:p w14:paraId="2F91487E" w14:textId="724261EC" w:rsidR="00FD453F" w:rsidRPr="00FD453F" w:rsidRDefault="00FD453F" w:rsidP="00FD453F">
            <w:pPr>
              <w:ind w:left="247" w:right="183"/>
              <w:jc w:val="both"/>
              <w:rPr>
                <w:rFonts w:cs="Calibri"/>
                <w:b/>
              </w:rPr>
            </w:pPr>
            <w:r>
              <w:rPr>
                <w:b/>
              </w:rPr>
              <w:t>Projekt dekretu królewskiego zmieniającego kodeks techniczno-budowlany, zatwierdzony dekretem królewskim nr 314/2006 z dnia 17 marca 2006 r.</w:t>
            </w:r>
          </w:p>
          <w:p w14:paraId="0B02A1E0" w14:textId="77777777" w:rsidR="00C93CCC" w:rsidRDefault="00C93CCC">
            <w:pPr>
              <w:tabs>
                <w:tab w:val="left" w:pos="1080"/>
              </w:tabs>
              <w:spacing w:line="360" w:lineRule="atLeast"/>
              <w:ind w:left="461" w:right="170"/>
              <w:jc w:val="both"/>
              <w:rPr>
                <w:rFonts w:ascii="Arial" w:hAnsi="Arial"/>
              </w:rPr>
            </w:pPr>
          </w:p>
          <w:p w14:paraId="7F08CCF5" w14:textId="77777777" w:rsidR="00C93CCC" w:rsidRDefault="00C93CCC">
            <w:pPr>
              <w:tabs>
                <w:tab w:val="left" w:pos="1080"/>
              </w:tabs>
              <w:spacing w:line="360" w:lineRule="atLeast"/>
              <w:ind w:left="357" w:right="170"/>
              <w:jc w:val="both"/>
              <w:rPr>
                <w:rFonts w:ascii="Arial" w:hAnsi="Arial"/>
                <w:b/>
                <w:sz w:val="28"/>
                <w:lang w:val="es-ES_tradnl"/>
              </w:rPr>
            </w:pPr>
          </w:p>
        </w:tc>
      </w:tr>
    </w:tbl>
    <w:p w14:paraId="4ABF8576" w14:textId="77777777" w:rsidR="00C93CCC" w:rsidRDefault="00C93CCC">
      <w:pPr>
        <w:ind w:left="360" w:right="172"/>
        <w:jc w:val="both"/>
      </w:pPr>
    </w:p>
    <w:p w14:paraId="306FCEB1" w14:textId="77777777" w:rsidR="00C93CCC" w:rsidRDefault="00C93CCC">
      <w:pPr>
        <w:spacing w:line="360" w:lineRule="atLeast"/>
        <w:ind w:left="357" w:right="170"/>
        <w:jc w:val="both"/>
      </w:pPr>
    </w:p>
    <w:p w14:paraId="4C593970" w14:textId="77777777" w:rsidR="008577E8" w:rsidRDefault="008577E8" w:rsidP="008577E8">
      <w:pPr>
        <w:pStyle w:val="FootnoteText"/>
        <w:tabs>
          <w:tab w:val="left" w:pos="-3969"/>
        </w:tabs>
        <w:spacing w:after="120"/>
        <w:ind w:left="567" w:right="55" w:firstLine="533"/>
        <w:jc w:val="both"/>
        <w:rPr>
          <w:rFonts w:ascii="Arial" w:hAnsi="Arial" w:cs="Arial"/>
          <w:sz w:val="24"/>
          <w:szCs w:val="24"/>
          <w:lang w:val="es-ES"/>
        </w:rPr>
      </w:pPr>
    </w:p>
    <w:p w14:paraId="59E0450F" w14:textId="63AAAB00" w:rsidR="000760AB" w:rsidRPr="00CE0018" w:rsidRDefault="000760AB" w:rsidP="000760AB">
      <w:pPr>
        <w:spacing w:after="160" w:line="259" w:lineRule="auto"/>
        <w:jc w:val="both"/>
        <w:rPr>
          <w:rFonts w:ascii="Calibri" w:eastAsia="Calibri" w:hAnsi="Calibri" w:cs="Calibri"/>
          <w:sz w:val="22"/>
          <w:szCs w:val="22"/>
        </w:rPr>
      </w:pPr>
      <w:r>
        <w:rPr>
          <w:rFonts w:ascii="Calibri" w:hAnsi="Calibri"/>
          <w:sz w:val="22"/>
        </w:rPr>
        <w:t>Ustawa 38/1999 z dnia 5 listopada w sprawie przepisów budowlanych definiuje kodeks techniczno-budowlany (CTE) jako ramy regulacyjne, które ustanawiają podstawowe wymagania jakościowe dla budynków i ich instalacji oraz umożliwiają zgodność z podstawowymi wymogami ustanowionymi w art. 3. Przewidziany w tej ustawie kodeks techniczno-budowlany został zatwierdzony dekretem królewskim 314/2006 z dnia 17 marca. Podstawowe dokumenty, które składają się na część II CTE, określają i, w stosownych przypadkach, określają ilościowo podstawowe wymagania określone w części I poprzez określenie docelowych poziomów skuteczności działania lub wartości granicznych lub innych parametrów. W szczególności podstawowy dokument DB-HE „Oszczędzanie energii” określa i określa ilościowo wymogi w zakresie efektywności energetycznej, które muszą spełniać nowo wybudowane budynki, a także interwencje dotyczące istniejących budynków.</w:t>
      </w:r>
    </w:p>
    <w:p w14:paraId="0BC63921"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W dniu 30 maja 2018 r. przyjęto dyrektywę Parlamentu Europejskiego i Rady (UE) 2018/844 zmieniającą dyrektywę 2010/31/UE w sprawie charakterystyki energetycznej budynków i dyrektywę 2012/27/UE w sprawie efektywności energetycznej.</w:t>
      </w:r>
    </w:p>
    <w:p w14:paraId="4E8A50F3"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Dyrektywa ta zachęca do wprowadzenia szczególnych wymogów dotyczących tworzenia infrastruktury ładowania pojazdów elektrycznych na parkingach w budynkach. Zatem zarówno sektor budownictwa, jak i sektor mobilności stanowią strategiczne obszary ogólnej dekarbonizacji gospodarki, z ramami regulacyjnymi, które mają na celu pobudzenie innowacji, zrównoważonego rozwoju i efektywności energetycznej w tych sektorach.</w:t>
      </w:r>
    </w:p>
    <w:p w14:paraId="2B504954"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Z kolei rozwój infrastruktury do inteligentnego ładowania pojazdów elektrycznych przyczyni się do poprawy zarządzania energią i elastyczności wykorzystania energii, wykorzystania odnawialnych źródeł energii i poprawy jakości powietrza, a także do poprawy charakterystyki energetycznej budynków poprzez zwiększenie poziomu ich cyfryzacji i włączenie nowych technologii w tym obszarze.</w:t>
      </w:r>
    </w:p>
    <w:p w14:paraId="4219E732"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 xml:space="preserve">Ze swojej strony Krajowy Zintegrowany Plan na rzecz Energii i Klimatu na lata 2021-2030 (Plan Nacional Integrado de Energía y Clima 2021-2030 - PNIEC) przedłożony Komisji Europejskiej przez Hiszpanię przewiduje promowanie mobilności elektrycznej jako środka służącego zmniejszeniu zużycia energii i emisji spalin z pojazdów poprzez dostosowanie regulacyjne i włączenie prawa Unii Europejskiej umożliwiającego rozbudowę infrastruktury ładowania </w:t>
      </w:r>
      <w:r>
        <w:rPr>
          <w:rFonts w:ascii="Calibri" w:hAnsi="Calibri"/>
          <w:sz w:val="22"/>
        </w:rPr>
        <w:lastRenderedPageBreak/>
        <w:t xml:space="preserve">pojazdów elektrycznych zgodnie z rozwojem elektryfikacji floty pojazdów, a także poprzez inne mechanizmy promocji i wsparcia. </w:t>
      </w:r>
    </w:p>
    <w:p w14:paraId="76C72E2C"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 xml:space="preserve">Aby osiągnąć te cele i dokonać częściowej transpozycji dyrektywy w tym zakresie, w niniejszym dekrecie królewskim wprowadza się do kodeksu techniczno-budowlanego nowy podstawowy wymóg oszczędności energii odnoszący się do minimalnych parametrów zasilania infrastruktury ładowania pojazdów elektrycznych, który jest obecnie opracowywany w nowej sekcji HE 6 „Minimalne urządzenia infrastruktury ładowania pojazdów elektrycznych” podstawowego dokumentu BD-HE „Oszczędzanie energii”. </w:t>
      </w:r>
    </w:p>
    <w:p w14:paraId="524332FD"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 xml:space="preserve">Z drugiej strony należy zauważyć, że ustawa 7/2021 z dnia 20 maja, o zmianie klimatu i transformacji energetycznej, w art. 15 ust. 10, odsyła do CTE w kontekście tego rozporządzenia w celu ustanowienia przepisów dotyczących minimalnej infrastruktury ładowania pojazdów elektrycznych dla istniejących budynków przeznaczonych do użytku innego niż prywatny użytek mieszkalny, które posiadają parking z więcej niż dwudziestoma miejscami, wewnątrz lub na wyznaczonej przestrzeni zewnętrznej – przepisów, które powinny wejść w życie przed 1 stycznia 2023 r. Te minimalne przydziały zostały jednak ostatecznie określone w dekrecie królewskim z mocą ustawy 29/2021 z dnia 21 grudnia, w którym przyjęto pilne środki w dziedzinie energii w celu promowania mobilności elektrycznej, samozużycia i wykorzystania energii odnawialnej, i który zawiera ten wymóg w art. 4. </w:t>
      </w:r>
    </w:p>
    <w:p w14:paraId="7707E80D" w14:textId="77777777" w:rsidR="000760AB" w:rsidRPr="000760AB" w:rsidRDefault="000760AB" w:rsidP="000760AB">
      <w:pPr>
        <w:spacing w:after="160" w:line="259" w:lineRule="auto"/>
        <w:jc w:val="both"/>
        <w:rPr>
          <w:rFonts w:ascii="Calibri" w:eastAsia="Calibri" w:hAnsi="Calibri" w:cs="Calibri"/>
          <w:bCs/>
          <w:sz w:val="22"/>
          <w:szCs w:val="22"/>
        </w:rPr>
      </w:pPr>
      <w:r>
        <w:rPr>
          <w:rFonts w:ascii="Calibri" w:hAnsi="Calibri"/>
          <w:sz w:val="22"/>
        </w:rPr>
        <w:t>W celu uzupełnienia regulacji dotyczących infrastruktury ładowania pojazdów elektrycznych zmienia się również dekret królewski 1053/2014 z 12 grudnia, zatwierdzając nowe dodatkowe wytyczne techniczne (ITC) BT 52 „Instalacje specjalnego przeznaczenia. Infrastruktura do ładowania pojazdów elektrycznych” zawarte w przepisach elektrotechnicznych dotyczących niskich napięć, zatwierdzone dekretem królewskim 842/2002 z dnia 2 sierpnia oraz zmienia się inne dodatkowe wytyczne techniczne zawarte w tych samych przepisach.</w:t>
      </w:r>
    </w:p>
    <w:p w14:paraId="055E3A41"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 xml:space="preserve">Ponadto, jako środek promowania energii ze źródeł odnawialnych, poprawy konkurencyjności sektorów produkcyjnych i większego zaangażowania konsumentów w zarządzanie ich energią, PNIEC przewiduje rozwój konsumpcji własnej z wykorzystaniem energii odnawialnej i generacji rozproszonej w sektorze mieszkaniowym i biznesowym. </w:t>
      </w:r>
    </w:p>
    <w:p w14:paraId="0AED8916"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 xml:space="preserve">W tym względzie zatwierdzenie dekretu królewskiego 244/2019 z dnia 5 kwietnia regulującego administracyjne, techniczne i ekonomiczne warunki konsumpcji energii elektrycznej na potrzeby własne umożliwiło, między innymi, zbiorowe korzystanie z energii elektrycznej i ograniczyło procedury administracyjne dotyczące wdrażania konsumpcji na własne potrzeby. W związku z tym uznaje się, że obecne ramy prawne pozwalają na rozszerzenie zakresu stosowania podstawowego wymogu HE 5 dotyczącego minimalnej produkcji energii elektrycznej ze źródeł odnawialnych na budynki przeznaczone do użytku prywatnego oraz obniżenie progu minimalnej powierzchni budowli, do której wymóg ten ma zastosowanie w budynkach o dowolnym przeznaczeniu. </w:t>
      </w:r>
    </w:p>
    <w:p w14:paraId="55B0D0AE"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Ponadto uznaje się za konieczne wprowadzenie zmian w niektórych sekcjach dokumentów podstawowych DB-HE „Oszczędzanie energii”</w:t>
      </w:r>
      <w:bookmarkStart w:id="0" w:name="_Hlk92819359"/>
      <w:bookmarkEnd w:id="0"/>
      <w:r>
        <w:rPr>
          <w:rFonts w:ascii="Calibri" w:hAnsi="Calibri"/>
          <w:sz w:val="22"/>
        </w:rPr>
        <w:t xml:space="preserve"> i DB-HS „Zdrowie” w celu ułatwienia ich stosowania oraz szybkiej modyfikacji dokumentu podstawowego DB-SUA „Bezpieczeństwo użytkowania i dostępność” w celu uwzględnienia kryteriów dostępności stacji ładowania w dostępnych miejscach parkingowych.  </w:t>
      </w:r>
    </w:p>
    <w:p w14:paraId="7B428C2F" w14:textId="1C0D714C" w:rsidR="000760AB" w:rsidRPr="000760AB" w:rsidRDefault="000760AB" w:rsidP="000760AB">
      <w:pPr>
        <w:spacing w:after="160" w:line="259" w:lineRule="auto"/>
        <w:jc w:val="both"/>
        <w:rPr>
          <w:rFonts w:ascii="Calibri" w:eastAsia="Calibri" w:hAnsi="Calibri" w:cs="Calibri"/>
          <w:bCs/>
          <w:sz w:val="22"/>
          <w:szCs w:val="22"/>
        </w:rPr>
      </w:pPr>
      <w:r>
        <w:rPr>
          <w:rFonts w:ascii="Calibri" w:hAnsi="Calibri"/>
          <w:sz w:val="22"/>
        </w:rPr>
        <w:t xml:space="preserve">Zmiana CTE związana z włączeniem nowej sekcji HE 6 „Przepisy dotyczące minimalnej infrastruktury ładowania pojazdów elektrycznych” dokumentu podstawowego DB-HE w sprawie oszczędzania energii, a także zmiana dekretu królewskiego 1053/2014 z dnia 12 grudnia, która zatwierdza nowe dodatkowe wytyczne techniczne (ITC) BT 52 zawarte w pierwszym przepisie końcowym, są częścią reform regulacyjnych przewidzianych w Planie Naprawy, Transformacji i Odporności (PRTR). W szczególności w ramach komponentu 1 PRTR dotyczącego „Planu szokowego w zakresie zrównoważonej, bezpiecznej i połączonej mobilności w środowisku miejskim i metropolitalnym” przyjęto dekret królewski wdrażający wyżej wymienione reformy regulacyjne w ramach reformy C1.R1 zwanej „Planem wprowadzania infrastruktury do ładowania oraz promowania pojazdów elektrycznych”.  Reforma C1.R1 została </w:t>
      </w:r>
      <w:r>
        <w:rPr>
          <w:rFonts w:ascii="Calibri" w:hAnsi="Calibri"/>
          <w:sz w:val="22"/>
        </w:rPr>
        <w:lastRenderedPageBreak/>
        <w:t xml:space="preserve">zaprojektowana jako ramy ustawowe, regulacyjne i strategiczne, aby ułatwić rozwój infrastruktury ładowania w celu promowania pojazdów elektrycznych w Hiszpanii i ma dwa etapy kluczowe. Pierwszy z nich został określony przez rozporządzenie TMA/178/2020 z dnia 19 lutego zmieniające zarządzenie z dnia 16 grudnia 1997 r., które reguluje dostęp do dróg państwowych, dróg serwisowych i budowy obiektów usługowych, oraz dekret królewski z mocą ustawy 23/2020 z dnia 23 czerwca, który zatwierdza środki w dziedzinie energetyki i innych obszarów reaktywacji gospodarki. Drugi kluczowy etap reformy C1.R1. obejmuje zatwierdzenie niniejszego dekretu królewskiego zmieniającego kodeks techniczno-budowlany oraz dekret królewski 1053/2014 z dnia 12 grudnia zatwierdzający nowe dodatkowe wytyczne techniczne (ITC) BT 52.  Kamieniem milowym dla tej reformy jest wejście w życie przed dniem 30 czerwca 2022 r. dekretu królewskiego regulującego tę reformę. Reforma C1.R1. jest powiązana z inwestycją C1.I2 „Program zachęt do montażu punktów ładowania, zakupu pojazdów elektrycznych i pojazdów zasilanych ogniwami paliwowymi oraz innowacji w zakresie elektromobilności, ładowania i ekologicznego wodoru”. Inwestycja ta obejmuje linie pomocy dla montażu stacji ładowania określone w dekrecie królewskim 266/2021 z dnia 13 kwietnia, zatwierdzającym bezpośrednie przyznanie pomocy wspólnotom autonomicznym oraz miastom Ceuta i Melilla na realizację programów motywacyjnych związanych z mobilnością elektryczną (MOVES III) w ramach PRTR. </w:t>
      </w:r>
    </w:p>
    <w:p w14:paraId="4308D345" w14:textId="77777777" w:rsidR="000760AB" w:rsidRPr="000760AB" w:rsidRDefault="000760AB" w:rsidP="000760AB">
      <w:pPr>
        <w:spacing w:after="160" w:line="259" w:lineRule="auto"/>
        <w:jc w:val="both"/>
        <w:rPr>
          <w:rFonts w:ascii="Calibri" w:eastAsia="Calibri" w:hAnsi="Calibri" w:cs="Calibri"/>
          <w:bCs/>
          <w:i/>
          <w:iCs/>
          <w:sz w:val="22"/>
          <w:szCs w:val="22"/>
        </w:rPr>
      </w:pPr>
      <w:r>
        <w:rPr>
          <w:rFonts w:ascii="Calibri" w:hAnsi="Calibri"/>
          <w:sz w:val="22"/>
        </w:rPr>
        <w:t xml:space="preserve">Ten dekret królewski respektuje zasadę „nie czyń poważnych szkód” (Do No Significant Harm - DNSH) oraz warunki oznakowania klimatycznego i cyfrowego, zgodnie z postanowieniami PRTR, Rozporządzeniem Parlamentu Europejskiego i Rady (UE) z dnia 12 lutego 2021 roku ustanawiającym Mechanizm na rzecz Odbudowy i Zwiększania Odporności oraz jego przepisami wykonawczymi, w szczególności z komunikatem Komisji dotyczącym wytycznych technicznych w sprawie stosowania zasady „nie czyń poważnych szkód” na mocy rozporządzenia w sprawie Mechanizmu Odbudowy i Zwiększenia Odporności, a także z wymogami decyzji wykonawczej Rady w sprawie zatwierdzenia oceny hiszpańskiego planu odbudowy, transformacji i zwiększenia odporności. Obejmuje to przestrzeganie szczegółowych warunków przewidzianych w komponencie 1, a także w reformie 1, w której ujęty jest ten dekret królewski, zarówno w odniesieniu do zasady DNSH, jak i w odniesieniu do oznakowania klimatycznego i cyfrowego, a w szczególności warunków określonych w sekcjach 3, 6 i 8 dokumentu dotyczącego komponentów PRTR. Inwestycje PRTR C1.I2, związane z reformą C1.R1, są również zgodne z zasadą „nie czyń poważnych szkód” dla środowiska oraz warunkami oznakowania klimatycznego i cyfrowego. </w:t>
      </w:r>
    </w:p>
    <w:p w14:paraId="449DE2FF" w14:textId="77777777" w:rsidR="000760AB" w:rsidRPr="000760AB" w:rsidRDefault="000760AB" w:rsidP="000760AB">
      <w:pPr>
        <w:spacing w:after="160" w:line="259" w:lineRule="auto"/>
        <w:ind w:left="13"/>
        <w:jc w:val="both"/>
        <w:rPr>
          <w:rFonts w:ascii="Calibri" w:eastAsia="Calibri" w:hAnsi="Calibri" w:cs="Calibri"/>
          <w:sz w:val="22"/>
          <w:szCs w:val="22"/>
        </w:rPr>
      </w:pPr>
      <w:r>
        <w:rPr>
          <w:rFonts w:ascii="Calibri" w:hAnsi="Calibri"/>
          <w:sz w:val="22"/>
        </w:rPr>
        <w:t>Dekret królewski jest zgodny z zasadami konieczności, efektywności, proporcjonalności, pewności prawa, przejrzystości i skuteczności określonymi w art. 129 ustawy 39/2015 z dnia 1 października o powszechnym postępowaniu administracyjnym organów administracji publicznej. W odniesieniu do zasad konieczności i skuteczności prawo odpowiada na obowiązek transpozycji dyrektyw europejskich do prawa krajowego i jest zgodny z celami interesu ogólnego, takimi jak dostosowanie infrastruktury budowlanej do promowania zrównoważonej mobilności i wykorzystania energii odnawialnej. Przyczyni się to do dobrobytu społeczeństwa i ochrony środowiska. Dekret królewski jest również zgodny z zasadą proporcjonalności, ponieważ zapewnia niezbędne i wystarczające środki do wykonania mandatu prawnego przewidzianego w dyrektywie, ale nie wymaga innowacji, która może być zbędna lub wykracza poza wymogi prawne, ani nie pociąga za sobą ograniczenia praw obywateli. Rozporządzenie to jest zgodne z zasadą pewności prawa, ponieważ zostało opracowane zgodnie z procedurami określonymi w ustawie rządowej nr 50/1997 z dnia 27 listopada 1997 r. oraz z zasadą transparentności, ponieważ jasno określa jego cel, a jego publicznie dostępne uzasadnienie w pełni wyjaśnia jego treść. Ponadto jest on zgodny z zasadą efektywności, ponieważ nie nakłada żadnych obciążeń administracyjnych.</w:t>
      </w:r>
    </w:p>
    <w:p w14:paraId="781A1DCF"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Ten ogólny przepis został poddany rządowym procedurom wcześniejszych konsultacji publicznych i wysłuchania publicznego oraz informacji, ustanowionych w art. 26 ustawy 50/1997 z dnia 27 listopada, a także procedurze informacyjnej w zakresie przepisów technicznych i zasad dotyczących usług społeczeństwa informacyjnego, przewidzianej w dyrektywie Parlamentu Europejskiego i Rady (UE) 2015/1535 z dnia 9 września 2015 r. oraz w dekrecie królewskim 1337/1999 z dnia 31 lipca 1999 r.</w:t>
      </w:r>
    </w:p>
    <w:p w14:paraId="1CF691DA" w14:textId="0555DF60"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lastRenderedPageBreak/>
        <w:t>W związku z tym, na wniosek Ministra Transportu, Mobilności i Urbanizacji oraz Ministra ds. Zmian Klimatu i Wyzwań Demograficznych, w porozumieniu z Radą Stanu i w następstwie obrad Rady Ministrów na posiedzeniu dniu</w:t>
      </w:r>
    </w:p>
    <w:p w14:paraId="3A461137" w14:textId="77777777" w:rsidR="000760AB" w:rsidRPr="000760AB" w:rsidRDefault="000760AB" w:rsidP="000760AB">
      <w:pPr>
        <w:spacing w:after="160" w:line="259" w:lineRule="auto"/>
        <w:jc w:val="both"/>
        <w:rPr>
          <w:rFonts w:ascii="Calibri" w:eastAsia="Calibri" w:hAnsi="Calibri" w:cs="Calibri"/>
          <w:sz w:val="22"/>
          <w:szCs w:val="22"/>
          <w:lang w:eastAsia="en-US"/>
        </w:rPr>
      </w:pPr>
    </w:p>
    <w:p w14:paraId="2D0F4D96" w14:textId="77777777" w:rsidR="000760AB" w:rsidRPr="000760AB" w:rsidRDefault="000760AB" w:rsidP="000760AB">
      <w:pPr>
        <w:spacing w:after="160" w:line="259" w:lineRule="auto"/>
        <w:jc w:val="center"/>
        <w:rPr>
          <w:rFonts w:ascii="Calibri" w:eastAsia="Calibri" w:hAnsi="Calibri" w:cs="Calibri"/>
          <w:sz w:val="22"/>
          <w:szCs w:val="22"/>
        </w:rPr>
      </w:pPr>
      <w:r>
        <w:rPr>
          <w:rFonts w:ascii="Calibri" w:hAnsi="Calibri"/>
          <w:sz w:val="22"/>
        </w:rPr>
        <w:t>POSTANAWIA SIĘ, CO NASTĘPUJE:</w:t>
      </w:r>
    </w:p>
    <w:p w14:paraId="3F204ED5" w14:textId="77777777" w:rsidR="000760AB" w:rsidRPr="000760AB" w:rsidRDefault="000760AB" w:rsidP="000760AB">
      <w:pPr>
        <w:spacing w:after="160" w:line="259" w:lineRule="auto"/>
        <w:jc w:val="both"/>
        <w:rPr>
          <w:rFonts w:ascii="Calibri" w:eastAsia="Calibri" w:hAnsi="Calibri" w:cs="Calibri"/>
          <w:bCs/>
          <w:i/>
          <w:iCs/>
          <w:sz w:val="22"/>
          <w:szCs w:val="22"/>
        </w:rPr>
      </w:pPr>
      <w:r>
        <w:rPr>
          <w:rFonts w:ascii="Calibri" w:hAnsi="Calibri"/>
          <w:sz w:val="22"/>
        </w:rPr>
        <w:t xml:space="preserve">Jedyny Artykuł. </w:t>
      </w:r>
      <w:r>
        <w:rPr>
          <w:rFonts w:ascii="Calibri" w:hAnsi="Calibri"/>
          <w:i/>
          <w:sz w:val="22"/>
        </w:rPr>
        <w:t>Zmiana kodeksu techniczno-budowlanego (Código Técnico de la Edificación, CTE) zatwierdzona dekretem królewskim nr 314/2006 z dnia 17 marca 2006 r.</w:t>
      </w:r>
    </w:p>
    <w:p w14:paraId="557D04F7"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W kodeksie techniczno-budowlanym (CTE) zatwierdzonym dekretem królewskim 314/2006 z dnia 17 marca wprowadza się następujące zmiany:</w:t>
      </w:r>
    </w:p>
    <w:p w14:paraId="38344B6D" w14:textId="77777777" w:rsidR="000760AB" w:rsidRPr="000760AB" w:rsidRDefault="000760AB" w:rsidP="000760AB">
      <w:pPr>
        <w:spacing w:after="160" w:line="259" w:lineRule="auto"/>
        <w:ind w:left="567" w:hanging="567"/>
        <w:jc w:val="both"/>
        <w:rPr>
          <w:rFonts w:ascii="Calibri" w:eastAsia="Calibri" w:hAnsi="Calibri" w:cs="Calibri"/>
          <w:sz w:val="22"/>
          <w:szCs w:val="22"/>
        </w:rPr>
      </w:pPr>
      <w:r>
        <w:rPr>
          <w:rFonts w:ascii="Calibri" w:hAnsi="Calibri"/>
          <w:sz w:val="22"/>
        </w:rPr>
        <w:t>Jeden. W indeksie w części I wprowadza się następujące zmiany:</w:t>
      </w:r>
    </w:p>
    <w:p w14:paraId="493E6A51"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Wyrażenie „15.6. Wymóg podstawowy HE 5: Minimalna produkcja energii elektrycznej" otrzymuje następujące brzmienie:</w:t>
      </w:r>
    </w:p>
    <w:p w14:paraId="7A817778"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„15.6. Wymóg podstawowy HE 5: Minimalna produkcja energii elektrycznej ze źródeł odnawialnych”</w:t>
      </w:r>
    </w:p>
    <w:p w14:paraId="53D132D3"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W odniesieniu do art. 15 dodaje się punkt w brzmieniu:</w:t>
      </w:r>
    </w:p>
    <w:p w14:paraId="1B97A8CA"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„15.7. Wymóg podstawowy HE 6: Minimalne urządzenia infrastruktury ładowania pojazdów elektrycznych.</w:t>
      </w:r>
    </w:p>
    <w:p w14:paraId="24330295" w14:textId="77777777" w:rsidR="000760AB" w:rsidRPr="000760AB" w:rsidRDefault="000760AB" w:rsidP="000760AB">
      <w:pPr>
        <w:spacing w:after="160" w:line="259" w:lineRule="auto"/>
        <w:ind w:left="567" w:hanging="567"/>
        <w:jc w:val="both"/>
        <w:rPr>
          <w:rFonts w:ascii="Calibri" w:eastAsia="Calibri" w:hAnsi="Calibri" w:cs="Calibri"/>
          <w:sz w:val="22"/>
          <w:szCs w:val="22"/>
        </w:rPr>
      </w:pPr>
      <w:r>
        <w:rPr>
          <w:rFonts w:ascii="Calibri" w:hAnsi="Calibri"/>
          <w:sz w:val="22"/>
        </w:rPr>
        <w:t>Dwa. W części I art. 15 wprowadza się następujące zmiany:</w:t>
      </w:r>
    </w:p>
    <w:p w14:paraId="53F6E69E"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Pkt 15.6 otrzymuje następujące brzmienie:</w:t>
      </w:r>
    </w:p>
    <w:p w14:paraId="41FA2918"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„15.6 Wymóg podstawowy HE 5: Minimalna produkcja energii elektrycznej ze źródeł odnawialnych.</w:t>
      </w:r>
    </w:p>
    <w:p w14:paraId="35075490"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Budynki mają posiadać systemy wytwarzania energii elektrycznej ze źródeł odnawialnych na własny użytek lub w celu zaopatrywania sieci.”</w:t>
      </w:r>
    </w:p>
    <w:p w14:paraId="7543DFCB"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Dodaje się nowy pkt 15.7 w brzmieniu:</w:t>
      </w:r>
    </w:p>
    <w:p w14:paraId="47ED5386"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„15.7 Wymóg podstawowy HE 6: Minimalne urządzenia infrastruktury ładowania pojazdów elektrycznych.</w:t>
      </w:r>
    </w:p>
    <w:p w14:paraId="76AA215B"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Budynki muszą posiadać minimalną infrastrukturę umożliwiającą ładowanie pojazdów elektrycznych”.</w:t>
      </w:r>
    </w:p>
    <w:p w14:paraId="77CE8C8D"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Trzy. W dokumencie podstawowym DB-HE „Oszczędzanie energii” zawartym w części II wprowadza się następujące zmiany:</w:t>
      </w:r>
    </w:p>
    <w:p w14:paraId="49F2FE06" w14:textId="77777777" w:rsidR="000760AB" w:rsidRPr="000760AB" w:rsidRDefault="000760AB" w:rsidP="000760AB">
      <w:pPr>
        <w:numPr>
          <w:ilvl w:val="0"/>
          <w:numId w:val="17"/>
        </w:numPr>
        <w:spacing w:after="162" w:line="259" w:lineRule="auto"/>
        <w:ind w:left="284" w:firstLine="0"/>
        <w:jc w:val="both"/>
        <w:rPr>
          <w:rFonts w:ascii="Calibri" w:eastAsia="Calibri" w:hAnsi="Calibri" w:cs="Calibri"/>
          <w:sz w:val="22"/>
          <w:szCs w:val="22"/>
        </w:rPr>
      </w:pPr>
      <w:r>
        <w:rPr>
          <w:rFonts w:ascii="Calibri" w:hAnsi="Calibri"/>
          <w:sz w:val="22"/>
        </w:rPr>
        <w:t>W pierwszym akapicie sekcji I „Przedmiot” „Wprowadzenia”, w zdaniu „Sekcje niniejszego DB odpowiadają podstawowym wymaganiom HE 0 a do HE 5”, zamiast „HE 5”, powinno pojawić się „HE 6”.</w:t>
      </w:r>
    </w:p>
    <w:p w14:paraId="0A080F50" w14:textId="77777777" w:rsidR="000760AB" w:rsidRPr="000760AB" w:rsidRDefault="000760AB" w:rsidP="000760AB">
      <w:pPr>
        <w:numPr>
          <w:ilvl w:val="0"/>
          <w:numId w:val="17"/>
        </w:numPr>
        <w:spacing w:after="162" w:line="259" w:lineRule="auto"/>
        <w:ind w:left="284" w:firstLine="0"/>
        <w:jc w:val="both"/>
        <w:rPr>
          <w:rFonts w:ascii="Calibri" w:eastAsia="Calibri" w:hAnsi="Calibri" w:cs="Calibri"/>
          <w:sz w:val="22"/>
          <w:szCs w:val="22"/>
        </w:rPr>
      </w:pPr>
      <w:r>
        <w:rPr>
          <w:rFonts w:ascii="Calibri" w:hAnsi="Calibri"/>
          <w:sz w:val="22"/>
        </w:rPr>
        <w:t>W sekcji I „Przedmiot” „Wprowadzenia” odniesienie do art. 15.6 części I CTE otrzymuje brzmienie:</w:t>
      </w:r>
    </w:p>
    <w:p w14:paraId="72402F73"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„15.6 Wymóg podstawowy HE 5: Minimalna produkcja energii elektrycznej ze źródeł odnawialnych.</w:t>
      </w:r>
    </w:p>
    <w:p w14:paraId="2369423E" w14:textId="77777777" w:rsidR="000760AB" w:rsidRPr="000760AB" w:rsidRDefault="000760AB" w:rsidP="000760AB">
      <w:pPr>
        <w:spacing w:after="162" w:line="259" w:lineRule="auto"/>
        <w:ind w:left="284"/>
        <w:jc w:val="both"/>
        <w:rPr>
          <w:rFonts w:ascii="Calibri" w:eastAsia="Calibri" w:hAnsi="Calibri" w:cs="Calibri"/>
          <w:sz w:val="22"/>
          <w:szCs w:val="22"/>
        </w:rPr>
      </w:pPr>
      <w:r>
        <w:rPr>
          <w:rFonts w:ascii="Calibri" w:hAnsi="Calibri"/>
          <w:sz w:val="22"/>
        </w:rPr>
        <w:t>Budynki muszą posiadać systemy wytwarzania energii elektrycznej ze źródeł odnawialnych na własny użytek lub w celu zaopatrywania sieci.”</w:t>
      </w:r>
    </w:p>
    <w:p w14:paraId="181F1AEB" w14:textId="77777777" w:rsidR="000760AB" w:rsidRPr="000760AB" w:rsidRDefault="000760AB" w:rsidP="000760AB">
      <w:pPr>
        <w:numPr>
          <w:ilvl w:val="0"/>
          <w:numId w:val="17"/>
        </w:numPr>
        <w:spacing w:after="162" w:line="259" w:lineRule="auto"/>
        <w:ind w:left="284" w:firstLine="0"/>
        <w:jc w:val="both"/>
        <w:rPr>
          <w:rFonts w:ascii="Calibri" w:eastAsia="Calibri" w:hAnsi="Calibri" w:cs="Calibri"/>
          <w:sz w:val="22"/>
          <w:szCs w:val="22"/>
        </w:rPr>
      </w:pPr>
      <w:r>
        <w:rPr>
          <w:rFonts w:ascii="Calibri" w:hAnsi="Calibri"/>
          <w:sz w:val="22"/>
        </w:rPr>
        <w:t>W sekcji I „Przedmiot” „Wprowadzenia” dodaje się dodatkowy punkt w odniesieniu do art. 15 części I CTE na końcu CTE, w brzmieniu:</w:t>
      </w:r>
    </w:p>
    <w:p w14:paraId="7C586D67"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„15.7. Wymóg podstawowy HE 6: Minimalne urządzenia infrastruktury ładowania pojazdów elektrycznych.</w:t>
      </w:r>
    </w:p>
    <w:p w14:paraId="676A05EC"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lastRenderedPageBreak/>
        <w:t xml:space="preserve">Budynki muszą posiadać minimalną infrastrukturę umożliwiającą ładowanie </w:t>
      </w:r>
      <w:r>
        <w:rPr>
          <w:rFonts w:ascii="Calibri" w:hAnsi="Calibri"/>
          <w:i/>
          <w:sz w:val="22"/>
        </w:rPr>
        <w:t>pojazdów elektrycznych</w:t>
      </w:r>
      <w:r>
        <w:rPr>
          <w:rFonts w:ascii="Calibri" w:hAnsi="Calibri"/>
          <w:sz w:val="22"/>
        </w:rPr>
        <w:t>”.</w:t>
      </w:r>
    </w:p>
    <w:p w14:paraId="69721229" w14:textId="77777777" w:rsidR="000760AB" w:rsidRPr="000760AB" w:rsidRDefault="000760AB" w:rsidP="000760AB">
      <w:pPr>
        <w:numPr>
          <w:ilvl w:val="0"/>
          <w:numId w:val="17"/>
        </w:numPr>
        <w:spacing w:after="160" w:line="259" w:lineRule="auto"/>
        <w:ind w:left="284" w:firstLine="0"/>
        <w:jc w:val="both"/>
        <w:rPr>
          <w:rFonts w:ascii="Calibri" w:eastAsia="Calibri" w:hAnsi="Calibri" w:cs="Calibri"/>
          <w:sz w:val="22"/>
          <w:szCs w:val="22"/>
        </w:rPr>
      </w:pPr>
      <w:r>
        <w:rPr>
          <w:rFonts w:ascii="Calibri" w:hAnsi="Calibri"/>
          <w:sz w:val="22"/>
        </w:rPr>
        <w:t>W spisie treści, tytuł sekcji HE 5 otrzymuje brzmienie:</w:t>
      </w:r>
    </w:p>
    <w:p w14:paraId="582FB085" w14:textId="6A9EA674" w:rsidR="000760AB" w:rsidRDefault="000760AB" w:rsidP="000760AB">
      <w:pPr>
        <w:spacing w:after="160" w:line="259" w:lineRule="auto"/>
        <w:ind w:left="284"/>
        <w:contextualSpacing/>
        <w:jc w:val="both"/>
        <w:rPr>
          <w:rFonts w:ascii="Calibri" w:eastAsia="Calibri" w:hAnsi="Calibri" w:cs="Calibri"/>
          <w:sz w:val="22"/>
          <w:szCs w:val="22"/>
        </w:rPr>
      </w:pPr>
      <w:r>
        <w:rPr>
          <w:rFonts w:ascii="Calibri" w:hAnsi="Calibri"/>
          <w:sz w:val="22"/>
        </w:rPr>
        <w:t>„Sekcja HE 5 Minimalna produkcja energii elektrycznej ze źródeł odnawialnych”.</w:t>
      </w:r>
    </w:p>
    <w:p w14:paraId="6364AA7F" w14:textId="77777777" w:rsidR="000760AB" w:rsidRPr="000760AB" w:rsidRDefault="000760AB" w:rsidP="000760AB">
      <w:pPr>
        <w:spacing w:after="160" w:line="259" w:lineRule="auto"/>
        <w:ind w:left="284"/>
        <w:contextualSpacing/>
        <w:jc w:val="both"/>
        <w:rPr>
          <w:rFonts w:ascii="Calibri" w:eastAsia="Calibri" w:hAnsi="Calibri" w:cs="Calibri"/>
          <w:sz w:val="22"/>
          <w:szCs w:val="22"/>
          <w:lang w:eastAsia="en-US"/>
        </w:rPr>
      </w:pPr>
    </w:p>
    <w:p w14:paraId="3893C14C" w14:textId="77777777" w:rsidR="000760AB" w:rsidRPr="000760AB" w:rsidRDefault="000760AB" w:rsidP="000760AB">
      <w:pPr>
        <w:numPr>
          <w:ilvl w:val="0"/>
          <w:numId w:val="17"/>
        </w:numPr>
        <w:spacing w:after="160" w:line="259" w:lineRule="auto"/>
        <w:ind w:left="284" w:firstLine="0"/>
        <w:jc w:val="both"/>
        <w:rPr>
          <w:rFonts w:ascii="Calibri" w:eastAsia="Calibri" w:hAnsi="Calibri" w:cs="Calibri"/>
          <w:sz w:val="22"/>
          <w:szCs w:val="22"/>
        </w:rPr>
      </w:pPr>
      <w:r>
        <w:rPr>
          <w:rFonts w:ascii="Calibri" w:hAnsi="Calibri"/>
          <w:sz w:val="22"/>
        </w:rPr>
        <w:t>W odniesieniu do art. 15 w indeksie dodaje się punkt w brzmieniu:</w:t>
      </w:r>
    </w:p>
    <w:p w14:paraId="176B586E" w14:textId="77777777" w:rsidR="000760AB" w:rsidRPr="000760AB" w:rsidRDefault="000760AB" w:rsidP="000760AB">
      <w:pPr>
        <w:tabs>
          <w:tab w:val="left" w:pos="7938"/>
        </w:tabs>
        <w:spacing w:after="160" w:line="259" w:lineRule="auto"/>
        <w:ind w:left="284"/>
        <w:contextualSpacing/>
        <w:jc w:val="both"/>
        <w:rPr>
          <w:rFonts w:ascii="Calibri" w:eastAsia="Calibri" w:hAnsi="Calibri" w:cs="Calibri"/>
          <w:sz w:val="22"/>
          <w:szCs w:val="22"/>
        </w:rPr>
      </w:pPr>
      <w:r>
        <w:rPr>
          <w:rFonts w:ascii="Calibri" w:hAnsi="Calibri"/>
          <w:sz w:val="22"/>
        </w:rPr>
        <w:t>„Sekcja HE 6 Minimalna infrastruktura ładowania pojazdów elektrycznych</w:t>
      </w:r>
    </w:p>
    <w:p w14:paraId="0C2C22F2" w14:textId="77777777" w:rsidR="000760AB" w:rsidRPr="000760AB" w:rsidRDefault="000760AB" w:rsidP="000760AB">
      <w:pPr>
        <w:numPr>
          <w:ilvl w:val="0"/>
          <w:numId w:val="14"/>
        </w:numPr>
        <w:tabs>
          <w:tab w:val="left" w:pos="567"/>
        </w:tabs>
        <w:spacing w:after="160" w:line="259" w:lineRule="auto"/>
        <w:ind w:left="284" w:firstLine="0"/>
        <w:contextualSpacing/>
        <w:jc w:val="both"/>
        <w:rPr>
          <w:rFonts w:ascii="Calibri" w:eastAsia="Calibri" w:hAnsi="Calibri" w:cs="Calibri"/>
          <w:sz w:val="22"/>
          <w:szCs w:val="22"/>
        </w:rPr>
      </w:pPr>
      <w:r>
        <w:rPr>
          <w:rFonts w:ascii="Calibri" w:hAnsi="Calibri"/>
          <w:sz w:val="22"/>
        </w:rPr>
        <w:t>Zakres stosowania</w:t>
      </w:r>
    </w:p>
    <w:p w14:paraId="14454D1F" w14:textId="77777777" w:rsidR="000760AB" w:rsidRPr="000760AB" w:rsidRDefault="000760AB" w:rsidP="000760AB">
      <w:pPr>
        <w:numPr>
          <w:ilvl w:val="0"/>
          <w:numId w:val="14"/>
        </w:numPr>
        <w:tabs>
          <w:tab w:val="left" w:pos="567"/>
        </w:tabs>
        <w:spacing w:after="160" w:line="259" w:lineRule="auto"/>
        <w:ind w:left="284" w:firstLine="0"/>
        <w:contextualSpacing/>
        <w:jc w:val="both"/>
        <w:rPr>
          <w:rFonts w:ascii="Calibri" w:eastAsia="Calibri" w:hAnsi="Calibri" w:cs="Calibri"/>
          <w:sz w:val="22"/>
          <w:szCs w:val="22"/>
        </w:rPr>
      </w:pPr>
      <w:r>
        <w:rPr>
          <w:rFonts w:ascii="Calibri" w:hAnsi="Calibri"/>
          <w:sz w:val="22"/>
        </w:rPr>
        <w:t>Opis wymogu</w:t>
      </w:r>
    </w:p>
    <w:p w14:paraId="41AC625F" w14:textId="77777777" w:rsidR="000760AB" w:rsidRPr="000760AB" w:rsidRDefault="000760AB" w:rsidP="000760AB">
      <w:pPr>
        <w:numPr>
          <w:ilvl w:val="0"/>
          <w:numId w:val="14"/>
        </w:numPr>
        <w:tabs>
          <w:tab w:val="left" w:pos="567"/>
        </w:tabs>
        <w:spacing w:after="160" w:line="259" w:lineRule="auto"/>
        <w:ind w:left="284" w:firstLine="0"/>
        <w:contextualSpacing/>
        <w:jc w:val="both"/>
        <w:rPr>
          <w:rFonts w:ascii="Calibri" w:eastAsia="Calibri" w:hAnsi="Calibri" w:cs="Calibri"/>
          <w:sz w:val="22"/>
          <w:szCs w:val="22"/>
        </w:rPr>
      </w:pPr>
      <w:r>
        <w:rPr>
          <w:rFonts w:ascii="Calibri" w:hAnsi="Calibri"/>
          <w:sz w:val="22"/>
        </w:rPr>
        <w:t>Ilościowe określenie wymogu</w:t>
      </w:r>
    </w:p>
    <w:p w14:paraId="0D46B4A0" w14:textId="77777777" w:rsidR="000760AB" w:rsidRPr="000760AB" w:rsidRDefault="000760AB" w:rsidP="000760AB">
      <w:pPr>
        <w:numPr>
          <w:ilvl w:val="0"/>
          <w:numId w:val="14"/>
        </w:numPr>
        <w:tabs>
          <w:tab w:val="left" w:pos="567"/>
        </w:tabs>
        <w:spacing w:after="160" w:line="259" w:lineRule="auto"/>
        <w:ind w:left="284" w:firstLine="0"/>
        <w:contextualSpacing/>
        <w:jc w:val="both"/>
        <w:rPr>
          <w:rFonts w:ascii="Calibri" w:eastAsia="Calibri" w:hAnsi="Calibri" w:cs="Calibri"/>
          <w:sz w:val="22"/>
          <w:szCs w:val="22"/>
        </w:rPr>
      </w:pPr>
      <w:r>
        <w:rPr>
          <w:rFonts w:ascii="Calibri" w:hAnsi="Calibri"/>
          <w:sz w:val="22"/>
        </w:rPr>
        <w:t>Uzasadnienie wymogu</w:t>
      </w:r>
    </w:p>
    <w:p w14:paraId="6C8C16FE" w14:textId="77777777" w:rsidR="000760AB" w:rsidRPr="000760AB" w:rsidRDefault="000760AB" w:rsidP="000760AB">
      <w:pPr>
        <w:numPr>
          <w:ilvl w:val="0"/>
          <w:numId w:val="14"/>
        </w:numPr>
        <w:tabs>
          <w:tab w:val="left" w:pos="567"/>
        </w:tabs>
        <w:spacing w:after="160" w:line="259" w:lineRule="auto"/>
        <w:ind w:left="284" w:firstLine="0"/>
        <w:contextualSpacing/>
        <w:jc w:val="both"/>
        <w:rPr>
          <w:rFonts w:ascii="Calibri" w:eastAsia="Calibri" w:hAnsi="Calibri" w:cs="Calibri"/>
          <w:sz w:val="22"/>
          <w:szCs w:val="22"/>
        </w:rPr>
      </w:pPr>
      <w:r>
        <w:rPr>
          <w:rFonts w:ascii="Calibri" w:hAnsi="Calibri"/>
          <w:sz w:val="22"/>
        </w:rPr>
        <w:t>Budowa, konserwacja i utrzymanie</w:t>
      </w:r>
    </w:p>
    <w:p w14:paraId="555B094E" w14:textId="77777777" w:rsidR="000760AB" w:rsidRPr="000760AB" w:rsidRDefault="000760AB" w:rsidP="000760AB">
      <w:pPr>
        <w:tabs>
          <w:tab w:val="left" w:pos="993"/>
        </w:tabs>
        <w:spacing w:after="160" w:line="259" w:lineRule="auto"/>
        <w:ind w:left="284"/>
        <w:contextualSpacing/>
        <w:jc w:val="both"/>
        <w:rPr>
          <w:rFonts w:ascii="Calibri" w:eastAsia="Calibri" w:hAnsi="Calibri" w:cs="Calibri"/>
          <w:sz w:val="22"/>
          <w:szCs w:val="22"/>
        </w:rPr>
      </w:pPr>
      <w:r>
        <w:rPr>
          <w:rFonts w:ascii="Calibri" w:hAnsi="Calibri"/>
          <w:sz w:val="22"/>
        </w:rPr>
        <w:t>5.1</w:t>
      </w:r>
      <w:r>
        <w:rPr>
          <w:rFonts w:ascii="Calibri" w:hAnsi="Calibri"/>
          <w:sz w:val="22"/>
        </w:rPr>
        <w:tab/>
        <w:t>Wykonanie</w:t>
      </w:r>
    </w:p>
    <w:p w14:paraId="2080D911" w14:textId="77777777" w:rsidR="000760AB" w:rsidRPr="000760AB" w:rsidRDefault="000760AB" w:rsidP="000760AB">
      <w:pPr>
        <w:tabs>
          <w:tab w:val="left" w:pos="993"/>
        </w:tabs>
        <w:spacing w:after="160" w:line="259" w:lineRule="auto"/>
        <w:ind w:left="284"/>
        <w:contextualSpacing/>
        <w:jc w:val="both"/>
        <w:rPr>
          <w:rFonts w:ascii="Calibri" w:eastAsia="Calibri" w:hAnsi="Calibri" w:cs="Calibri"/>
          <w:sz w:val="22"/>
          <w:szCs w:val="22"/>
        </w:rPr>
      </w:pPr>
      <w:r>
        <w:rPr>
          <w:rFonts w:ascii="Calibri" w:hAnsi="Calibri"/>
          <w:sz w:val="22"/>
        </w:rPr>
        <w:t>5.2</w:t>
      </w:r>
      <w:r>
        <w:rPr>
          <w:rFonts w:ascii="Calibri" w:hAnsi="Calibri"/>
          <w:sz w:val="22"/>
        </w:rPr>
        <w:tab/>
        <w:t>Monitorowanie wykonania robót</w:t>
      </w:r>
    </w:p>
    <w:p w14:paraId="0A1431F4" w14:textId="77777777" w:rsidR="000760AB" w:rsidRPr="000760AB" w:rsidRDefault="000760AB" w:rsidP="000760AB">
      <w:pPr>
        <w:tabs>
          <w:tab w:val="left" w:pos="993"/>
        </w:tabs>
        <w:spacing w:after="160" w:line="259" w:lineRule="auto"/>
        <w:ind w:left="284"/>
        <w:contextualSpacing/>
        <w:jc w:val="both"/>
        <w:rPr>
          <w:rFonts w:ascii="Calibri" w:eastAsia="Calibri" w:hAnsi="Calibri" w:cs="Calibri"/>
          <w:sz w:val="22"/>
          <w:szCs w:val="22"/>
        </w:rPr>
      </w:pPr>
      <w:r>
        <w:rPr>
          <w:rFonts w:ascii="Calibri" w:hAnsi="Calibri"/>
          <w:sz w:val="22"/>
        </w:rPr>
        <w:t>5.3</w:t>
      </w:r>
      <w:r>
        <w:rPr>
          <w:rFonts w:ascii="Calibri" w:hAnsi="Calibri"/>
          <w:sz w:val="22"/>
        </w:rPr>
        <w:tab/>
        <w:t>Sprawdzanie ukończonych prac</w:t>
      </w:r>
    </w:p>
    <w:p w14:paraId="43CD09C6" w14:textId="77777777" w:rsidR="000760AB" w:rsidRPr="000760AB" w:rsidRDefault="000760AB" w:rsidP="000760AB">
      <w:pPr>
        <w:tabs>
          <w:tab w:val="left" w:pos="993"/>
        </w:tabs>
        <w:spacing w:after="160" w:line="259" w:lineRule="auto"/>
        <w:ind w:left="284"/>
        <w:contextualSpacing/>
        <w:jc w:val="both"/>
        <w:rPr>
          <w:rFonts w:ascii="Calibri" w:eastAsia="Calibri" w:hAnsi="Calibri" w:cs="Calibri"/>
          <w:sz w:val="22"/>
          <w:szCs w:val="22"/>
        </w:rPr>
      </w:pPr>
      <w:r>
        <w:rPr>
          <w:rFonts w:ascii="Calibri" w:hAnsi="Calibri"/>
          <w:sz w:val="22"/>
        </w:rPr>
        <w:t>5.4</w:t>
      </w:r>
      <w:r>
        <w:rPr>
          <w:rFonts w:ascii="Calibri" w:hAnsi="Calibri"/>
          <w:sz w:val="22"/>
        </w:rPr>
        <w:tab/>
        <w:t>Konserwacja i utrzymanie budynku”</w:t>
      </w:r>
    </w:p>
    <w:p w14:paraId="2BFCCA3F" w14:textId="77777777" w:rsidR="000760AB" w:rsidRPr="000760AB" w:rsidRDefault="000760AB" w:rsidP="000760AB">
      <w:pPr>
        <w:numPr>
          <w:ilvl w:val="0"/>
          <w:numId w:val="17"/>
        </w:numPr>
        <w:spacing w:before="200" w:after="100" w:line="259" w:lineRule="auto"/>
        <w:ind w:left="284" w:firstLine="0"/>
        <w:jc w:val="both"/>
        <w:rPr>
          <w:rFonts w:ascii="Calibri" w:eastAsia="Arial" w:hAnsi="Calibri" w:cs="Calibri"/>
          <w:kern w:val="2"/>
          <w:sz w:val="22"/>
          <w:szCs w:val="22"/>
        </w:rPr>
      </w:pPr>
      <w:r>
        <w:rPr>
          <w:rFonts w:ascii="Calibri" w:hAnsi="Calibri"/>
          <w:sz w:val="22"/>
        </w:rPr>
        <w:t>W sekcji HE 0, pkt 1 Zakres stosowania, ust. 1 wyrażenie: „...gdzie całkowita rozbudowana powierzchnia użytkowa przekracza 50 m</w:t>
      </w:r>
      <w:r>
        <w:rPr>
          <w:rFonts w:ascii="Calibri" w:hAnsi="Calibri"/>
          <w:sz w:val="22"/>
          <w:vertAlign w:val="superscript"/>
        </w:rPr>
        <w:t>2</w:t>
      </w:r>
      <w:r>
        <w:rPr>
          <w:rFonts w:ascii="Calibri" w:hAnsi="Calibri"/>
          <w:sz w:val="22"/>
        </w:rPr>
        <w:t>;” zastępuje się wyrażeniem „...gdzie rozbudowana powierzchnia użytkowa przekracza 50 m</w:t>
      </w:r>
      <w:r>
        <w:rPr>
          <w:rFonts w:ascii="Calibri" w:hAnsi="Calibri"/>
          <w:sz w:val="22"/>
          <w:vertAlign w:val="superscript"/>
        </w:rPr>
        <w:t>2</w:t>
      </w:r>
      <w:r>
        <w:rPr>
          <w:rFonts w:ascii="Calibri" w:hAnsi="Calibri"/>
          <w:sz w:val="22"/>
        </w:rPr>
        <w:t>;”.</w:t>
      </w:r>
    </w:p>
    <w:p w14:paraId="1BE79A25" w14:textId="77777777" w:rsidR="000760AB" w:rsidRPr="000760AB" w:rsidRDefault="000760AB" w:rsidP="000760AB">
      <w:pPr>
        <w:numPr>
          <w:ilvl w:val="0"/>
          <w:numId w:val="17"/>
        </w:numPr>
        <w:spacing w:before="200" w:after="100" w:line="259" w:lineRule="auto"/>
        <w:ind w:left="284" w:firstLine="0"/>
        <w:jc w:val="both"/>
        <w:rPr>
          <w:rFonts w:ascii="Calibri" w:eastAsia="Arial" w:hAnsi="Calibri" w:cs="Calibri"/>
          <w:kern w:val="2"/>
          <w:sz w:val="22"/>
          <w:szCs w:val="22"/>
        </w:rPr>
      </w:pPr>
      <w:r>
        <w:rPr>
          <w:rFonts w:ascii="Calibri" w:hAnsi="Calibri"/>
          <w:sz w:val="22"/>
        </w:rPr>
        <w:t>W sekcji HE 0, pkt 3 Określenie ilościowe wymogu, ppkt 3.1 Zużycie energii pierwotnej nieodnawialnej</w:t>
      </w:r>
      <w:bookmarkStart w:id="1" w:name="_Hlk96944651"/>
      <w:r>
        <w:rPr>
          <w:rFonts w:ascii="Calibri" w:hAnsi="Calibri"/>
          <w:sz w:val="22"/>
        </w:rPr>
        <w:t>,</w:t>
      </w:r>
      <w:bookmarkEnd w:id="1"/>
      <w:r>
        <w:rPr>
          <w:rFonts w:ascii="Calibri" w:hAnsi="Calibri"/>
          <w:sz w:val="22"/>
        </w:rPr>
        <w:t xml:space="preserve"> , ust. 1, </w:t>
      </w:r>
      <w:bookmarkStart w:id="2" w:name="_Hlk96943118"/>
      <w:r>
        <w:rPr>
          <w:rFonts w:ascii="Calibri" w:hAnsi="Calibri"/>
          <w:sz w:val="22"/>
        </w:rPr>
        <w:t>wyrażenie „Cep, nren” zastępuje się wyrażeniem „C</w:t>
      </w:r>
      <w:r>
        <w:rPr>
          <w:rFonts w:ascii="Calibri" w:hAnsi="Calibri"/>
          <w:sz w:val="22"/>
          <w:vertAlign w:val="subscript"/>
        </w:rPr>
        <w:t>ep,nren</w:t>
      </w:r>
      <w:r>
        <w:rPr>
          <w:rFonts w:ascii="Calibri" w:hAnsi="Calibri"/>
          <w:sz w:val="22"/>
        </w:rPr>
        <w:t>”, a wyrażenie „Cep,nren,lim” zastępuje się wyrażeniem „C</w:t>
      </w:r>
      <w:r>
        <w:rPr>
          <w:rFonts w:ascii="Calibri" w:hAnsi="Calibri"/>
          <w:sz w:val="22"/>
          <w:vertAlign w:val="subscript"/>
        </w:rPr>
        <w:t>ep,nren,lim</w:t>
      </w:r>
      <w:r>
        <w:rPr>
          <w:rFonts w:ascii="Calibri" w:hAnsi="Calibri"/>
          <w:sz w:val="22"/>
        </w:rPr>
        <w:t>”.</w:t>
      </w:r>
      <w:bookmarkEnd w:id="2"/>
    </w:p>
    <w:p w14:paraId="1F114D51" w14:textId="77777777" w:rsidR="000760AB" w:rsidRPr="000760AB" w:rsidRDefault="000760AB" w:rsidP="000760AB">
      <w:pPr>
        <w:numPr>
          <w:ilvl w:val="0"/>
          <w:numId w:val="17"/>
        </w:numPr>
        <w:spacing w:before="200" w:after="100" w:line="259" w:lineRule="auto"/>
        <w:ind w:left="284" w:firstLine="0"/>
        <w:jc w:val="both"/>
        <w:rPr>
          <w:rFonts w:ascii="Calibri" w:eastAsia="Arial" w:hAnsi="Calibri" w:cs="Calibri"/>
          <w:kern w:val="2"/>
          <w:sz w:val="22"/>
          <w:szCs w:val="22"/>
        </w:rPr>
      </w:pPr>
      <w:r>
        <w:rPr>
          <w:rFonts w:ascii="Calibri" w:hAnsi="Calibri"/>
          <w:sz w:val="22"/>
        </w:rPr>
        <w:t>W sekcji HE 0, pkt 3 Kwalifikacja wymogu, ppkt 3.1 Zużycie energii pierwotnej nieodnawialnej, ust. 2, wyrażenie „Cep,nren,lim” zastępuje się wyrażeniem „C</w:t>
      </w:r>
      <w:r>
        <w:rPr>
          <w:rFonts w:ascii="Calibri" w:hAnsi="Calibri"/>
          <w:sz w:val="22"/>
          <w:vertAlign w:val="subscript"/>
        </w:rPr>
        <w:t>ep,nren,lim</w:t>
      </w:r>
      <w:r>
        <w:rPr>
          <w:rFonts w:ascii="Calibri" w:hAnsi="Calibri"/>
          <w:sz w:val="22"/>
        </w:rPr>
        <w:t>”.</w:t>
      </w:r>
    </w:p>
    <w:p w14:paraId="75CFE807" w14:textId="616002F6" w:rsidR="000760AB" w:rsidRPr="000760AB" w:rsidRDefault="000760AB" w:rsidP="000760AB">
      <w:pPr>
        <w:numPr>
          <w:ilvl w:val="0"/>
          <w:numId w:val="17"/>
        </w:numPr>
        <w:spacing w:before="200" w:after="100" w:line="259" w:lineRule="auto"/>
        <w:ind w:left="284" w:firstLine="0"/>
        <w:jc w:val="both"/>
        <w:rPr>
          <w:rFonts w:ascii="Calibri" w:eastAsia="Arial" w:hAnsi="Calibri" w:cs="Calibri"/>
          <w:kern w:val="2"/>
          <w:sz w:val="22"/>
          <w:szCs w:val="22"/>
        </w:rPr>
      </w:pPr>
      <w:r>
        <w:rPr>
          <w:rFonts w:ascii="Calibri" w:hAnsi="Calibri"/>
          <w:sz w:val="22"/>
        </w:rPr>
        <w:t>W sekcji HE 0, pkt 3 Określenie ilościowe wymogu, ppkt 3.2. Całkowite zużycie energii pierwotnej, ust. 1, wyrażenie „Cep,tot” zastępuje się wyrażeniem „C</w:t>
      </w:r>
      <w:r>
        <w:rPr>
          <w:rFonts w:ascii="Calibri" w:hAnsi="Calibri"/>
          <w:sz w:val="22"/>
          <w:vertAlign w:val="subscript"/>
        </w:rPr>
        <w:t>ep,tot;</w:t>
      </w:r>
      <w:r>
        <w:rPr>
          <w:rFonts w:ascii="Calibri" w:hAnsi="Calibri"/>
          <w:sz w:val="22"/>
        </w:rPr>
        <w:t>”.</w:t>
      </w:r>
    </w:p>
    <w:p w14:paraId="440538F2" w14:textId="77777777" w:rsidR="000760AB" w:rsidRPr="000760AB" w:rsidRDefault="000760AB" w:rsidP="000760AB">
      <w:pPr>
        <w:numPr>
          <w:ilvl w:val="0"/>
          <w:numId w:val="17"/>
        </w:numPr>
        <w:spacing w:before="200" w:after="100" w:line="259" w:lineRule="auto"/>
        <w:ind w:left="284" w:firstLine="0"/>
        <w:jc w:val="both"/>
        <w:rPr>
          <w:rFonts w:ascii="Calibri" w:eastAsia="Arial" w:hAnsi="Calibri" w:cs="Calibri"/>
          <w:kern w:val="2"/>
          <w:sz w:val="22"/>
          <w:szCs w:val="22"/>
        </w:rPr>
      </w:pPr>
      <w:r>
        <w:rPr>
          <w:rFonts w:ascii="Calibri" w:hAnsi="Calibri"/>
          <w:sz w:val="22"/>
        </w:rPr>
        <w:t>W sekcji HE 0, pkt 3 Określenie ilościowe wymogu, ppkt 3.2 Całkowite zużycie energii pierwotnej, ust. 2, wyrażenie „Cep,tot,lim” zastępuje się wyrażeniem „C</w:t>
      </w:r>
      <w:r>
        <w:rPr>
          <w:rFonts w:ascii="Calibri" w:hAnsi="Calibri"/>
          <w:sz w:val="22"/>
          <w:vertAlign w:val="subscript"/>
        </w:rPr>
        <w:t>ep,tot,lim</w:t>
      </w:r>
      <w:r>
        <w:rPr>
          <w:rFonts w:ascii="Calibri" w:hAnsi="Calibri"/>
          <w:sz w:val="22"/>
        </w:rPr>
        <w:t>”.</w:t>
      </w:r>
    </w:p>
    <w:p w14:paraId="1766850B" w14:textId="77777777" w:rsidR="000760AB" w:rsidRPr="000760AB" w:rsidRDefault="000760AB" w:rsidP="000760AB">
      <w:pPr>
        <w:numPr>
          <w:ilvl w:val="0"/>
          <w:numId w:val="17"/>
        </w:numPr>
        <w:spacing w:before="200" w:after="100" w:line="259" w:lineRule="auto"/>
        <w:ind w:left="284" w:firstLine="0"/>
        <w:jc w:val="both"/>
        <w:rPr>
          <w:rFonts w:ascii="Calibri" w:eastAsia="Arial" w:hAnsi="Calibri" w:cs="Calibri"/>
          <w:kern w:val="2"/>
          <w:sz w:val="22"/>
          <w:szCs w:val="22"/>
        </w:rPr>
      </w:pPr>
      <w:r>
        <w:rPr>
          <w:rFonts w:ascii="Calibri" w:hAnsi="Calibri"/>
          <w:sz w:val="22"/>
        </w:rPr>
        <w:t>W sekcji HE 0, pkt 3 Określenie ilościowe wymogu, termin „</w:t>
      </w:r>
      <w:r>
        <w:rPr>
          <w:rFonts w:ascii="Calibri" w:hAnsi="Calibri"/>
          <w:i/>
          <w:sz w:val="22"/>
        </w:rPr>
        <w:t>prywatne użytkowanie mieszkaniowe”</w:t>
      </w:r>
      <w:r>
        <w:rPr>
          <w:rFonts w:ascii="Calibri" w:hAnsi="Calibri"/>
          <w:sz w:val="22"/>
        </w:rPr>
        <w:t xml:space="preserve"> powinien być kursywą.</w:t>
      </w:r>
    </w:p>
    <w:p w14:paraId="530AA467" w14:textId="77777777" w:rsidR="000760AB" w:rsidRPr="000760AB" w:rsidRDefault="000760AB" w:rsidP="000760AB">
      <w:pPr>
        <w:numPr>
          <w:ilvl w:val="0"/>
          <w:numId w:val="17"/>
        </w:numPr>
        <w:spacing w:before="200" w:after="100" w:line="259" w:lineRule="auto"/>
        <w:ind w:left="284" w:firstLine="0"/>
        <w:jc w:val="both"/>
        <w:rPr>
          <w:rFonts w:ascii="Calibri" w:eastAsia="Arial" w:hAnsi="Calibri" w:cs="Calibri"/>
          <w:kern w:val="2"/>
          <w:sz w:val="22"/>
          <w:szCs w:val="22"/>
        </w:rPr>
      </w:pPr>
      <w:r>
        <w:rPr>
          <w:rFonts w:ascii="Calibri" w:hAnsi="Calibri"/>
          <w:sz w:val="22"/>
        </w:rPr>
        <w:t>W sekcji HE 0, w ppkt 4.1 „Procedura obliczania”, w ust. 9 słowa „Uznany dokument” zastępuje się słowami „Uznany dokument certyfikacji energetycznej budynków”.</w:t>
      </w:r>
    </w:p>
    <w:p w14:paraId="5A51E01A" w14:textId="77777777" w:rsidR="000760AB" w:rsidRPr="000760AB" w:rsidRDefault="000760AB" w:rsidP="000760AB">
      <w:pPr>
        <w:numPr>
          <w:ilvl w:val="0"/>
          <w:numId w:val="17"/>
        </w:numPr>
        <w:spacing w:after="160" w:line="259" w:lineRule="auto"/>
        <w:ind w:left="284" w:hanging="11"/>
        <w:jc w:val="both"/>
        <w:rPr>
          <w:rFonts w:ascii="Calibri" w:eastAsia="Calibri" w:hAnsi="Calibri" w:cs="Calibri"/>
          <w:sz w:val="22"/>
          <w:szCs w:val="22"/>
        </w:rPr>
      </w:pPr>
      <w:r>
        <w:rPr>
          <w:rFonts w:ascii="Calibri" w:hAnsi="Calibri"/>
          <w:sz w:val="22"/>
        </w:rPr>
        <w:t>W sekcji HE 0 w ppkt 4.1 „Procedura obliczania” ust. 9 otrzymuje oznaczenie ust. 11 i dodaje się ustępy w brzmieniu:</w:t>
      </w:r>
    </w:p>
    <w:p w14:paraId="120F39BD" w14:textId="77777777" w:rsidR="000760AB" w:rsidRPr="000760AB" w:rsidRDefault="000760AB" w:rsidP="000760AB">
      <w:pPr>
        <w:spacing w:after="160" w:line="259" w:lineRule="auto"/>
        <w:ind w:left="284"/>
        <w:contextualSpacing/>
        <w:jc w:val="both"/>
        <w:rPr>
          <w:rFonts w:ascii="Calibri" w:eastAsia="Calibri" w:hAnsi="Calibri" w:cs="Calibri"/>
          <w:sz w:val="22"/>
          <w:szCs w:val="22"/>
        </w:rPr>
      </w:pPr>
      <w:r>
        <w:rPr>
          <w:rFonts w:ascii="Calibri" w:hAnsi="Calibri"/>
          <w:sz w:val="22"/>
        </w:rPr>
        <w:t>„9</w:t>
      </w:r>
      <w:r>
        <w:rPr>
          <w:rFonts w:ascii="Calibri" w:hAnsi="Calibri"/>
          <w:sz w:val="22"/>
        </w:rPr>
        <w:tab/>
        <w:t xml:space="preserve">Obliczenia bilansu energetycznego wymaganego do weryfikacji wymagań niniejszego BD przeprowadza się zgodnie z normą UNE-EN ISO 52000-1:2019: </w:t>
      </w:r>
      <w:r>
        <w:rPr>
          <w:rFonts w:ascii="Calibri" w:hAnsi="Calibri"/>
          <w:i/>
          <w:sz w:val="22"/>
        </w:rPr>
        <w:t>Ogólna ocena charakterystyki energetycznej budynków. Część 1: ogólne ramy i procedury</w:t>
      </w:r>
      <w:r>
        <w:rPr>
          <w:rFonts w:ascii="Calibri" w:hAnsi="Calibri"/>
          <w:sz w:val="22"/>
        </w:rPr>
        <w:t>, z zastosowaniem współczynnika eksportu K</w:t>
      </w:r>
      <w:r>
        <w:rPr>
          <w:rFonts w:ascii="Calibri" w:hAnsi="Calibri"/>
          <w:sz w:val="22"/>
          <w:vertAlign w:val="subscript"/>
        </w:rPr>
        <w:t>exp</w:t>
      </w:r>
      <w:r>
        <w:rPr>
          <w:rFonts w:ascii="Calibri" w:hAnsi="Calibri"/>
          <w:sz w:val="22"/>
        </w:rPr>
        <w:t xml:space="preserve"> = 0.”</w:t>
      </w:r>
    </w:p>
    <w:p w14:paraId="6D26B789" w14:textId="3B1081FB"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lastRenderedPageBreak/>
        <w:t>„10</w:t>
      </w:r>
      <w:r>
        <w:rPr>
          <w:rFonts w:ascii="Calibri" w:hAnsi="Calibri"/>
          <w:sz w:val="22"/>
        </w:rPr>
        <w:tab/>
        <w:t>Do celów przydzielania różnych usług, dystrybucja energii elektrycznej wytwarzanej na miejscu, w każdym przedziale czasowym, jest obliczana proporcjonalnie do zużycia energii elektrycznej przez dane źródło poboru energii (ogrzewanie, chłodzenie, wentylacja, ciepła woda użytkowa i dodatkowo, w wykorzystaniu usługowym, oświetlenie)”.</w:t>
      </w:r>
    </w:p>
    <w:p w14:paraId="015C0599" w14:textId="77777777" w:rsidR="000760AB" w:rsidRPr="000760AB" w:rsidRDefault="000760AB" w:rsidP="000760AB">
      <w:pPr>
        <w:numPr>
          <w:ilvl w:val="0"/>
          <w:numId w:val="17"/>
        </w:numPr>
        <w:spacing w:before="200" w:after="100" w:line="259" w:lineRule="auto"/>
        <w:ind w:left="284" w:firstLine="0"/>
        <w:jc w:val="both"/>
        <w:rPr>
          <w:rFonts w:ascii="Calibri" w:eastAsia="Arial" w:hAnsi="Calibri" w:cs="Calibri"/>
          <w:kern w:val="2"/>
          <w:sz w:val="22"/>
          <w:szCs w:val="22"/>
        </w:rPr>
      </w:pPr>
      <w:r>
        <w:rPr>
          <w:rFonts w:ascii="Calibri" w:hAnsi="Calibri"/>
          <w:sz w:val="22"/>
        </w:rPr>
        <w:t>W sekcji HE 0, ppkt 4.3 Wewnętrzne zapotrzebowanie i warunki eksploatacji, ust. 2, wyrażenie „</w:t>
      </w:r>
      <w:r>
        <w:rPr>
          <w:rFonts w:ascii="Calibri" w:hAnsi="Calibri"/>
          <w:i/>
          <w:sz w:val="22"/>
        </w:rPr>
        <w:t>prywatne użytkowanie mieszkalne</w:t>
      </w:r>
      <w:r>
        <w:rPr>
          <w:rFonts w:ascii="Calibri" w:hAnsi="Calibri"/>
          <w:sz w:val="22"/>
        </w:rPr>
        <w:t>” powinno być pisane kursywą.</w:t>
      </w:r>
    </w:p>
    <w:p w14:paraId="424F77C1" w14:textId="77777777" w:rsidR="000760AB" w:rsidRPr="000760AB" w:rsidRDefault="000760AB" w:rsidP="000760AB">
      <w:pPr>
        <w:spacing w:before="200" w:after="100"/>
        <w:ind w:left="284"/>
        <w:jc w:val="both"/>
        <w:rPr>
          <w:rFonts w:ascii="Calibri" w:eastAsia="Arial" w:hAnsi="Calibri" w:cs="Calibri"/>
          <w:kern w:val="2"/>
          <w:sz w:val="22"/>
          <w:szCs w:val="22"/>
        </w:rPr>
      </w:pPr>
      <w:r>
        <w:rPr>
          <w:rFonts w:ascii="Calibri" w:hAnsi="Calibri"/>
          <w:sz w:val="22"/>
        </w:rPr>
        <w:t>ñ) W sekcji HE 0, ppkt 4.5 Systemy referencyjne w prywatnym użytkowaniu mieszkalnym, wyrażenie „</w:t>
      </w:r>
      <w:r>
        <w:rPr>
          <w:rFonts w:ascii="Calibri" w:hAnsi="Calibri"/>
          <w:i/>
          <w:sz w:val="22"/>
        </w:rPr>
        <w:t>prywatne użytkowanie mieszkalne</w:t>
      </w:r>
      <w:r>
        <w:rPr>
          <w:rFonts w:ascii="Calibri" w:hAnsi="Calibri"/>
          <w:sz w:val="22"/>
        </w:rPr>
        <w:t>” powinno być pisane kursywą zarówno w tytule, jak i w ust. 1.</w:t>
      </w:r>
    </w:p>
    <w:p w14:paraId="7DB1F14A" w14:textId="77777777" w:rsidR="000760AB" w:rsidRPr="000760AB" w:rsidRDefault="000760AB" w:rsidP="000760AB">
      <w:pPr>
        <w:numPr>
          <w:ilvl w:val="0"/>
          <w:numId w:val="17"/>
        </w:numPr>
        <w:spacing w:after="160" w:line="259" w:lineRule="auto"/>
        <w:ind w:left="284" w:firstLine="0"/>
        <w:jc w:val="both"/>
        <w:rPr>
          <w:rFonts w:ascii="Calibri" w:eastAsia="Arial" w:hAnsi="Calibri" w:cs="Calibri"/>
          <w:kern w:val="2"/>
          <w:sz w:val="22"/>
          <w:szCs w:val="22"/>
        </w:rPr>
      </w:pPr>
      <w:r>
        <w:rPr>
          <w:rFonts w:ascii="Calibri" w:hAnsi="Calibri"/>
          <w:sz w:val="22"/>
        </w:rPr>
        <w:t xml:space="preserve">W sekcji HE 1, pkt 3 Określenie ilościowe wymogu, ppkt 3.1.1. Przepuszczalność </w:t>
      </w:r>
      <w:r>
        <w:rPr>
          <w:rFonts w:ascii="Calibri" w:hAnsi="Calibri"/>
          <w:i/>
          <w:sz w:val="22"/>
        </w:rPr>
        <w:t>przegrody termicznej</w:t>
      </w:r>
      <w:r>
        <w:rPr>
          <w:rFonts w:ascii="Calibri" w:hAnsi="Calibri"/>
          <w:sz w:val="22"/>
        </w:rPr>
        <w:t>, wyrażenie „zwartość” w tabelach 3.1.1.b-HE1 i w tabelach 3.1.1.c-HE1 powinno być pisane kursywą.</w:t>
      </w:r>
    </w:p>
    <w:p w14:paraId="2E82A8CF" w14:textId="77777777" w:rsidR="000760AB" w:rsidRPr="000760AB" w:rsidRDefault="000760AB" w:rsidP="000760AB">
      <w:pPr>
        <w:numPr>
          <w:ilvl w:val="0"/>
          <w:numId w:val="17"/>
        </w:numPr>
        <w:spacing w:after="160" w:line="259" w:lineRule="auto"/>
        <w:ind w:left="284" w:firstLine="0"/>
        <w:jc w:val="both"/>
        <w:rPr>
          <w:rFonts w:ascii="Calibri" w:eastAsia="Arial" w:hAnsi="Calibri" w:cs="Calibri"/>
          <w:kern w:val="2"/>
          <w:sz w:val="22"/>
          <w:szCs w:val="22"/>
        </w:rPr>
      </w:pPr>
      <w:r>
        <w:rPr>
          <w:rFonts w:ascii="Calibri" w:hAnsi="Calibri"/>
          <w:sz w:val="22"/>
        </w:rPr>
        <w:t xml:space="preserve">W sekcji HE 1, pkt 3 Określenie ilościowe wymogu, ppkt 3.1.1. Przepuszczalność </w:t>
      </w:r>
      <w:r>
        <w:rPr>
          <w:rFonts w:ascii="Calibri" w:hAnsi="Calibri"/>
          <w:i/>
          <w:sz w:val="22"/>
        </w:rPr>
        <w:t>przegrody termicznej</w:t>
      </w:r>
      <w:r>
        <w:rPr>
          <w:rFonts w:ascii="Calibri" w:hAnsi="Calibri"/>
          <w:sz w:val="22"/>
        </w:rPr>
        <w:t>, wyrażenie „zwartość” w przypisach tabeli 3.1.1.b-HE1 i tabelach 3.1.1.c-HE1 oraz wyrażenie „zwartość” w przypisach tabeli 3.1.1.c-HE1 powinny być pisane kursywą.</w:t>
      </w:r>
    </w:p>
    <w:p w14:paraId="6592C9AA" w14:textId="77777777" w:rsidR="000760AB" w:rsidRPr="000760AB" w:rsidRDefault="000760AB" w:rsidP="000760AB">
      <w:pPr>
        <w:numPr>
          <w:ilvl w:val="0"/>
          <w:numId w:val="17"/>
        </w:numPr>
        <w:spacing w:after="160" w:line="259" w:lineRule="auto"/>
        <w:ind w:left="284" w:firstLine="0"/>
        <w:jc w:val="both"/>
        <w:rPr>
          <w:rFonts w:ascii="Calibri" w:eastAsia="Arial" w:hAnsi="Calibri" w:cs="Calibri"/>
          <w:kern w:val="2"/>
          <w:sz w:val="22"/>
          <w:szCs w:val="22"/>
        </w:rPr>
      </w:pPr>
      <w:r>
        <w:rPr>
          <w:rFonts w:ascii="Calibri" w:hAnsi="Calibri"/>
          <w:sz w:val="22"/>
        </w:rPr>
        <w:t xml:space="preserve">W sekcji HE 1, pkt 3 Określenie ilościowe wymogu, ppkt 3.1.1. Przepuszczalność </w:t>
      </w:r>
      <w:r>
        <w:rPr>
          <w:rFonts w:ascii="Calibri" w:hAnsi="Calibri"/>
          <w:i/>
          <w:sz w:val="22"/>
        </w:rPr>
        <w:t>przegrody termicznej</w:t>
      </w:r>
      <w:r>
        <w:rPr>
          <w:rFonts w:ascii="Calibri" w:hAnsi="Calibri"/>
          <w:sz w:val="22"/>
        </w:rPr>
        <w:t>, pkt 3, wyrażenie „</w:t>
      </w:r>
      <w:r>
        <w:rPr>
          <w:rFonts w:ascii="Calibri" w:hAnsi="Calibri"/>
          <w:i/>
          <w:sz w:val="22"/>
        </w:rPr>
        <w:t>prywatne użytkowanie mieszkalne</w:t>
      </w:r>
      <w:r>
        <w:rPr>
          <w:rFonts w:ascii="Calibri" w:hAnsi="Calibri"/>
          <w:sz w:val="22"/>
        </w:rPr>
        <w:t>” powinno być pisane kursywą zarówno w ust. 3, jak i w tabeli 3.1.1.b-HE1.</w:t>
      </w:r>
    </w:p>
    <w:p w14:paraId="4B4F6F00" w14:textId="77777777" w:rsidR="000760AB" w:rsidRPr="000760AB" w:rsidRDefault="000760AB" w:rsidP="000760AB">
      <w:pPr>
        <w:numPr>
          <w:ilvl w:val="0"/>
          <w:numId w:val="17"/>
        </w:numPr>
        <w:spacing w:after="160" w:line="259" w:lineRule="auto"/>
        <w:ind w:left="284" w:firstLine="0"/>
        <w:jc w:val="both"/>
        <w:rPr>
          <w:rFonts w:ascii="Calibri" w:eastAsia="Arial" w:hAnsi="Calibri" w:cs="Calibri"/>
          <w:kern w:val="2"/>
          <w:sz w:val="22"/>
          <w:szCs w:val="22"/>
        </w:rPr>
      </w:pPr>
      <w:r>
        <w:rPr>
          <w:rFonts w:ascii="Calibri" w:hAnsi="Calibri"/>
          <w:sz w:val="22"/>
        </w:rPr>
        <w:t xml:space="preserve">W sekcji HE 1, pkt 3 Określenie ilościowe wymogu, ppkt 3.1.1. Przepuszczalność </w:t>
      </w:r>
      <w:r>
        <w:rPr>
          <w:rFonts w:ascii="Calibri" w:hAnsi="Calibri"/>
          <w:i/>
          <w:sz w:val="22"/>
        </w:rPr>
        <w:t>przegrody termicznej</w:t>
      </w:r>
      <w:r>
        <w:rPr>
          <w:rFonts w:ascii="Calibri" w:hAnsi="Calibri"/>
          <w:sz w:val="22"/>
        </w:rPr>
        <w:t>, wyrażenie „zwartość” w tabelach 3.1.1.b-HE1 i w tabelach 3.1.1.c-HE1 powinno być pisane kursywą.</w:t>
      </w:r>
    </w:p>
    <w:p w14:paraId="41623096" w14:textId="77777777" w:rsidR="000760AB" w:rsidRPr="000760AB" w:rsidRDefault="000760AB" w:rsidP="000760AB">
      <w:pPr>
        <w:numPr>
          <w:ilvl w:val="0"/>
          <w:numId w:val="17"/>
        </w:numPr>
        <w:spacing w:after="160" w:line="259" w:lineRule="auto"/>
        <w:ind w:left="284" w:firstLine="0"/>
        <w:jc w:val="both"/>
        <w:rPr>
          <w:rFonts w:ascii="Calibri" w:eastAsia="Calibri" w:hAnsi="Calibri" w:cs="Calibri"/>
          <w:sz w:val="22"/>
          <w:szCs w:val="22"/>
        </w:rPr>
      </w:pPr>
      <w:r>
        <w:rPr>
          <w:rFonts w:ascii="Calibri" w:hAnsi="Calibri"/>
          <w:sz w:val="22"/>
        </w:rPr>
        <w:t>W sekcji HE 1 pkt 3 Określenie ilościowe wymogu w ppkt 3.1.1 „</w:t>
      </w:r>
      <w:r>
        <w:rPr>
          <w:rFonts w:ascii="Calibri" w:hAnsi="Calibri"/>
          <w:i/>
          <w:sz w:val="22"/>
        </w:rPr>
        <w:t>Przepuszczalność przegrody termicznej</w:t>
      </w:r>
      <w:r>
        <w:rPr>
          <w:rFonts w:ascii="Calibri" w:hAnsi="Calibri"/>
          <w:sz w:val="22"/>
        </w:rPr>
        <w:t>” dodaje się ustęp w brzmieniu:</w:t>
      </w:r>
    </w:p>
    <w:p w14:paraId="6EEEBF4F"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„6 Alternatywnie, budynki lub, w przypadku częściowych interwencji w istniejących budynkach, części budynków, w których przeprowadzane są interwencje, których zapotrzebowanie na ogrzewanie i chłodzenie jest w obu przypadkach mniejsze niż 15 kWh/m</w:t>
      </w:r>
      <w:r>
        <w:rPr>
          <w:rFonts w:ascii="Calibri" w:hAnsi="Calibri"/>
          <w:sz w:val="22"/>
          <w:vertAlign w:val="superscript"/>
        </w:rPr>
        <w:t>2</w:t>
      </w:r>
      <w:r>
        <w:rPr>
          <w:rFonts w:ascii="Calibri" w:hAnsi="Calibri"/>
          <w:sz w:val="22"/>
        </w:rPr>
        <w:t xml:space="preserve">, mogą być wyłączone z wymogu zgodności ze </w:t>
      </w:r>
      <w:r>
        <w:rPr>
          <w:rFonts w:ascii="Calibri" w:hAnsi="Calibri"/>
          <w:i/>
          <w:sz w:val="22"/>
        </w:rPr>
        <w:t>współczynnikiem globalnym przenikania ciepła przez przegrodę termiczną</w:t>
      </w:r>
      <w:r>
        <w:rPr>
          <w:rFonts w:ascii="Calibri" w:hAnsi="Calibri"/>
          <w:sz w:val="22"/>
        </w:rPr>
        <w:t xml:space="preserve"> (K).”</w:t>
      </w:r>
    </w:p>
    <w:p w14:paraId="582E2B37" w14:textId="77777777" w:rsidR="000760AB" w:rsidRPr="000760AB" w:rsidRDefault="000760AB" w:rsidP="000760AB">
      <w:pPr>
        <w:numPr>
          <w:ilvl w:val="0"/>
          <w:numId w:val="17"/>
        </w:numPr>
        <w:spacing w:after="160" w:line="259" w:lineRule="auto"/>
        <w:ind w:left="284" w:firstLine="0"/>
        <w:jc w:val="both"/>
        <w:rPr>
          <w:rFonts w:ascii="Calibri" w:eastAsia="Arial" w:hAnsi="Calibri" w:cs="Calibri"/>
          <w:kern w:val="2"/>
          <w:sz w:val="22"/>
          <w:szCs w:val="22"/>
        </w:rPr>
      </w:pPr>
      <w:r>
        <w:rPr>
          <w:rFonts w:ascii="Calibri" w:hAnsi="Calibri"/>
          <w:sz w:val="22"/>
        </w:rPr>
        <w:t>W sekcji HE 1, pkt 3 Określenie ilościowe wymogu, ppkt 3.1.2 Kontrola słoneczna przegrody termicznej, wyrażenie: „Tabela 3.1.2-HE1 Wartość graniczna parametru kontroli słonecznej qsol; jul,lim [Kwh/m</w:t>
      </w:r>
      <w:r>
        <w:rPr>
          <w:rFonts w:ascii="Calibri" w:hAnsi="Calibri"/>
          <w:sz w:val="22"/>
          <w:vertAlign w:val="superscript"/>
        </w:rPr>
        <w:t>2</w:t>
      </w:r>
      <w:r>
        <w:rPr>
          <w:rFonts w:ascii="Calibri" w:hAnsi="Calibri"/>
          <w:sz w:val="22"/>
        </w:rPr>
        <w:t>·mes]” zastępuje się wyrażeniem. „Tabela 3.1.2-HE1 Wartość graniczna parametru kontroli słonecznej q</w:t>
      </w:r>
      <w:r>
        <w:rPr>
          <w:rFonts w:ascii="Calibri" w:hAnsi="Calibri"/>
          <w:sz w:val="22"/>
          <w:vertAlign w:val="subscript"/>
        </w:rPr>
        <w:t>sol;jul,lim</w:t>
      </w:r>
      <w:r>
        <w:rPr>
          <w:rFonts w:ascii="Calibri" w:hAnsi="Calibri"/>
          <w:sz w:val="22"/>
        </w:rPr>
        <w:t xml:space="preserve"> [kWh/m</w:t>
      </w:r>
      <w:r>
        <w:rPr>
          <w:rFonts w:ascii="Calibri" w:hAnsi="Calibri"/>
          <w:sz w:val="22"/>
          <w:vertAlign w:val="superscript"/>
        </w:rPr>
        <w:t>2</w:t>
      </w:r>
      <w:r>
        <w:rPr>
          <w:rFonts w:ascii="Calibri" w:hAnsi="Calibri"/>
          <w:sz w:val="22"/>
        </w:rPr>
        <w:t>·mes]”.</w:t>
      </w:r>
    </w:p>
    <w:p w14:paraId="7E3CBE02" w14:textId="77777777" w:rsidR="000760AB" w:rsidRPr="000760AB" w:rsidRDefault="000760AB" w:rsidP="000760AB">
      <w:pPr>
        <w:numPr>
          <w:ilvl w:val="0"/>
          <w:numId w:val="17"/>
        </w:numPr>
        <w:spacing w:after="160" w:line="259" w:lineRule="auto"/>
        <w:ind w:left="284" w:firstLine="0"/>
        <w:jc w:val="both"/>
        <w:rPr>
          <w:rFonts w:ascii="Calibri" w:eastAsia="Arial" w:hAnsi="Calibri" w:cs="Calibri"/>
          <w:kern w:val="2"/>
          <w:sz w:val="22"/>
          <w:szCs w:val="22"/>
        </w:rPr>
      </w:pPr>
      <w:r>
        <w:rPr>
          <w:rFonts w:ascii="Calibri" w:hAnsi="Calibri"/>
          <w:sz w:val="22"/>
        </w:rPr>
        <w:t>W sekcji HE 1 pkt 3 Określenie ilościowe wymogu, ppkt 3.1.3 Przepuszczalność powietrza przez przegrodę termiczną, wyrażenie „przegroda termiczna” pisze się kursywą zarówno w tytule sekcji, jak i w tytule tabeli 3.1.3.a-HE1.</w:t>
      </w:r>
    </w:p>
    <w:p w14:paraId="7B525B8B" w14:textId="77777777" w:rsidR="000760AB" w:rsidRPr="000760AB" w:rsidRDefault="000760AB" w:rsidP="000760AB">
      <w:pPr>
        <w:numPr>
          <w:ilvl w:val="0"/>
          <w:numId w:val="17"/>
        </w:numPr>
        <w:spacing w:after="160" w:line="259" w:lineRule="auto"/>
        <w:ind w:left="284" w:firstLine="0"/>
        <w:contextualSpacing/>
        <w:jc w:val="both"/>
        <w:rPr>
          <w:rFonts w:ascii="Calibri" w:eastAsia="Calibri" w:hAnsi="Calibri" w:cs="Calibri"/>
          <w:sz w:val="22"/>
          <w:szCs w:val="22"/>
        </w:rPr>
      </w:pPr>
      <w:r>
        <w:rPr>
          <w:rFonts w:ascii="Calibri" w:hAnsi="Calibri"/>
          <w:sz w:val="22"/>
        </w:rPr>
        <w:t xml:space="preserve">W sekcji HE 1 pkt 3 Określenie ilościowe wymogu, w ppkt 3.1.3 „Przepuszczalność powietrza przez </w:t>
      </w:r>
      <w:r>
        <w:rPr>
          <w:rFonts w:ascii="Calibri" w:hAnsi="Calibri"/>
          <w:i/>
          <w:sz w:val="22"/>
        </w:rPr>
        <w:t>przegrodę termiczną</w:t>
      </w:r>
      <w:r>
        <w:rPr>
          <w:rFonts w:ascii="Calibri" w:hAnsi="Calibri"/>
          <w:sz w:val="22"/>
        </w:rPr>
        <w:t>” dodaje się ustęp w brzmieniu:</w:t>
      </w:r>
    </w:p>
    <w:p w14:paraId="218ED76A" w14:textId="77777777" w:rsidR="000760AB" w:rsidRPr="000760AB" w:rsidRDefault="000760AB" w:rsidP="000760AB">
      <w:pPr>
        <w:spacing w:after="160" w:line="259" w:lineRule="auto"/>
        <w:ind w:left="284"/>
        <w:contextualSpacing/>
        <w:jc w:val="both"/>
        <w:rPr>
          <w:rFonts w:ascii="Calibri" w:eastAsia="Calibri" w:hAnsi="Calibri" w:cs="Calibri"/>
          <w:sz w:val="22"/>
          <w:szCs w:val="22"/>
          <w:lang w:eastAsia="en-US"/>
        </w:rPr>
      </w:pPr>
    </w:p>
    <w:p w14:paraId="7FEAB0FB" w14:textId="77777777" w:rsidR="000760AB" w:rsidRPr="000760AB" w:rsidRDefault="000760AB" w:rsidP="000760AB">
      <w:pPr>
        <w:spacing w:after="160" w:line="259" w:lineRule="auto"/>
        <w:ind w:left="284"/>
        <w:contextualSpacing/>
        <w:jc w:val="both"/>
        <w:rPr>
          <w:rFonts w:ascii="Calibri" w:eastAsia="Calibri" w:hAnsi="Calibri" w:cs="Calibri"/>
          <w:sz w:val="22"/>
          <w:szCs w:val="22"/>
        </w:rPr>
      </w:pPr>
      <w:r>
        <w:rPr>
          <w:rFonts w:ascii="Calibri" w:hAnsi="Calibri"/>
          <w:sz w:val="22"/>
        </w:rPr>
        <w:t xml:space="preserve">„3. W przypadku zmian, tabela 3.1.3.a-HE1 powyżej ma zastosowanie wyłącznie do tych elementów </w:t>
      </w:r>
      <w:r>
        <w:rPr>
          <w:rFonts w:ascii="Calibri" w:hAnsi="Calibri"/>
          <w:i/>
          <w:sz w:val="22"/>
        </w:rPr>
        <w:t>przegrody termicznej</w:t>
      </w:r>
      <w:r>
        <w:rPr>
          <w:rFonts w:ascii="Calibri" w:hAnsi="Calibri"/>
          <w:sz w:val="22"/>
        </w:rPr>
        <w:t>, które zostały zastąpione, włączone lub znacząco zmodyfikowane;”</w:t>
      </w:r>
    </w:p>
    <w:p w14:paraId="69948537" w14:textId="77777777" w:rsidR="000760AB" w:rsidRPr="000760AB" w:rsidRDefault="000760AB" w:rsidP="000760AB">
      <w:pPr>
        <w:spacing w:after="160" w:line="259" w:lineRule="auto"/>
        <w:ind w:left="567"/>
        <w:contextualSpacing/>
        <w:jc w:val="both"/>
        <w:rPr>
          <w:rFonts w:ascii="Calibri" w:eastAsia="Calibri" w:hAnsi="Calibri" w:cs="Calibri"/>
          <w:sz w:val="22"/>
          <w:szCs w:val="22"/>
          <w:lang w:eastAsia="en-US"/>
        </w:rPr>
      </w:pPr>
    </w:p>
    <w:p w14:paraId="01C78EE3"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 xml:space="preserve">Numery obecnych ust. 3 i 4 sekcji 3.1.3 „Przepuszczalność powietrza przez </w:t>
      </w:r>
      <w:r>
        <w:rPr>
          <w:rFonts w:ascii="Calibri" w:hAnsi="Calibri"/>
          <w:i/>
          <w:sz w:val="22"/>
        </w:rPr>
        <w:t>przegrodę termiczną</w:t>
      </w:r>
      <w:r>
        <w:rPr>
          <w:rFonts w:ascii="Calibri" w:hAnsi="Calibri"/>
          <w:sz w:val="22"/>
        </w:rPr>
        <w:t>” zastępuje się odpowiednio numerami 4 i 5.</w:t>
      </w:r>
    </w:p>
    <w:p w14:paraId="5FC15043" w14:textId="77777777" w:rsidR="000760AB" w:rsidRPr="000760AB" w:rsidRDefault="000760AB" w:rsidP="000760AB">
      <w:pPr>
        <w:numPr>
          <w:ilvl w:val="0"/>
          <w:numId w:val="17"/>
        </w:numPr>
        <w:spacing w:after="160" w:line="259" w:lineRule="auto"/>
        <w:ind w:left="284" w:firstLine="0"/>
        <w:jc w:val="both"/>
        <w:rPr>
          <w:rFonts w:ascii="Calibri" w:eastAsia="Arial" w:hAnsi="Calibri" w:cs="Calibri"/>
          <w:kern w:val="2"/>
          <w:sz w:val="22"/>
          <w:szCs w:val="22"/>
        </w:rPr>
      </w:pPr>
      <w:r>
        <w:rPr>
          <w:rFonts w:ascii="Calibri" w:hAnsi="Calibri"/>
          <w:sz w:val="22"/>
        </w:rPr>
        <w:lastRenderedPageBreak/>
        <w:t xml:space="preserve">W sekcji HE 1, sekcja 3 Określenie ilościowe wymogu, ppkt 3.1.3 Przepuszczalność powietrza przez </w:t>
      </w:r>
      <w:r>
        <w:rPr>
          <w:rFonts w:ascii="Calibri" w:hAnsi="Calibri"/>
          <w:i/>
          <w:sz w:val="22"/>
        </w:rPr>
        <w:t>przegrodę termiczną</w:t>
      </w:r>
      <w:r>
        <w:rPr>
          <w:rFonts w:ascii="Calibri" w:hAnsi="Calibri"/>
          <w:sz w:val="22"/>
        </w:rPr>
        <w:t>, wyrażenie „zwartość” w tabeli 3.1.3.b-HE1, wyrażenie „zwartość” w tabeli w tabeli 3.1.3.b-HE1 oraz wyrażenie „prywatne użytkowanie mieszkalne” w ust. 3 powinny być pisane kursywą.</w:t>
      </w:r>
    </w:p>
    <w:p w14:paraId="16310438" w14:textId="77777777" w:rsidR="000760AB" w:rsidRPr="000760AB" w:rsidRDefault="000760AB" w:rsidP="000760AB">
      <w:pPr>
        <w:numPr>
          <w:ilvl w:val="0"/>
          <w:numId w:val="17"/>
        </w:numPr>
        <w:spacing w:after="160" w:line="259" w:lineRule="auto"/>
        <w:ind w:left="284" w:firstLine="0"/>
        <w:jc w:val="both"/>
        <w:rPr>
          <w:rFonts w:ascii="Calibri" w:eastAsia="Arial" w:hAnsi="Calibri" w:cs="Calibri"/>
          <w:kern w:val="2"/>
          <w:sz w:val="22"/>
          <w:szCs w:val="22"/>
        </w:rPr>
      </w:pPr>
      <w:r>
        <w:rPr>
          <w:rFonts w:ascii="Calibri" w:hAnsi="Calibri"/>
          <w:sz w:val="22"/>
        </w:rPr>
        <w:t xml:space="preserve">W sekcji HE 1, pkt 3 Określenie ilościowe wymogu, ppkt 3.1.3 Przepuszczalność powietrza przez </w:t>
      </w:r>
      <w:r>
        <w:rPr>
          <w:rFonts w:ascii="Calibri" w:hAnsi="Calibri"/>
          <w:i/>
          <w:sz w:val="22"/>
        </w:rPr>
        <w:t>przegrodę termiczną</w:t>
      </w:r>
      <w:r>
        <w:rPr>
          <w:rFonts w:ascii="Calibri" w:hAnsi="Calibri"/>
          <w:sz w:val="22"/>
        </w:rPr>
        <w:t>, Tabela 3.1.3.b-HE1, wyrażenie „m</w:t>
      </w:r>
      <w:r>
        <w:rPr>
          <w:rFonts w:ascii="Calibri" w:hAnsi="Calibri"/>
          <w:sz w:val="22"/>
          <w:vertAlign w:val="superscript"/>
        </w:rPr>
        <w:t>3</w:t>
      </w:r>
      <w:r>
        <w:rPr>
          <w:rFonts w:ascii="Calibri" w:hAnsi="Calibri"/>
          <w:sz w:val="22"/>
        </w:rPr>
        <w:t>/m2”, zapisuje się jako „m</w:t>
      </w:r>
      <w:r>
        <w:rPr>
          <w:rFonts w:ascii="Calibri" w:hAnsi="Calibri"/>
          <w:sz w:val="22"/>
          <w:vertAlign w:val="superscript"/>
        </w:rPr>
        <w:t>3</w:t>
      </w:r>
      <w:r>
        <w:rPr>
          <w:rFonts w:ascii="Calibri" w:hAnsi="Calibri"/>
          <w:sz w:val="22"/>
        </w:rPr>
        <w:t>/m</w:t>
      </w:r>
      <w:r>
        <w:rPr>
          <w:rFonts w:ascii="Calibri" w:hAnsi="Calibri"/>
          <w:sz w:val="22"/>
          <w:vertAlign w:val="superscript"/>
        </w:rPr>
        <w:t>2</w:t>
      </w:r>
      <w:r>
        <w:rPr>
          <w:rFonts w:ascii="Calibri" w:hAnsi="Calibri"/>
          <w:sz w:val="22"/>
        </w:rPr>
        <w:t xml:space="preserve">” z 2 jako indeksem górnym. </w:t>
      </w:r>
    </w:p>
    <w:p w14:paraId="717B95B5" w14:textId="77777777" w:rsidR="000760AB" w:rsidRPr="000760AB" w:rsidRDefault="000760AB" w:rsidP="000760AB">
      <w:pPr>
        <w:numPr>
          <w:ilvl w:val="0"/>
          <w:numId w:val="17"/>
        </w:numPr>
        <w:spacing w:after="160" w:line="259" w:lineRule="auto"/>
        <w:ind w:left="284" w:firstLine="0"/>
        <w:jc w:val="both"/>
        <w:rPr>
          <w:rFonts w:ascii="Calibri" w:eastAsia="Arial" w:hAnsi="Calibri" w:cs="Calibri"/>
          <w:kern w:val="2"/>
          <w:sz w:val="22"/>
          <w:szCs w:val="22"/>
        </w:rPr>
      </w:pPr>
      <w:r>
        <w:rPr>
          <w:rFonts w:ascii="Calibri" w:hAnsi="Calibri"/>
          <w:sz w:val="22"/>
        </w:rPr>
        <w:t>W sekcji HE 1, pkt 4 Uzasadnienie wymogu, wyrażenie „zwartość” w ppkt 4.1.b) oraz wyrażenie „prywatne użytkowanie mieszkalne” w części 4.1.g) powinny być pisane kursywą.</w:t>
      </w:r>
    </w:p>
    <w:p w14:paraId="2D2B37E4" w14:textId="77777777" w:rsidR="000760AB" w:rsidRPr="000760AB" w:rsidRDefault="000760AB" w:rsidP="000760AB">
      <w:pPr>
        <w:numPr>
          <w:ilvl w:val="0"/>
          <w:numId w:val="17"/>
        </w:numPr>
        <w:spacing w:after="160" w:line="257" w:lineRule="auto"/>
        <w:ind w:left="284" w:firstLine="0"/>
        <w:jc w:val="both"/>
        <w:rPr>
          <w:rFonts w:ascii="Calibri" w:eastAsia="Calibri" w:hAnsi="Calibri" w:cs="Calibri"/>
          <w:sz w:val="22"/>
          <w:szCs w:val="22"/>
        </w:rPr>
      </w:pPr>
      <w:r>
        <w:rPr>
          <w:rFonts w:ascii="Calibri" w:hAnsi="Calibri"/>
          <w:sz w:val="22"/>
        </w:rPr>
        <w:t>W sekcji HE 3 w tabeli 3.1-HE3 Wartość graniczna sprawności instalacji (VEE</w:t>
      </w:r>
      <w:r>
        <w:rPr>
          <w:rFonts w:ascii="Calibri" w:hAnsi="Calibri"/>
          <w:sz w:val="22"/>
          <w:vertAlign w:val="subscript"/>
        </w:rPr>
        <w:t>Ilim</w:t>
      </w:r>
      <w:r>
        <w:rPr>
          <w:rFonts w:ascii="Calibri" w:hAnsi="Calibri"/>
          <w:sz w:val="22"/>
        </w:rPr>
        <w:t>) wyrażenie „Duże i małe sklepy” zastępuje się wyrażeniem „Duże i małe sklepy</w:t>
      </w:r>
      <w:r>
        <w:rPr>
          <w:rFonts w:ascii="Calibri" w:hAnsi="Calibri"/>
          <w:sz w:val="22"/>
          <w:vertAlign w:val="superscript"/>
        </w:rPr>
        <w:t>(10)</w:t>
      </w:r>
      <w:r>
        <w:rPr>
          <w:rFonts w:ascii="Calibri" w:hAnsi="Calibri"/>
          <w:sz w:val="22"/>
        </w:rPr>
        <w:t>” i dodaje się przypis w brzmieniu:</w:t>
      </w:r>
    </w:p>
    <w:p w14:paraId="6E0BF879" w14:textId="77777777" w:rsidR="000760AB" w:rsidRPr="000760AB" w:rsidRDefault="000760AB" w:rsidP="000760AB">
      <w:pPr>
        <w:spacing w:after="160" w:line="257" w:lineRule="auto"/>
        <w:ind w:left="284"/>
        <w:jc w:val="both"/>
        <w:rPr>
          <w:rFonts w:ascii="Calibri" w:eastAsia="Arial" w:hAnsi="Calibri" w:cs="Calibri"/>
          <w:kern w:val="2"/>
          <w:sz w:val="22"/>
        </w:rPr>
      </w:pPr>
      <w:r>
        <w:rPr>
          <w:rFonts w:ascii="Calibri" w:hAnsi="Calibri"/>
          <w:sz w:val="22"/>
        </w:rPr>
        <w:t>„</w:t>
      </w:r>
      <w:r>
        <w:rPr>
          <w:rFonts w:ascii="Calibri" w:hAnsi="Calibri"/>
          <w:sz w:val="22"/>
          <w:vertAlign w:val="superscript"/>
        </w:rPr>
        <w:t>(10)</w:t>
      </w:r>
      <w:r>
        <w:rPr>
          <w:rFonts w:ascii="Calibri" w:hAnsi="Calibri"/>
          <w:sz w:val="22"/>
        </w:rPr>
        <w:t xml:space="preserve"> Termin sklep odnosi się zarówno do małych niezależnych sklepów, jak i do części przeznaczonej do użytku komercyjnego, która nie jest powszechnie używana w centrach handlowych.”</w:t>
      </w:r>
    </w:p>
    <w:p w14:paraId="5C482135" w14:textId="77777777" w:rsidR="000760AB" w:rsidRPr="000760AB" w:rsidRDefault="000760AB" w:rsidP="000760AB">
      <w:pPr>
        <w:numPr>
          <w:ilvl w:val="0"/>
          <w:numId w:val="17"/>
        </w:numPr>
        <w:spacing w:after="160" w:line="257" w:lineRule="auto"/>
        <w:ind w:left="284" w:firstLine="0"/>
        <w:contextualSpacing/>
        <w:jc w:val="both"/>
        <w:rPr>
          <w:rFonts w:ascii="Calibri" w:eastAsia="Arial" w:hAnsi="Calibri" w:cs="Calibri"/>
          <w:kern w:val="2"/>
          <w:sz w:val="22"/>
        </w:rPr>
      </w:pPr>
      <w:r>
        <w:rPr>
          <w:rFonts w:ascii="Calibri" w:hAnsi="Calibri"/>
          <w:sz w:val="22"/>
        </w:rPr>
        <w:t xml:space="preserve">W sekcji HE 3 ppkt 3.3 Systemy kontroli i regulacji, ust. 2, który brzmi „...może zostać zastąpiony jedną z następujących dwóch opcji: </w:t>
      </w:r>
    </w:p>
    <w:p w14:paraId="562ED3C8" w14:textId="77777777" w:rsidR="000760AB" w:rsidRPr="000760AB" w:rsidRDefault="000760AB" w:rsidP="000760AB">
      <w:pPr>
        <w:spacing w:after="160" w:line="257" w:lineRule="auto"/>
        <w:ind w:left="284"/>
        <w:contextualSpacing/>
        <w:jc w:val="both"/>
        <w:rPr>
          <w:rFonts w:ascii="Calibri" w:eastAsia="Arial" w:hAnsi="Calibri" w:cs="Calibri"/>
          <w:kern w:val="2"/>
          <w:sz w:val="22"/>
        </w:rPr>
      </w:pPr>
      <w:r>
        <w:rPr>
          <w:rFonts w:ascii="Calibri" w:hAnsi="Calibri"/>
          <w:sz w:val="22"/>
        </w:rPr>
        <w:t xml:space="preserve">— kontrola aktywacji i dezaktywacji za pomocą systemu wykrywania obecności w określonym czasie; lub </w:t>
      </w:r>
    </w:p>
    <w:p w14:paraId="5D7F7E37" w14:textId="77777777" w:rsidR="000760AB" w:rsidRPr="000760AB" w:rsidRDefault="000760AB" w:rsidP="000760AB">
      <w:pPr>
        <w:spacing w:line="257" w:lineRule="auto"/>
        <w:ind w:left="284"/>
        <w:contextualSpacing/>
        <w:jc w:val="both"/>
        <w:rPr>
          <w:rFonts w:ascii="Calibri" w:eastAsia="Arial" w:hAnsi="Calibri" w:cs="Calibri"/>
          <w:kern w:val="2"/>
          <w:sz w:val="22"/>
        </w:rPr>
      </w:pPr>
      <w:r>
        <w:rPr>
          <w:rFonts w:ascii="Calibri" w:hAnsi="Calibri"/>
          <w:sz w:val="22"/>
        </w:rPr>
        <w:t>— czasowy system przycisków.”</w:t>
      </w:r>
    </w:p>
    <w:p w14:paraId="7F19E6A8" w14:textId="77777777" w:rsidR="000760AB" w:rsidRPr="000760AB" w:rsidRDefault="000760AB" w:rsidP="000760AB">
      <w:pPr>
        <w:spacing w:line="257" w:lineRule="auto"/>
        <w:ind w:left="284"/>
        <w:jc w:val="both"/>
        <w:rPr>
          <w:rFonts w:ascii="Calibri" w:eastAsia="Arial" w:hAnsi="Calibri" w:cs="Calibri"/>
          <w:kern w:val="2"/>
          <w:sz w:val="22"/>
        </w:rPr>
      </w:pPr>
      <w:r>
        <w:rPr>
          <w:rFonts w:ascii="Calibri" w:hAnsi="Calibri"/>
          <w:sz w:val="22"/>
        </w:rPr>
        <w:t xml:space="preserve">powinien brzmieć „...może zostać zastąpione jedną z następujących dwóch opcji: </w:t>
      </w:r>
    </w:p>
    <w:p w14:paraId="1FB2C3B4" w14:textId="77777777" w:rsidR="000760AB" w:rsidRPr="000760AB" w:rsidRDefault="000760AB" w:rsidP="000760AB">
      <w:pPr>
        <w:spacing w:line="257" w:lineRule="auto"/>
        <w:ind w:left="284"/>
        <w:jc w:val="both"/>
        <w:rPr>
          <w:rFonts w:ascii="Calibri" w:eastAsia="Arial" w:hAnsi="Calibri" w:cs="Calibri"/>
          <w:kern w:val="2"/>
          <w:sz w:val="22"/>
        </w:rPr>
      </w:pPr>
      <w:r>
        <w:rPr>
          <w:rFonts w:ascii="Calibri" w:hAnsi="Calibri"/>
          <w:sz w:val="22"/>
        </w:rPr>
        <w:t xml:space="preserve">— kontrola aktywacji i dezaktywacji za pomocą </w:t>
      </w:r>
      <w:r>
        <w:rPr>
          <w:rFonts w:ascii="Calibri" w:hAnsi="Calibri"/>
          <w:i/>
          <w:sz w:val="22"/>
        </w:rPr>
        <w:t>systemu wykrywania obecności w czasie</w:t>
      </w:r>
      <w:r>
        <w:rPr>
          <w:rFonts w:ascii="Calibri" w:hAnsi="Calibri"/>
          <w:sz w:val="22"/>
        </w:rPr>
        <w:t xml:space="preserve">, lub </w:t>
      </w:r>
    </w:p>
    <w:p w14:paraId="280A8FDB" w14:textId="77777777" w:rsidR="000760AB" w:rsidRPr="000760AB" w:rsidRDefault="000760AB" w:rsidP="000760AB">
      <w:pPr>
        <w:spacing w:line="257" w:lineRule="auto"/>
        <w:ind w:left="284"/>
        <w:jc w:val="both"/>
        <w:rPr>
          <w:rFonts w:ascii="Calibri" w:eastAsia="Arial" w:hAnsi="Calibri" w:cs="Calibri"/>
          <w:kern w:val="2"/>
          <w:sz w:val="22"/>
        </w:rPr>
      </w:pPr>
      <w:r>
        <w:rPr>
          <w:rFonts w:ascii="Calibri" w:hAnsi="Calibri"/>
          <w:sz w:val="22"/>
        </w:rPr>
        <w:t xml:space="preserve">— </w:t>
      </w:r>
      <w:r>
        <w:rPr>
          <w:rFonts w:ascii="Calibri" w:hAnsi="Calibri"/>
          <w:i/>
          <w:sz w:val="22"/>
        </w:rPr>
        <w:t>system czasowy</w:t>
      </w:r>
      <w:r>
        <w:rPr>
          <w:rFonts w:ascii="Calibri" w:hAnsi="Calibri"/>
          <w:sz w:val="22"/>
        </w:rPr>
        <w:t xml:space="preserve"> za pomocą przycisku”.</w:t>
      </w:r>
    </w:p>
    <w:p w14:paraId="383D98A1" w14:textId="77777777" w:rsidR="000760AB" w:rsidRPr="000760AB" w:rsidRDefault="000760AB" w:rsidP="000760AB">
      <w:pPr>
        <w:spacing w:line="257" w:lineRule="auto"/>
        <w:ind w:left="284"/>
        <w:jc w:val="both"/>
        <w:rPr>
          <w:rFonts w:ascii="Calibri" w:eastAsia="Arial" w:hAnsi="Calibri" w:cs="Calibri"/>
          <w:kern w:val="2"/>
          <w:sz w:val="22"/>
          <w:lang w:eastAsia="zh-CN" w:bidi="hi-IN"/>
        </w:rPr>
      </w:pPr>
    </w:p>
    <w:p w14:paraId="2E152AB0" w14:textId="77777777" w:rsidR="000760AB" w:rsidRPr="000760AB" w:rsidRDefault="000760AB" w:rsidP="000760AB">
      <w:pPr>
        <w:numPr>
          <w:ilvl w:val="0"/>
          <w:numId w:val="17"/>
        </w:numPr>
        <w:spacing w:after="160" w:line="257" w:lineRule="auto"/>
        <w:ind w:left="284" w:firstLine="0"/>
        <w:contextualSpacing/>
        <w:jc w:val="both"/>
        <w:rPr>
          <w:rFonts w:ascii="Calibri" w:eastAsia="Arial" w:hAnsi="Calibri" w:cs="Calibri"/>
          <w:kern w:val="2"/>
          <w:sz w:val="22"/>
        </w:rPr>
      </w:pPr>
      <w:r>
        <w:rPr>
          <w:rFonts w:ascii="Calibri" w:hAnsi="Calibri"/>
          <w:sz w:val="22"/>
        </w:rPr>
        <w:t>W sekcji HE 3, sekcja 4 Uzasadnienie wymogu, w ust. 1 lit. B) wyrażenie: „...sprawność</w:t>
      </w:r>
      <w:r>
        <w:rPr>
          <w:rFonts w:ascii="Calibri" w:hAnsi="Calibri"/>
          <w:i/>
          <w:sz w:val="22"/>
        </w:rPr>
        <w:t xml:space="preserve"> lamp</w:t>
      </w:r>
      <w:r>
        <w:rPr>
          <w:rFonts w:ascii="Calibri" w:hAnsi="Calibri"/>
          <w:sz w:val="22"/>
        </w:rPr>
        <w:t xml:space="preserve"> użytych (wyrażona w lum/W)” otrzymuje brzmienie „...sprawność</w:t>
      </w:r>
      <w:r>
        <w:rPr>
          <w:rFonts w:ascii="Calibri" w:hAnsi="Calibri"/>
          <w:i/>
          <w:sz w:val="22"/>
        </w:rPr>
        <w:t xml:space="preserve"> lamp</w:t>
      </w:r>
      <w:r>
        <w:rPr>
          <w:rFonts w:ascii="Calibri" w:hAnsi="Calibri"/>
          <w:sz w:val="22"/>
        </w:rPr>
        <w:t xml:space="preserve"> używanych (wyrażona w lm/W)”</w:t>
      </w:r>
    </w:p>
    <w:p w14:paraId="7D135F60" w14:textId="77777777" w:rsidR="000760AB" w:rsidRPr="000760AB" w:rsidRDefault="000760AB" w:rsidP="000760AB">
      <w:pPr>
        <w:spacing w:after="160" w:line="257" w:lineRule="auto"/>
        <w:ind w:left="284"/>
        <w:contextualSpacing/>
        <w:jc w:val="both"/>
        <w:rPr>
          <w:rFonts w:ascii="Calibri" w:eastAsia="Arial" w:hAnsi="Calibri" w:cs="Calibri"/>
          <w:kern w:val="2"/>
          <w:sz w:val="22"/>
          <w:lang w:eastAsia="zh-CN" w:bidi="hi-IN"/>
        </w:rPr>
      </w:pPr>
    </w:p>
    <w:p w14:paraId="6B3EE3FA" w14:textId="77777777" w:rsidR="000760AB" w:rsidRPr="000760AB" w:rsidRDefault="000760AB" w:rsidP="000760AB">
      <w:pPr>
        <w:numPr>
          <w:ilvl w:val="0"/>
          <w:numId w:val="17"/>
        </w:numPr>
        <w:spacing w:after="160" w:line="257" w:lineRule="auto"/>
        <w:ind w:left="284" w:firstLine="0"/>
        <w:contextualSpacing/>
        <w:jc w:val="both"/>
        <w:rPr>
          <w:rFonts w:ascii="Calibri" w:eastAsia="Arial" w:hAnsi="Calibri" w:cs="Calibri"/>
          <w:kern w:val="2"/>
          <w:sz w:val="22"/>
        </w:rPr>
      </w:pPr>
      <w:r>
        <w:rPr>
          <w:rFonts w:ascii="Calibri" w:hAnsi="Calibri"/>
          <w:sz w:val="22"/>
        </w:rPr>
        <w:t>W sekcji HE 4 pkt 2 Opis wymogu, ust. 1 otrzymuje brzmienie:</w:t>
      </w:r>
    </w:p>
    <w:p w14:paraId="66BCE2A2" w14:textId="77777777" w:rsidR="000760AB" w:rsidRPr="000760AB" w:rsidRDefault="000760AB" w:rsidP="000760AB">
      <w:pPr>
        <w:spacing w:after="160" w:line="257" w:lineRule="auto"/>
        <w:ind w:left="709"/>
        <w:contextualSpacing/>
        <w:jc w:val="both"/>
        <w:rPr>
          <w:rFonts w:ascii="Calibri" w:eastAsia="Arial" w:hAnsi="Calibri" w:cs="Calibri"/>
          <w:kern w:val="2"/>
          <w:sz w:val="22"/>
          <w:lang w:eastAsia="zh-CN" w:bidi="hi-IN"/>
        </w:rPr>
      </w:pPr>
    </w:p>
    <w:p w14:paraId="774F4195" w14:textId="77777777" w:rsidR="000760AB" w:rsidRPr="000760AB" w:rsidRDefault="000760AB" w:rsidP="000760AB">
      <w:pPr>
        <w:spacing w:after="160" w:line="257" w:lineRule="auto"/>
        <w:ind w:left="284"/>
        <w:jc w:val="both"/>
        <w:rPr>
          <w:rFonts w:ascii="Calibri" w:eastAsia="Arial" w:hAnsi="Calibri" w:cs="Calibri"/>
          <w:kern w:val="2"/>
          <w:sz w:val="22"/>
        </w:rPr>
      </w:pPr>
      <w:r>
        <w:rPr>
          <w:rFonts w:ascii="Calibri" w:hAnsi="Calibri"/>
          <w:sz w:val="22"/>
        </w:rPr>
        <w:t xml:space="preserve">„1 Budynki muszą w dużym stopniu zaspokajać swoje potrzeby w zakresie c.w.u. i podgrzewania wody do ogrzewanych basenów wewnętrznych poprzez wykorzystanie </w:t>
      </w:r>
      <w:r>
        <w:rPr>
          <w:rFonts w:ascii="Calibri" w:hAnsi="Calibri"/>
          <w:i/>
          <w:sz w:val="22"/>
        </w:rPr>
        <w:t>energii ze źródeł odnawialnych</w:t>
      </w:r>
      <w:r>
        <w:rPr>
          <w:rFonts w:ascii="Calibri" w:hAnsi="Calibri"/>
          <w:sz w:val="22"/>
        </w:rPr>
        <w:t xml:space="preserve"> lub procesów kogeneracji odnawialnej; wytworzonej w samym budynku lub poprzez podłączenie do </w:t>
      </w:r>
      <w:r>
        <w:rPr>
          <w:rFonts w:ascii="Calibri" w:hAnsi="Calibri"/>
          <w:i/>
          <w:sz w:val="22"/>
        </w:rPr>
        <w:t>sieci ciepłowniczej</w:t>
      </w:r>
      <w:r>
        <w:rPr>
          <w:rFonts w:ascii="Calibri" w:hAnsi="Calibri"/>
          <w:sz w:val="22"/>
        </w:rPr>
        <w:t>”.</w:t>
      </w:r>
    </w:p>
    <w:p w14:paraId="3693DE13" w14:textId="77777777" w:rsidR="000760AB" w:rsidRPr="000760AB" w:rsidRDefault="000760AB" w:rsidP="000760AB">
      <w:pPr>
        <w:numPr>
          <w:ilvl w:val="0"/>
          <w:numId w:val="17"/>
        </w:numPr>
        <w:spacing w:before="200" w:after="100" w:line="259" w:lineRule="auto"/>
        <w:ind w:left="284" w:firstLine="0"/>
        <w:jc w:val="both"/>
        <w:rPr>
          <w:rFonts w:ascii="Calibri" w:eastAsia="Arial" w:hAnsi="Calibri" w:cs="Calibri"/>
          <w:kern w:val="2"/>
          <w:sz w:val="22"/>
          <w:szCs w:val="22"/>
        </w:rPr>
      </w:pPr>
      <w:r>
        <w:rPr>
          <w:rFonts w:ascii="Calibri" w:hAnsi="Calibri"/>
          <w:sz w:val="22"/>
        </w:rPr>
        <w:t xml:space="preserve"> W sekcji HE 4, sekcja 3 Określenie ilościowe wymogu, ppkt 3.1 Minimalny wkład energii ze źródeł odnawialnych w pokrycie zapotrzebowania na ciepłą wodę użytkową i/lub podgrzewanie wody basenowej, ust. 4, wyrażenie: </w:t>
      </w:r>
      <w:bookmarkStart w:id="3" w:name="_Hlk96945986"/>
      <w:r>
        <w:rPr>
          <w:rFonts w:ascii="Calibri" w:hAnsi="Calibri"/>
          <w:sz w:val="22"/>
        </w:rPr>
        <w:t xml:space="preserve">„... </w:t>
      </w:r>
      <w:bookmarkEnd w:id="3"/>
      <w:r>
        <w:rPr>
          <w:rFonts w:ascii="Calibri" w:hAnsi="Calibri"/>
          <w:sz w:val="22"/>
        </w:rPr>
        <w:t>ponad 2,5 przy zasilaniu elektrycznym i większy niż 1,15 przy zasilaniu energią cieplną...” otrzymuje brzmienie „... równy lub większy niż 2,5 przy zasilaniu elektrycznym i równy lub większy niż 1,15 przy zasilaniu energią cieplną...”.</w:t>
      </w:r>
    </w:p>
    <w:p w14:paraId="61BB5CF0" w14:textId="77777777" w:rsidR="000760AB" w:rsidRPr="000760AB" w:rsidRDefault="000760AB" w:rsidP="000760AB">
      <w:pPr>
        <w:numPr>
          <w:ilvl w:val="0"/>
          <w:numId w:val="17"/>
        </w:numPr>
        <w:spacing w:before="200" w:after="100" w:line="259" w:lineRule="auto"/>
        <w:ind w:left="284" w:firstLine="0"/>
        <w:jc w:val="both"/>
        <w:rPr>
          <w:rFonts w:ascii="Calibri" w:eastAsia="Arial" w:hAnsi="Calibri" w:cs="Calibri"/>
          <w:kern w:val="2"/>
          <w:sz w:val="22"/>
          <w:szCs w:val="22"/>
        </w:rPr>
      </w:pPr>
      <w:r>
        <w:rPr>
          <w:rFonts w:ascii="Calibri" w:hAnsi="Calibri"/>
          <w:sz w:val="22"/>
        </w:rPr>
        <w:t xml:space="preserve">W sekcji HE 4, sekcja 3 Określenie ilościowe wymogu, sekcja 3.1 Minimalny wkład energii ze źródeł odnawialnych w pokrycie zapotrzebowania na ciepłą wodę użytkową i/lub podgrzewanie wody basenowej, ust. 5, który brzmi: „... budynki mieszkalne...” powinien brzmieć „... budynki do </w:t>
      </w:r>
      <w:r>
        <w:rPr>
          <w:rFonts w:ascii="Calibri" w:hAnsi="Calibri"/>
          <w:i/>
          <w:sz w:val="22"/>
        </w:rPr>
        <w:t>prywatnego użytku mieszkalnego</w:t>
      </w:r>
      <w:r>
        <w:rPr>
          <w:rFonts w:ascii="Calibri" w:hAnsi="Calibri"/>
          <w:sz w:val="22"/>
        </w:rPr>
        <w:t>...”</w:t>
      </w:r>
    </w:p>
    <w:p w14:paraId="6BE93B73" w14:textId="77777777" w:rsidR="000760AB" w:rsidRPr="000760AB" w:rsidRDefault="000760AB" w:rsidP="000760AB">
      <w:pPr>
        <w:numPr>
          <w:ilvl w:val="0"/>
          <w:numId w:val="17"/>
        </w:numPr>
        <w:spacing w:after="160" w:line="259" w:lineRule="auto"/>
        <w:ind w:left="284" w:firstLine="0"/>
        <w:jc w:val="both"/>
        <w:rPr>
          <w:rFonts w:ascii="Calibri" w:eastAsia="Calibri" w:hAnsi="Calibri" w:cs="Calibri"/>
          <w:sz w:val="22"/>
          <w:szCs w:val="22"/>
        </w:rPr>
      </w:pPr>
      <w:r>
        <w:rPr>
          <w:rFonts w:ascii="Calibri" w:hAnsi="Calibri"/>
          <w:sz w:val="22"/>
        </w:rPr>
        <w:t xml:space="preserve">W sekcji HE 5 przed ppkt „5.1 „Wykonanie” dodaje się, co następuje: „5. Budowa, konserwacja i utrzymanie" jako tytuł. </w:t>
      </w:r>
    </w:p>
    <w:p w14:paraId="6D9AA9EE" w14:textId="77777777" w:rsidR="000760AB" w:rsidRPr="000760AB" w:rsidRDefault="000760AB" w:rsidP="000760AB">
      <w:pPr>
        <w:numPr>
          <w:ilvl w:val="0"/>
          <w:numId w:val="17"/>
        </w:numPr>
        <w:spacing w:after="160" w:line="259" w:lineRule="auto"/>
        <w:ind w:left="284" w:firstLine="0"/>
        <w:jc w:val="both"/>
        <w:rPr>
          <w:rFonts w:ascii="Calibri" w:eastAsia="Calibri" w:hAnsi="Calibri" w:cs="Calibri"/>
          <w:sz w:val="22"/>
          <w:szCs w:val="22"/>
        </w:rPr>
      </w:pPr>
      <w:r>
        <w:rPr>
          <w:rFonts w:ascii="Calibri" w:hAnsi="Calibri"/>
          <w:sz w:val="22"/>
        </w:rPr>
        <w:t xml:space="preserve">W sekcji HE 5 tytuł „Sekcja HE 5 Minimalna produkcja energii elektrycznej” otrzymuje brzmienie „Sekcja HE 5 </w:t>
      </w:r>
      <w:bookmarkStart w:id="4" w:name="_Hlk92123384"/>
      <w:r>
        <w:rPr>
          <w:rFonts w:ascii="Calibri" w:hAnsi="Calibri"/>
          <w:sz w:val="22"/>
        </w:rPr>
        <w:t>Minimalna produkcja energii elektrycznej</w:t>
      </w:r>
      <w:bookmarkEnd w:id="4"/>
      <w:r>
        <w:t xml:space="preserve"> </w:t>
      </w:r>
      <w:r>
        <w:rPr>
          <w:rFonts w:ascii="Calibri" w:hAnsi="Calibri"/>
          <w:sz w:val="22"/>
        </w:rPr>
        <w:t>ze źródeł odnawialnych”.</w:t>
      </w:r>
    </w:p>
    <w:p w14:paraId="6175F2BD" w14:textId="77777777" w:rsidR="000760AB" w:rsidRPr="000760AB" w:rsidRDefault="000760AB" w:rsidP="000760AB">
      <w:pPr>
        <w:numPr>
          <w:ilvl w:val="0"/>
          <w:numId w:val="17"/>
        </w:numPr>
        <w:spacing w:after="160" w:line="259" w:lineRule="auto"/>
        <w:ind w:left="284" w:firstLine="0"/>
        <w:jc w:val="both"/>
        <w:rPr>
          <w:rFonts w:ascii="Calibri" w:eastAsia="Calibri" w:hAnsi="Calibri" w:cs="Calibri"/>
          <w:sz w:val="22"/>
          <w:szCs w:val="22"/>
        </w:rPr>
      </w:pPr>
      <w:r>
        <w:rPr>
          <w:rFonts w:ascii="Calibri" w:hAnsi="Calibri"/>
          <w:sz w:val="22"/>
        </w:rPr>
        <w:t xml:space="preserve">W sekcji HE 5 ust. 1 „Zakres” otrzymuje brzmienie: </w:t>
      </w:r>
    </w:p>
    <w:p w14:paraId="04EE306E"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lastRenderedPageBreak/>
        <w:t xml:space="preserve">„1 Niniejsza sekcja ma zastosowanie w następujących przypadkach: </w:t>
      </w:r>
    </w:p>
    <w:p w14:paraId="40C4916D" w14:textId="77777777" w:rsidR="000760AB" w:rsidRPr="000760AB" w:rsidRDefault="000760AB" w:rsidP="000760AB">
      <w:pPr>
        <w:spacing w:after="160" w:line="259" w:lineRule="auto"/>
        <w:ind w:left="284"/>
        <w:contextualSpacing/>
        <w:jc w:val="both"/>
        <w:rPr>
          <w:rFonts w:ascii="Calibri" w:eastAsia="Calibri" w:hAnsi="Calibri" w:cs="Calibri"/>
          <w:sz w:val="22"/>
          <w:szCs w:val="22"/>
        </w:rPr>
      </w:pPr>
      <w:r>
        <w:rPr>
          <w:rFonts w:ascii="Calibri" w:hAnsi="Calibri"/>
          <w:sz w:val="22"/>
        </w:rPr>
        <w:t>a) nowo wybudowane budynki, o powierzchni zabudowy powyżej 1 000 m</w:t>
      </w:r>
      <w:r>
        <w:rPr>
          <w:rFonts w:ascii="Calibri" w:hAnsi="Calibri"/>
          <w:sz w:val="22"/>
          <w:vertAlign w:val="superscript"/>
        </w:rPr>
        <w:t>2</w:t>
      </w:r>
      <w:r>
        <w:rPr>
          <w:rFonts w:ascii="Calibri" w:hAnsi="Calibri"/>
          <w:sz w:val="22"/>
        </w:rPr>
        <w:t>;</w:t>
      </w:r>
    </w:p>
    <w:p w14:paraId="500BD58B" w14:textId="77777777" w:rsidR="000760AB" w:rsidRPr="000760AB" w:rsidRDefault="000760AB" w:rsidP="000760AB">
      <w:pPr>
        <w:spacing w:after="160" w:line="259" w:lineRule="auto"/>
        <w:ind w:left="284"/>
        <w:contextualSpacing/>
        <w:jc w:val="both"/>
        <w:rPr>
          <w:rFonts w:ascii="Calibri" w:eastAsia="Calibri" w:hAnsi="Calibri" w:cs="Calibri"/>
          <w:sz w:val="22"/>
          <w:szCs w:val="22"/>
        </w:rPr>
      </w:pPr>
      <w:r>
        <w:rPr>
          <w:rFonts w:ascii="Calibri" w:hAnsi="Calibri"/>
          <w:sz w:val="22"/>
        </w:rPr>
        <w:t>b) rozbudowa istniejących budynków, gdy powierzchnia zabudowy zostanie zwiększona o ponad 1 000 m</w:t>
      </w:r>
      <w:r>
        <w:rPr>
          <w:rFonts w:ascii="Calibri" w:hAnsi="Calibri"/>
          <w:sz w:val="22"/>
          <w:vertAlign w:val="superscript"/>
        </w:rPr>
        <w:t>2</w:t>
      </w:r>
      <w:r>
        <w:rPr>
          <w:rFonts w:ascii="Calibri" w:hAnsi="Calibri"/>
          <w:sz w:val="22"/>
        </w:rPr>
        <w:t>.</w:t>
      </w:r>
    </w:p>
    <w:p w14:paraId="710C1241" w14:textId="77777777" w:rsidR="000760AB" w:rsidRPr="000760AB" w:rsidRDefault="000760AB" w:rsidP="000760AB">
      <w:pPr>
        <w:spacing w:after="160" w:line="259" w:lineRule="auto"/>
        <w:ind w:left="284"/>
        <w:contextualSpacing/>
        <w:jc w:val="both"/>
        <w:rPr>
          <w:rFonts w:ascii="Calibri" w:eastAsia="Calibri" w:hAnsi="Calibri" w:cs="Calibri"/>
          <w:sz w:val="22"/>
          <w:szCs w:val="22"/>
        </w:rPr>
      </w:pPr>
      <w:r>
        <w:rPr>
          <w:rFonts w:ascii="Calibri" w:hAnsi="Calibri"/>
          <w:sz w:val="22"/>
        </w:rPr>
        <w:t>c) istniejące budynki, które są całkowicie odnowione lub w przypadku zmiany ich właściwości użytkowej, gdy przekraczają one 1 000 m</w:t>
      </w:r>
      <w:r>
        <w:rPr>
          <w:rFonts w:ascii="Calibri" w:hAnsi="Calibri"/>
          <w:sz w:val="22"/>
          <w:vertAlign w:val="superscript"/>
        </w:rPr>
        <w:t>2</w:t>
      </w:r>
      <w:r>
        <w:rPr>
          <w:rFonts w:ascii="Calibri" w:hAnsi="Calibri"/>
          <w:sz w:val="22"/>
        </w:rPr>
        <w:t xml:space="preserve"> powierzchni zabudowy.</w:t>
      </w:r>
    </w:p>
    <w:p w14:paraId="772542DE"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 xml:space="preserve">Za powierzchnię zabudowaną uważa się powierzchnię parkingów wewnątrz budynku z wyłączeniem obszarów wspólnych na zewnątrz.” </w:t>
      </w:r>
    </w:p>
    <w:p w14:paraId="6B833735" w14:textId="77777777" w:rsidR="000760AB" w:rsidRPr="000760AB" w:rsidRDefault="000760AB" w:rsidP="000760AB">
      <w:pPr>
        <w:numPr>
          <w:ilvl w:val="0"/>
          <w:numId w:val="17"/>
        </w:numPr>
        <w:spacing w:after="160" w:line="259" w:lineRule="auto"/>
        <w:ind w:left="284" w:firstLine="0"/>
        <w:jc w:val="both"/>
        <w:rPr>
          <w:rFonts w:ascii="Calibri" w:eastAsia="Calibri" w:hAnsi="Calibri" w:cs="Calibri"/>
          <w:sz w:val="22"/>
          <w:szCs w:val="22"/>
        </w:rPr>
      </w:pPr>
      <w:r>
        <w:rPr>
          <w:rFonts w:ascii="Calibri" w:hAnsi="Calibri"/>
          <w:sz w:val="22"/>
        </w:rPr>
        <w:t>W sekcji HE 5 pkt 2 akapit pierwszy, „Charakterystyka wymogu” otrzymuje brzmienie:</w:t>
      </w:r>
    </w:p>
    <w:p w14:paraId="23E9D023"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„1 Budynki muszą posiadać systemy wytwarzania energii elektrycznej ze źródeł odnawialnych na własny użytek lub w celu zaopatrywania sieci.”</w:t>
      </w:r>
    </w:p>
    <w:p w14:paraId="5BE28722" w14:textId="77777777" w:rsidR="000760AB" w:rsidRPr="000760AB" w:rsidRDefault="000760AB" w:rsidP="000760AB">
      <w:pPr>
        <w:numPr>
          <w:ilvl w:val="0"/>
          <w:numId w:val="17"/>
        </w:numPr>
        <w:spacing w:after="160" w:line="259" w:lineRule="auto"/>
        <w:ind w:left="284" w:firstLine="0"/>
        <w:contextualSpacing/>
        <w:jc w:val="both"/>
        <w:rPr>
          <w:rFonts w:ascii="Calibri" w:eastAsia="Calibri" w:hAnsi="Calibri" w:cs="Calibri"/>
          <w:sz w:val="22"/>
          <w:szCs w:val="22"/>
        </w:rPr>
      </w:pPr>
      <w:r>
        <w:rPr>
          <w:rFonts w:ascii="Calibri" w:hAnsi="Calibri"/>
          <w:sz w:val="22"/>
        </w:rPr>
        <w:t xml:space="preserve"> W sekcji HE 5 pkt 3 „Określenie ilościowe wymogu” otrzymuje brzmienie:</w:t>
      </w:r>
    </w:p>
    <w:p w14:paraId="1C671AF1" w14:textId="77777777" w:rsidR="000760AB" w:rsidRPr="000760AB" w:rsidRDefault="000760AB" w:rsidP="000760AB">
      <w:pPr>
        <w:spacing w:before="60" w:after="160" w:line="259" w:lineRule="auto"/>
        <w:ind w:left="284"/>
        <w:jc w:val="both"/>
        <w:rPr>
          <w:rFonts w:ascii="Calibri" w:eastAsia="Arial" w:hAnsi="Calibri" w:cs="Calibri"/>
          <w:kern w:val="2"/>
          <w:sz w:val="22"/>
        </w:rPr>
      </w:pPr>
      <w:r>
        <w:rPr>
          <w:rFonts w:ascii="Calibri" w:hAnsi="Calibri"/>
          <w:sz w:val="22"/>
        </w:rPr>
        <w:t xml:space="preserve">„1 </w:t>
      </w:r>
      <w:r>
        <w:rPr>
          <w:rFonts w:ascii="Calibri" w:hAnsi="Calibri"/>
          <w:i/>
          <w:sz w:val="22"/>
        </w:rPr>
        <w:t>Minimalna moc do zainstalowania</w:t>
      </w:r>
      <w:r>
        <w:rPr>
          <w:rFonts w:ascii="Calibri" w:hAnsi="Calibri"/>
          <w:sz w:val="22"/>
        </w:rPr>
        <w:t xml:space="preserve"> P</w:t>
      </w:r>
      <w:r>
        <w:rPr>
          <w:rFonts w:ascii="Calibri" w:hAnsi="Calibri"/>
          <w:sz w:val="22"/>
          <w:vertAlign w:val="subscript"/>
        </w:rPr>
        <w:t>min</w:t>
      </w:r>
      <w:r>
        <w:rPr>
          <w:rFonts w:ascii="Calibri" w:hAnsi="Calibri"/>
          <w:sz w:val="22"/>
        </w:rPr>
        <w:t xml:space="preserve"> jest najniższą wartością wyniku z następujących dwóch równań: </w:t>
      </w:r>
    </w:p>
    <w:p w14:paraId="3A813F22" w14:textId="77777777" w:rsidR="000760AB" w:rsidRPr="000760AB" w:rsidRDefault="000760AB" w:rsidP="000760AB">
      <w:pPr>
        <w:spacing w:before="60" w:after="160" w:line="259" w:lineRule="auto"/>
        <w:ind w:left="284"/>
        <w:jc w:val="both"/>
        <w:rPr>
          <w:rFonts w:ascii="Calibri" w:eastAsia="Arial" w:hAnsi="Calibri" w:cs="Calibri"/>
          <w:kern w:val="2"/>
          <w:sz w:val="22"/>
        </w:rPr>
      </w:pPr>
      <w:r>
        <w:rPr>
          <w:rFonts w:ascii="Calibri" w:hAnsi="Calibri"/>
          <w:sz w:val="22"/>
        </w:rPr>
        <w:t>P</w:t>
      </w:r>
      <w:r>
        <w:rPr>
          <w:rFonts w:ascii="Calibri" w:hAnsi="Calibri"/>
          <w:sz w:val="22"/>
          <w:vertAlign w:val="subscript"/>
        </w:rPr>
        <w:t>1</w:t>
      </w:r>
      <w:r>
        <w:rPr>
          <w:rFonts w:ascii="Calibri" w:hAnsi="Calibri"/>
          <w:sz w:val="22"/>
        </w:rPr>
        <w:t xml:space="preserve"> = F</w:t>
      </w:r>
      <w:r>
        <w:rPr>
          <w:rFonts w:ascii="Calibri" w:hAnsi="Calibri"/>
          <w:sz w:val="22"/>
          <w:vertAlign w:val="subscript"/>
        </w:rPr>
        <w:t>pr;el</w:t>
      </w:r>
      <w:r>
        <w:rPr>
          <w:rFonts w:ascii="Calibri" w:hAnsi="Calibri"/>
          <w:sz w:val="22"/>
        </w:rPr>
        <w:t xml:space="preserve"> · S</w:t>
      </w:r>
    </w:p>
    <w:p w14:paraId="0B5FBBF1" w14:textId="77777777" w:rsidR="000760AB" w:rsidRPr="000760AB" w:rsidRDefault="000760AB" w:rsidP="000760AB">
      <w:pPr>
        <w:spacing w:before="60" w:after="160" w:line="259" w:lineRule="auto"/>
        <w:ind w:left="284"/>
        <w:jc w:val="both"/>
        <w:rPr>
          <w:rFonts w:ascii="Calibri" w:eastAsia="Arial" w:hAnsi="Calibri" w:cs="Calibri"/>
          <w:kern w:val="2"/>
          <w:sz w:val="22"/>
        </w:rPr>
      </w:pPr>
      <w:r>
        <w:rPr>
          <w:rFonts w:ascii="Calibri" w:hAnsi="Calibri"/>
          <w:sz w:val="22"/>
        </w:rPr>
        <w:t>P</w:t>
      </w:r>
      <w:r>
        <w:rPr>
          <w:rFonts w:ascii="Calibri" w:hAnsi="Calibri"/>
          <w:sz w:val="22"/>
          <w:vertAlign w:val="subscript"/>
        </w:rPr>
        <w:t>2</w:t>
      </w:r>
      <w:r>
        <w:rPr>
          <w:rFonts w:ascii="Calibri" w:hAnsi="Calibri"/>
          <w:sz w:val="22"/>
        </w:rPr>
        <w:t xml:space="preserve"> = 0.1 · (0.5 · S</w:t>
      </w:r>
      <w:r>
        <w:rPr>
          <w:rFonts w:ascii="Calibri" w:hAnsi="Calibri"/>
          <w:sz w:val="22"/>
          <w:vertAlign w:val="subscript"/>
        </w:rPr>
        <w:t>c</w:t>
      </w:r>
      <w:r>
        <w:rPr>
          <w:rFonts w:ascii="Calibri" w:hAnsi="Calibri"/>
          <w:sz w:val="22"/>
        </w:rPr>
        <w:t xml:space="preserve"> - S</w:t>
      </w:r>
      <w:r>
        <w:rPr>
          <w:rFonts w:ascii="Calibri" w:hAnsi="Calibri"/>
          <w:sz w:val="22"/>
          <w:vertAlign w:val="subscript"/>
        </w:rPr>
        <w:t>oc</w:t>
      </w:r>
      <w:r>
        <w:rPr>
          <w:rFonts w:ascii="Calibri" w:hAnsi="Calibri"/>
          <w:sz w:val="22"/>
        </w:rPr>
        <w:t>)</w:t>
      </w:r>
    </w:p>
    <w:p w14:paraId="72B9D60D" w14:textId="77777777" w:rsidR="000760AB" w:rsidRPr="000760AB" w:rsidRDefault="000760AB" w:rsidP="000760AB">
      <w:pPr>
        <w:spacing w:before="60" w:after="160" w:line="259" w:lineRule="auto"/>
        <w:ind w:left="284"/>
        <w:jc w:val="both"/>
        <w:rPr>
          <w:rFonts w:ascii="Calibri" w:eastAsia="Arial" w:hAnsi="Calibri" w:cs="Calibri"/>
          <w:kern w:val="2"/>
          <w:sz w:val="22"/>
        </w:rPr>
      </w:pPr>
      <w:r>
        <w:rPr>
          <w:rFonts w:ascii="Calibri" w:hAnsi="Calibri"/>
          <w:sz w:val="22"/>
        </w:rPr>
        <w:t>gdzie:</w:t>
      </w:r>
    </w:p>
    <w:p w14:paraId="5E55B831" w14:textId="77777777" w:rsidR="000760AB" w:rsidRPr="000760AB" w:rsidRDefault="000760AB" w:rsidP="000760AB">
      <w:pPr>
        <w:spacing w:before="60" w:after="160" w:line="259" w:lineRule="auto"/>
        <w:ind w:left="284"/>
        <w:contextualSpacing/>
        <w:jc w:val="both"/>
        <w:rPr>
          <w:rFonts w:ascii="Calibri" w:eastAsia="Arial" w:hAnsi="Calibri" w:cs="Calibri"/>
          <w:kern w:val="2"/>
          <w:sz w:val="22"/>
        </w:rPr>
      </w:pPr>
      <w:r>
        <w:rPr>
          <w:rFonts w:ascii="Calibri" w:hAnsi="Calibri"/>
          <w:sz w:val="22"/>
        </w:rPr>
        <w:t>P</w:t>
      </w:r>
      <w:r>
        <w:rPr>
          <w:rFonts w:ascii="Calibri" w:hAnsi="Calibri"/>
          <w:sz w:val="22"/>
          <w:vertAlign w:val="subscript"/>
        </w:rPr>
        <w:t>min</w:t>
      </w:r>
      <w:r>
        <w:rPr>
          <w:rFonts w:ascii="Calibri" w:hAnsi="Calibri"/>
          <w:sz w:val="22"/>
        </w:rPr>
        <w:tab/>
      </w:r>
      <w:r>
        <w:rPr>
          <w:rFonts w:ascii="Calibri" w:hAnsi="Calibri"/>
          <w:i/>
          <w:sz w:val="22"/>
        </w:rPr>
        <w:t>moc do zainstalowania</w:t>
      </w:r>
      <w:r>
        <w:rPr>
          <w:rFonts w:ascii="Calibri" w:hAnsi="Calibri"/>
          <w:sz w:val="22"/>
        </w:rPr>
        <w:t xml:space="preserve"> [kW];</w:t>
      </w:r>
    </w:p>
    <w:p w14:paraId="1988193A" w14:textId="77777777" w:rsidR="000760AB" w:rsidRPr="000760AB" w:rsidRDefault="000760AB" w:rsidP="000760AB">
      <w:pPr>
        <w:spacing w:before="60" w:after="160" w:line="259" w:lineRule="auto"/>
        <w:ind w:left="284"/>
        <w:contextualSpacing/>
        <w:jc w:val="both"/>
        <w:rPr>
          <w:rFonts w:ascii="Calibri" w:eastAsia="Arial" w:hAnsi="Calibri" w:cs="Calibri"/>
          <w:kern w:val="2"/>
          <w:sz w:val="22"/>
        </w:rPr>
      </w:pPr>
      <w:r>
        <w:rPr>
          <w:rFonts w:ascii="Calibri" w:hAnsi="Calibri"/>
          <w:sz w:val="22"/>
        </w:rPr>
        <w:t>F</w:t>
      </w:r>
      <w:r>
        <w:rPr>
          <w:rFonts w:ascii="Calibri" w:hAnsi="Calibri"/>
          <w:sz w:val="22"/>
          <w:vertAlign w:val="subscript"/>
        </w:rPr>
        <w:t>pr;e</w:t>
      </w:r>
      <w:r>
        <w:rPr>
          <w:rFonts w:ascii="Calibri" w:hAnsi="Calibri"/>
          <w:sz w:val="22"/>
        </w:rPr>
        <w:t>l</w:t>
      </w:r>
      <w:r>
        <w:rPr>
          <w:rFonts w:ascii="Calibri" w:hAnsi="Calibri"/>
          <w:sz w:val="22"/>
        </w:rPr>
        <w:tab/>
        <w:t>współczynnik wytwarzania energii, który przyjmuje wartość 0,005 dla prywatnego użytku mieszkalnego i 0,010 dla innych zastosowań [kW/m</w:t>
      </w:r>
      <w:r>
        <w:rPr>
          <w:rFonts w:ascii="Calibri" w:hAnsi="Calibri"/>
          <w:sz w:val="22"/>
          <w:vertAlign w:val="superscript"/>
        </w:rPr>
        <w:t>2</w:t>
      </w:r>
      <w:r>
        <w:rPr>
          <w:rFonts w:ascii="Calibri" w:hAnsi="Calibri"/>
          <w:sz w:val="22"/>
        </w:rPr>
        <w:t>];</w:t>
      </w:r>
    </w:p>
    <w:p w14:paraId="153C8F5A" w14:textId="77777777" w:rsidR="000760AB" w:rsidRPr="000760AB" w:rsidRDefault="000760AB" w:rsidP="000760AB">
      <w:pPr>
        <w:spacing w:before="60" w:after="160" w:line="259" w:lineRule="auto"/>
        <w:ind w:left="284"/>
        <w:contextualSpacing/>
        <w:jc w:val="both"/>
        <w:rPr>
          <w:rFonts w:ascii="Calibri" w:eastAsia="Arial" w:hAnsi="Calibri" w:cs="Calibri"/>
          <w:kern w:val="2"/>
          <w:sz w:val="22"/>
        </w:rPr>
      </w:pPr>
      <w:r>
        <w:rPr>
          <w:rFonts w:ascii="Calibri" w:hAnsi="Calibri"/>
          <w:sz w:val="22"/>
        </w:rPr>
        <w:t>S powierzchnia zabudowy budynku [m</w:t>
      </w:r>
      <w:r>
        <w:rPr>
          <w:rFonts w:ascii="Calibri" w:hAnsi="Calibri"/>
          <w:sz w:val="22"/>
          <w:vertAlign w:val="superscript"/>
        </w:rPr>
        <w:t>2</w:t>
      </w:r>
      <w:r>
        <w:rPr>
          <w:rFonts w:ascii="Calibri" w:hAnsi="Calibri"/>
          <w:sz w:val="22"/>
        </w:rPr>
        <w:t>];</w:t>
      </w:r>
    </w:p>
    <w:p w14:paraId="4F543BE6" w14:textId="77777777" w:rsidR="000760AB" w:rsidRPr="000760AB" w:rsidRDefault="000760AB" w:rsidP="000760AB">
      <w:pPr>
        <w:spacing w:before="60" w:after="160" w:line="259" w:lineRule="auto"/>
        <w:ind w:left="284"/>
        <w:contextualSpacing/>
        <w:jc w:val="both"/>
        <w:rPr>
          <w:rFonts w:ascii="Calibri" w:eastAsia="Calibri" w:hAnsi="Calibri" w:cs="Calibri"/>
          <w:sz w:val="22"/>
          <w:szCs w:val="22"/>
        </w:rPr>
      </w:pPr>
      <w:r>
        <w:rPr>
          <w:rFonts w:ascii="Calibri" w:hAnsi="Calibri"/>
          <w:sz w:val="22"/>
        </w:rPr>
        <w:t>S</w:t>
      </w:r>
      <w:r>
        <w:rPr>
          <w:rFonts w:ascii="Calibri" w:hAnsi="Calibri"/>
          <w:sz w:val="22"/>
          <w:vertAlign w:val="subscript"/>
        </w:rPr>
        <w:t>c</w:t>
      </w:r>
      <w:r>
        <w:rPr>
          <w:rFonts w:ascii="Calibri" w:hAnsi="Calibri"/>
          <w:sz w:val="22"/>
        </w:rPr>
        <w:tab/>
        <w:t>powierzchnia dachu nieprzeznaczona do użytkowania przez pieszych lub dostępna wyłącznie do celów konserwacyjnych [m</w:t>
      </w:r>
      <w:r>
        <w:rPr>
          <w:rFonts w:ascii="Calibri" w:hAnsi="Calibri"/>
          <w:sz w:val="22"/>
          <w:vertAlign w:val="superscript"/>
        </w:rPr>
        <w:t>2</w:t>
      </w:r>
      <w:r>
        <w:rPr>
          <w:rFonts w:ascii="Calibri" w:hAnsi="Calibri"/>
          <w:sz w:val="22"/>
        </w:rPr>
        <w:t>];</w:t>
      </w:r>
    </w:p>
    <w:p w14:paraId="6D8AB5FA" w14:textId="77777777" w:rsidR="000760AB" w:rsidRPr="000760AB" w:rsidRDefault="000760AB" w:rsidP="000760AB">
      <w:pPr>
        <w:spacing w:before="60" w:after="160" w:line="259" w:lineRule="auto"/>
        <w:ind w:left="284"/>
        <w:jc w:val="both"/>
        <w:rPr>
          <w:rFonts w:ascii="Calibri" w:eastAsia="Arial" w:hAnsi="Calibri" w:cs="Calibri"/>
          <w:kern w:val="2"/>
          <w:sz w:val="22"/>
        </w:rPr>
      </w:pPr>
      <w:r>
        <w:rPr>
          <w:rFonts w:ascii="Calibri" w:hAnsi="Calibri"/>
          <w:sz w:val="22"/>
        </w:rPr>
        <w:t>S</w:t>
      </w:r>
      <w:r>
        <w:rPr>
          <w:rFonts w:ascii="Calibri" w:hAnsi="Calibri"/>
          <w:sz w:val="22"/>
          <w:vertAlign w:val="subscript"/>
        </w:rPr>
        <w:t>oc</w:t>
      </w:r>
      <w:r>
        <w:rPr>
          <w:rFonts w:ascii="Calibri" w:hAnsi="Calibri"/>
          <w:sz w:val="22"/>
        </w:rPr>
        <w:tab/>
        <w:t>powierzchnia dachu nieprzeznaczona do użytkowania przez pieszych lub dostępna wyłącznie do celów konserwacyjnych, zajmowana przez kolektory słoneczne [m</w:t>
      </w:r>
      <w:r>
        <w:rPr>
          <w:rFonts w:ascii="Calibri" w:hAnsi="Calibri"/>
          <w:sz w:val="22"/>
          <w:vertAlign w:val="superscript"/>
        </w:rPr>
        <w:t>2</w:t>
      </w:r>
      <w:r>
        <w:rPr>
          <w:rFonts w:ascii="Calibri" w:hAnsi="Calibri"/>
          <w:sz w:val="22"/>
        </w:rPr>
        <w:t>].</w:t>
      </w:r>
    </w:p>
    <w:p w14:paraId="7D742656" w14:textId="77777777" w:rsidR="000760AB" w:rsidRPr="000760AB" w:rsidRDefault="000760AB" w:rsidP="000760AB">
      <w:pPr>
        <w:spacing w:after="160" w:line="259" w:lineRule="auto"/>
        <w:ind w:left="284"/>
        <w:jc w:val="both"/>
        <w:rPr>
          <w:rFonts w:ascii="Calibri" w:eastAsia="Arial" w:hAnsi="Calibri" w:cs="Calibri"/>
          <w:kern w:val="2"/>
          <w:sz w:val="22"/>
        </w:rPr>
      </w:pPr>
      <w:r>
        <w:rPr>
          <w:rFonts w:ascii="Calibri" w:hAnsi="Calibri"/>
          <w:sz w:val="22"/>
        </w:rPr>
        <w:t>2</w:t>
      </w:r>
      <w:r>
        <w:rPr>
          <w:rFonts w:ascii="Calibri" w:hAnsi="Calibri"/>
          <w:sz w:val="22"/>
        </w:rPr>
        <w:tab/>
        <w:t xml:space="preserve">W budynkach, w których ze względów urbanistycznych lub architektonicznych lub ze względu na to, że są to budynki objęte ochroną urzędową, w których to organ udzielający ochrony urzędowej określa elementy niezmienne, nie można osiągnąć minimalnej </w:t>
      </w:r>
      <w:r>
        <w:rPr>
          <w:rFonts w:ascii="Calibri" w:hAnsi="Calibri"/>
          <w:i/>
          <w:sz w:val="22"/>
        </w:rPr>
        <w:t xml:space="preserve"> mocy do zainstalowania</w:t>
      </w:r>
      <w:r>
        <w:rPr>
          <w:rFonts w:ascii="Calibri" w:hAnsi="Calibri"/>
          <w:sz w:val="22"/>
        </w:rPr>
        <w:t>, niemożność tę należy uzasadnić analizą różnych alternatyw i należy przyjąć rozwiązanie, które osiąga maksymalną możliwą moc zainstalowaną.”</w:t>
      </w:r>
    </w:p>
    <w:p w14:paraId="6BEFAE72" w14:textId="77777777" w:rsidR="000760AB" w:rsidRPr="000760AB" w:rsidRDefault="000760AB" w:rsidP="000760AB">
      <w:pPr>
        <w:numPr>
          <w:ilvl w:val="0"/>
          <w:numId w:val="17"/>
        </w:numPr>
        <w:spacing w:before="60" w:after="160" w:line="259" w:lineRule="auto"/>
        <w:ind w:left="284" w:firstLine="0"/>
        <w:contextualSpacing/>
        <w:jc w:val="both"/>
        <w:rPr>
          <w:rFonts w:ascii="Calibri" w:eastAsia="Arial" w:hAnsi="Calibri" w:cs="Calibri"/>
          <w:kern w:val="2"/>
          <w:sz w:val="22"/>
        </w:rPr>
      </w:pPr>
      <w:r>
        <w:rPr>
          <w:rFonts w:ascii="Calibri" w:hAnsi="Calibri"/>
          <w:sz w:val="22"/>
        </w:rPr>
        <w:t>W sekcji HE 5 w pkt 4 „Uzasadnienie wymogu” dodaje się treść w brzmieniu:</w:t>
      </w:r>
    </w:p>
    <w:p w14:paraId="65043955" w14:textId="77777777" w:rsidR="000760AB" w:rsidRPr="000760AB" w:rsidRDefault="000760AB" w:rsidP="000760AB">
      <w:pPr>
        <w:spacing w:after="160" w:line="259" w:lineRule="auto"/>
        <w:ind w:left="284"/>
        <w:jc w:val="both"/>
        <w:rPr>
          <w:rFonts w:ascii="Calibri" w:eastAsia="Arial" w:hAnsi="Calibri" w:cs="Calibri"/>
          <w:kern w:val="2"/>
          <w:sz w:val="22"/>
        </w:rPr>
      </w:pPr>
      <w:r>
        <w:rPr>
          <w:rFonts w:ascii="Calibri" w:hAnsi="Calibri"/>
          <w:sz w:val="22"/>
        </w:rPr>
        <w:t xml:space="preserve">c) w stosownych przypadkach, przyczyny uniemożliwiające osiągnięcie minimalnej wymaganej </w:t>
      </w:r>
      <w:r>
        <w:rPr>
          <w:rFonts w:ascii="Calibri" w:hAnsi="Calibri"/>
          <w:i/>
          <w:sz w:val="22"/>
        </w:rPr>
        <w:t>mocy do zainstalowania</w:t>
      </w:r>
      <w:r>
        <w:rPr>
          <w:rFonts w:ascii="Calibri" w:hAnsi="Calibri"/>
          <w:sz w:val="22"/>
        </w:rPr>
        <w:t>, analiza alternatyw i rozwiązania przyjętego w celu osiągnięcia maksymalnej możliwej mocy zainstalowanej.”</w:t>
      </w:r>
    </w:p>
    <w:p w14:paraId="6E185DB3"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 xml:space="preserve">ll) W dokumencie podstawowym DB-HE „Oszczędzanie energii” dodaje się sekcję HE 6 z tytułem „Minimum </w:t>
      </w:r>
      <w:r>
        <w:rPr>
          <w:rFonts w:ascii="Calibri" w:hAnsi="Calibri"/>
          <w:i/>
          <w:sz w:val="22"/>
        </w:rPr>
        <w:t>obiektów infrastruktury ładowania pojazdów elektrycznych</w:t>
      </w:r>
      <w:r>
        <w:rPr>
          <w:rFonts w:ascii="Calibri" w:hAnsi="Calibri"/>
          <w:sz w:val="22"/>
        </w:rPr>
        <w:t xml:space="preserve">” oraz o następującej treści: </w:t>
      </w:r>
    </w:p>
    <w:p w14:paraId="1807669A" w14:textId="77FE9144" w:rsidR="000760AB" w:rsidRPr="000760AB" w:rsidRDefault="000760AB" w:rsidP="000760AB">
      <w:pPr>
        <w:keepNext/>
        <w:ind w:left="284"/>
        <w:outlineLvl w:val="0"/>
        <w:rPr>
          <w:rFonts w:ascii="Calibri" w:eastAsia="Arial" w:hAnsi="Calibri" w:cs="Calibri"/>
          <w:kern w:val="2"/>
          <w:sz w:val="22"/>
          <w:szCs w:val="22"/>
        </w:rPr>
      </w:pPr>
      <w:bookmarkStart w:id="5" w:name="_Toc530396161"/>
      <w:bookmarkStart w:id="6" w:name="_Toc530395282"/>
      <w:r>
        <w:rPr>
          <w:rFonts w:ascii="Calibri" w:hAnsi="Calibri"/>
          <w:sz w:val="22"/>
        </w:rPr>
        <w:lastRenderedPageBreak/>
        <w:t>„Sekcja HE 6</w:t>
      </w:r>
      <w:r>
        <w:rPr>
          <w:rFonts w:ascii="Calibri" w:hAnsi="Calibri"/>
          <w:sz w:val="22"/>
        </w:rPr>
        <w:br/>
        <w:t xml:space="preserve">Minimum </w:t>
      </w:r>
      <w:r>
        <w:rPr>
          <w:rFonts w:ascii="Calibri" w:hAnsi="Calibri"/>
          <w:i/>
          <w:sz w:val="22"/>
        </w:rPr>
        <w:t>obiektów infrastruktury ładowania pojazdów elektrycznych</w:t>
      </w:r>
      <w:r>
        <w:rPr>
          <w:rFonts w:ascii="Calibri" w:hAnsi="Calibri"/>
          <w:sz w:val="22"/>
        </w:rPr>
        <w:br/>
      </w:r>
      <w:bookmarkEnd w:id="5"/>
      <w:bookmarkEnd w:id="6"/>
      <w:r>
        <w:rPr>
          <w:i/>
        </w:rPr>
        <w:t>s</w:t>
      </w:r>
    </w:p>
    <w:p w14:paraId="6EF7E441" w14:textId="77777777" w:rsidR="000760AB" w:rsidRPr="000760AB" w:rsidRDefault="000760AB" w:rsidP="000760AB">
      <w:pPr>
        <w:keepNext/>
        <w:widowControl w:val="0"/>
        <w:suppressAutoHyphens/>
        <w:spacing w:before="300" w:after="100"/>
        <w:ind w:left="284"/>
        <w:textAlignment w:val="baseline"/>
        <w:outlineLvl w:val="1"/>
        <w:rPr>
          <w:rFonts w:ascii="Calibri" w:eastAsia="Noto Sans CJK SC Regular" w:hAnsi="Calibri" w:cs="Calibri"/>
          <w:kern w:val="2"/>
          <w:sz w:val="22"/>
          <w:szCs w:val="22"/>
        </w:rPr>
      </w:pPr>
      <w:bookmarkStart w:id="7" w:name="_Toc530396162"/>
      <w:bookmarkStart w:id="8" w:name="_Toc530395283"/>
      <w:r>
        <w:rPr>
          <w:rFonts w:ascii="Calibri" w:hAnsi="Calibri"/>
          <w:sz w:val="22"/>
        </w:rPr>
        <w:t>1 Zakres</w:t>
      </w:r>
      <w:bookmarkEnd w:id="7"/>
      <w:bookmarkEnd w:id="8"/>
    </w:p>
    <w:p w14:paraId="36FC884D" w14:textId="77777777" w:rsidR="000760AB" w:rsidRPr="000760AB" w:rsidRDefault="000760AB" w:rsidP="000760AB">
      <w:pPr>
        <w:spacing w:before="60" w:after="60"/>
        <w:ind w:left="284"/>
        <w:jc w:val="both"/>
        <w:rPr>
          <w:rFonts w:ascii="Calibri" w:eastAsia="Arial" w:hAnsi="Calibri" w:cs="Calibri"/>
          <w:kern w:val="2"/>
          <w:sz w:val="22"/>
          <w:szCs w:val="22"/>
        </w:rPr>
      </w:pPr>
      <w:r>
        <w:rPr>
          <w:rFonts w:ascii="Calibri" w:hAnsi="Calibri"/>
          <w:sz w:val="22"/>
        </w:rPr>
        <w:t>1</w:t>
      </w:r>
      <w:r>
        <w:rPr>
          <w:rFonts w:ascii="Calibri" w:hAnsi="Calibri"/>
          <w:sz w:val="22"/>
        </w:rPr>
        <w:tab/>
        <w:t>Wymogi określone w niniejszej sekcji mają zastosowanie do budynków, w których znajduje się parking wewnątrz lub na zewnątrz budynku, w następujących przypadkach:</w:t>
      </w:r>
    </w:p>
    <w:p w14:paraId="1105C106" w14:textId="77777777" w:rsidR="000760AB" w:rsidRPr="000760AB" w:rsidRDefault="000760AB" w:rsidP="000760AB">
      <w:pPr>
        <w:suppressAutoHyphens/>
        <w:spacing w:before="60" w:after="60"/>
        <w:ind w:left="284"/>
        <w:jc w:val="both"/>
        <w:textAlignment w:val="baseline"/>
        <w:rPr>
          <w:rFonts w:ascii="Calibri" w:eastAsia="Arial" w:hAnsi="Calibri" w:cs="Calibri"/>
          <w:kern w:val="2"/>
          <w:sz w:val="22"/>
          <w:szCs w:val="22"/>
        </w:rPr>
      </w:pPr>
      <w:r>
        <w:rPr>
          <w:rFonts w:ascii="Calibri" w:hAnsi="Calibri"/>
          <w:sz w:val="22"/>
        </w:rPr>
        <w:t>a) nowo wybudowanych budynków;</w:t>
      </w:r>
    </w:p>
    <w:p w14:paraId="24CACEDC" w14:textId="77777777" w:rsidR="000760AB" w:rsidRPr="000760AB" w:rsidRDefault="000760AB" w:rsidP="000760AB">
      <w:pPr>
        <w:suppressAutoHyphens/>
        <w:spacing w:before="60" w:after="60"/>
        <w:ind w:left="284"/>
        <w:jc w:val="both"/>
        <w:textAlignment w:val="baseline"/>
        <w:rPr>
          <w:rFonts w:ascii="Calibri" w:eastAsia="Arial" w:hAnsi="Calibri" w:cs="Calibri"/>
          <w:kern w:val="2"/>
          <w:sz w:val="22"/>
          <w:szCs w:val="22"/>
        </w:rPr>
      </w:pPr>
      <w:r>
        <w:rPr>
          <w:rFonts w:ascii="Calibri" w:hAnsi="Calibri"/>
          <w:sz w:val="22"/>
        </w:rPr>
        <w:t>b) istniejących budynków, w następujących przypadkach:</w:t>
      </w:r>
    </w:p>
    <w:p w14:paraId="136E92EF" w14:textId="77777777" w:rsidR="000760AB" w:rsidRPr="000760AB" w:rsidRDefault="000760AB" w:rsidP="00FD453F">
      <w:pPr>
        <w:numPr>
          <w:ilvl w:val="0"/>
          <w:numId w:val="33"/>
        </w:numPr>
        <w:suppressAutoHyphens/>
        <w:spacing w:before="60" w:after="60" w:line="259" w:lineRule="auto"/>
        <w:ind w:left="284" w:firstLine="0"/>
        <w:jc w:val="both"/>
        <w:textAlignment w:val="baseline"/>
        <w:rPr>
          <w:rFonts w:ascii="Calibri" w:eastAsia="Arial" w:hAnsi="Calibri" w:cs="Calibri"/>
          <w:kern w:val="2"/>
          <w:sz w:val="22"/>
          <w:szCs w:val="22"/>
        </w:rPr>
      </w:pPr>
      <w:r>
        <w:rPr>
          <w:rFonts w:ascii="Calibri" w:hAnsi="Calibri"/>
          <w:sz w:val="22"/>
        </w:rPr>
        <w:t>zmiany w charakterystycznym użytkowaniu budynku;</w:t>
      </w:r>
    </w:p>
    <w:p w14:paraId="14079978" w14:textId="77777777" w:rsidR="000760AB" w:rsidRPr="000760AB" w:rsidRDefault="000760AB" w:rsidP="00FD453F">
      <w:pPr>
        <w:numPr>
          <w:ilvl w:val="0"/>
          <w:numId w:val="33"/>
        </w:numPr>
        <w:suppressAutoHyphens/>
        <w:spacing w:before="60" w:after="60" w:line="259" w:lineRule="auto"/>
        <w:ind w:left="284" w:firstLine="0"/>
        <w:jc w:val="both"/>
        <w:textAlignment w:val="baseline"/>
        <w:rPr>
          <w:rFonts w:ascii="Calibri" w:eastAsia="Arial" w:hAnsi="Calibri" w:cs="Calibri"/>
          <w:kern w:val="2"/>
          <w:sz w:val="22"/>
          <w:szCs w:val="22"/>
        </w:rPr>
      </w:pPr>
      <w:r>
        <w:rPr>
          <w:rFonts w:ascii="Calibri" w:hAnsi="Calibri"/>
          <w:sz w:val="22"/>
        </w:rPr>
        <w:t>rozbudowy, w przypadkach, które obejmują interwencje na parkingu i powierzchnia lub wybudowana objętość jednostki lub</w:t>
      </w:r>
      <w:r>
        <w:rPr>
          <w:rFonts w:ascii="Calibri" w:hAnsi="Calibri"/>
          <w:i/>
          <w:sz w:val="22"/>
        </w:rPr>
        <w:t xml:space="preserve"> jednostek użytkowych</w:t>
      </w:r>
      <w:r>
        <w:rPr>
          <w:rFonts w:ascii="Calibri" w:hAnsi="Calibri"/>
          <w:sz w:val="22"/>
        </w:rPr>
        <w:t>, na których ma miejsce interwencja, jest zwiększona o więcej niż 10 %, a zwiększona powierzchnia użytkowa jest większa niż 50 m</w:t>
      </w:r>
      <w:r>
        <w:rPr>
          <w:rFonts w:ascii="Calibri" w:hAnsi="Calibri"/>
          <w:sz w:val="22"/>
          <w:vertAlign w:val="superscript"/>
        </w:rPr>
        <w:t>2</w:t>
      </w:r>
      <w:r>
        <w:rPr>
          <w:rFonts w:ascii="Calibri" w:hAnsi="Calibri"/>
          <w:sz w:val="22"/>
        </w:rPr>
        <w:t>;</w:t>
      </w:r>
    </w:p>
    <w:p w14:paraId="02973E61" w14:textId="77777777" w:rsidR="000760AB" w:rsidRPr="000760AB" w:rsidRDefault="000760AB" w:rsidP="00FD453F">
      <w:pPr>
        <w:numPr>
          <w:ilvl w:val="0"/>
          <w:numId w:val="33"/>
        </w:numPr>
        <w:suppressAutoHyphens/>
        <w:spacing w:before="60" w:after="60" w:line="259" w:lineRule="auto"/>
        <w:ind w:left="284" w:firstLine="0"/>
        <w:jc w:val="both"/>
        <w:textAlignment w:val="baseline"/>
        <w:rPr>
          <w:rFonts w:ascii="Calibri" w:eastAsia="Arial" w:hAnsi="Calibri" w:cs="Calibri"/>
          <w:kern w:val="2"/>
          <w:sz w:val="22"/>
          <w:szCs w:val="22"/>
        </w:rPr>
      </w:pPr>
      <w:r>
        <w:rPr>
          <w:rFonts w:ascii="Calibri" w:hAnsi="Calibri"/>
          <w:sz w:val="22"/>
        </w:rPr>
        <w:t xml:space="preserve">odnowienia, które obejmują interwencje na parkingu i które dotyczą ponad 25 % całkowitej powierzchni końcowej </w:t>
      </w:r>
      <w:r>
        <w:rPr>
          <w:rFonts w:ascii="Calibri" w:hAnsi="Calibri"/>
          <w:i/>
          <w:sz w:val="22"/>
        </w:rPr>
        <w:t>przegrody termicznej</w:t>
      </w:r>
      <w:r>
        <w:rPr>
          <w:rFonts w:ascii="Calibri" w:hAnsi="Calibri"/>
          <w:sz w:val="22"/>
        </w:rPr>
        <w:t xml:space="preserve"> budynku;</w:t>
      </w:r>
    </w:p>
    <w:p w14:paraId="7F40C209" w14:textId="77777777" w:rsidR="000760AB" w:rsidRPr="000760AB" w:rsidRDefault="000760AB" w:rsidP="00FD453F">
      <w:pPr>
        <w:numPr>
          <w:ilvl w:val="0"/>
          <w:numId w:val="33"/>
        </w:numPr>
        <w:suppressAutoHyphens/>
        <w:spacing w:before="60" w:after="60" w:line="259" w:lineRule="auto"/>
        <w:ind w:left="284" w:firstLine="0"/>
        <w:jc w:val="both"/>
        <w:textAlignment w:val="baseline"/>
        <w:rPr>
          <w:rFonts w:ascii="Calibri" w:eastAsia="Arial" w:hAnsi="Calibri" w:cs="Calibri"/>
          <w:kern w:val="2"/>
          <w:sz w:val="22"/>
          <w:szCs w:val="22"/>
        </w:rPr>
      </w:pPr>
      <w:r>
        <w:rPr>
          <w:rFonts w:ascii="Calibri" w:hAnsi="Calibri"/>
          <w:sz w:val="22"/>
        </w:rPr>
        <w:t>interwencje w instalację elektryczną budynku wpływające na więcej niż 50 % mocy zainstalowanej w budynku przed interwencją, w przypadkach gdy parking znajduje się wewnątrz budynku</w:t>
      </w:r>
      <w:r>
        <w:rPr>
          <w:rFonts w:ascii="Calibri" w:hAnsi="Calibri"/>
          <w:sz w:val="22"/>
          <w:u w:color="FF0000"/>
        </w:rPr>
        <w:t>, pod warunkiem że deweloper przeprowadzający taką interwencję dysponuje prawem do działania na terenie parkingu</w:t>
      </w:r>
      <w:r>
        <w:rPr>
          <w:rFonts w:ascii="Calibri" w:hAnsi="Calibri"/>
          <w:sz w:val="22"/>
        </w:rPr>
        <w:t>;</w:t>
      </w:r>
    </w:p>
    <w:p w14:paraId="7260D951" w14:textId="77777777" w:rsidR="000760AB" w:rsidRPr="000760AB" w:rsidRDefault="000760AB" w:rsidP="00FD453F">
      <w:pPr>
        <w:numPr>
          <w:ilvl w:val="0"/>
          <w:numId w:val="33"/>
        </w:numPr>
        <w:suppressAutoHyphens/>
        <w:spacing w:before="60" w:after="60" w:line="259" w:lineRule="auto"/>
        <w:ind w:left="284" w:firstLine="0"/>
        <w:jc w:val="both"/>
        <w:textAlignment w:val="baseline"/>
        <w:rPr>
          <w:rFonts w:ascii="Calibri" w:eastAsia="Arial" w:hAnsi="Calibri" w:cs="Calibri"/>
          <w:strike/>
          <w:kern w:val="2"/>
          <w:sz w:val="22"/>
          <w:szCs w:val="22"/>
        </w:rPr>
      </w:pPr>
      <w:r>
        <w:rPr>
          <w:rFonts w:ascii="Calibri" w:hAnsi="Calibri"/>
          <w:sz w:val="22"/>
        </w:rPr>
        <w:t>interwencje w instalacji elektrycznej parkingu wpływające na ponad 50 % mocy zainstalowanej na parkingu przed interwencją.</w:t>
      </w:r>
    </w:p>
    <w:p w14:paraId="087DE78C" w14:textId="77777777" w:rsidR="000760AB" w:rsidRPr="000760AB" w:rsidRDefault="000760AB" w:rsidP="00FD453F">
      <w:pPr>
        <w:numPr>
          <w:ilvl w:val="0"/>
          <w:numId w:val="34"/>
        </w:numPr>
        <w:suppressAutoHyphens/>
        <w:spacing w:before="60" w:after="60" w:line="259" w:lineRule="auto"/>
        <w:ind w:left="284" w:firstLine="0"/>
        <w:jc w:val="both"/>
        <w:textAlignment w:val="baseline"/>
        <w:rPr>
          <w:rFonts w:ascii="Calibri" w:eastAsia="Arial" w:hAnsi="Calibri" w:cs="Calibri"/>
          <w:kern w:val="2"/>
          <w:sz w:val="22"/>
          <w:szCs w:val="22"/>
        </w:rPr>
      </w:pPr>
      <w:r>
        <w:rPr>
          <w:rFonts w:ascii="Calibri" w:hAnsi="Calibri"/>
          <w:sz w:val="22"/>
        </w:rPr>
        <w:t>Poza zakresem pozostają następujące elementy:</w:t>
      </w:r>
    </w:p>
    <w:p w14:paraId="6128A7B8" w14:textId="77777777" w:rsidR="000760AB" w:rsidRPr="000760AB" w:rsidRDefault="000760AB" w:rsidP="00FD453F">
      <w:pPr>
        <w:suppressAutoHyphens/>
        <w:spacing w:before="60" w:after="60"/>
        <w:ind w:left="284"/>
        <w:jc w:val="both"/>
        <w:textAlignment w:val="baseline"/>
        <w:rPr>
          <w:rFonts w:ascii="Calibri" w:eastAsia="Arial" w:hAnsi="Calibri" w:cs="Calibri"/>
          <w:kern w:val="2"/>
          <w:sz w:val="22"/>
          <w:szCs w:val="22"/>
        </w:rPr>
      </w:pPr>
      <w:r>
        <w:rPr>
          <w:rFonts w:ascii="Calibri" w:hAnsi="Calibri"/>
          <w:sz w:val="22"/>
        </w:rPr>
        <w:t>a) budynki o przeznaczeniu innym niż prywatny użytek mieszkalny o powierzchni parkingowej nie większej niż 10 miejsc postojowych;</w:t>
      </w:r>
    </w:p>
    <w:p w14:paraId="6FB73115" w14:textId="77777777" w:rsidR="000760AB" w:rsidRPr="000760AB" w:rsidRDefault="000760AB" w:rsidP="00FD453F">
      <w:pPr>
        <w:spacing w:before="60" w:after="60"/>
        <w:ind w:left="284"/>
        <w:jc w:val="both"/>
        <w:rPr>
          <w:rFonts w:ascii="Calibri" w:hAnsi="Calibri" w:cs="Calibri"/>
          <w:sz w:val="22"/>
          <w:szCs w:val="22"/>
        </w:rPr>
      </w:pPr>
      <w:r>
        <w:rPr>
          <w:rFonts w:ascii="Calibri" w:hAnsi="Calibri"/>
          <w:sz w:val="22"/>
        </w:rPr>
        <w:t xml:space="preserve">b) budynki o przeznaczeniu innym niż prywatne użytkowanie mieszkalne, z parkingiem nie większym niż na 20 miejsc oraz istniejące budynki </w:t>
      </w:r>
      <w:r>
        <w:rPr>
          <w:rFonts w:ascii="Calibri" w:hAnsi="Calibri"/>
          <w:i/>
          <w:sz w:val="22"/>
        </w:rPr>
        <w:t>na prywatny użytek mieszkalny</w:t>
      </w:r>
      <w:r>
        <w:rPr>
          <w:rFonts w:ascii="Calibri" w:hAnsi="Calibri"/>
          <w:sz w:val="22"/>
        </w:rPr>
        <w:t>, przy czym w obu przypadkach koszt dostosowania do przepisów niniejszego ustępu przekracza 7 % kosztu rozbudowy, zmiany przeznaczenia lub interwencji remontowej, która powoduje obowiązek dostosowania się do przepisów. W celu określenia kosztu interwencji, o których mowa powyżej, należy uwzględnić ich rzeczywisty i efektywny koszt, rozumiany jako koszt ich fizycznej budowy;</w:t>
      </w:r>
    </w:p>
    <w:p w14:paraId="61E2DA67" w14:textId="77777777" w:rsidR="000760AB" w:rsidRPr="000760AB" w:rsidRDefault="000760AB" w:rsidP="00FD453F">
      <w:pPr>
        <w:spacing w:before="60" w:after="60"/>
        <w:ind w:left="284"/>
        <w:jc w:val="both"/>
        <w:rPr>
          <w:rFonts w:ascii="Calibri" w:hAnsi="Calibri" w:cs="Calibri"/>
          <w:sz w:val="22"/>
          <w:szCs w:val="22"/>
        </w:rPr>
      </w:pPr>
      <w:r>
        <w:rPr>
          <w:rFonts w:ascii="Calibri" w:hAnsi="Calibri"/>
          <w:sz w:val="22"/>
        </w:rPr>
        <w:t>c) budynki, które są urzędowo chronione, ponieważ stanowią część zadeklarowanego środowiska lub ze względu na ich szczególną wartość architektoniczną lub historyczną, są wyłączone z tych obowiązków w takim stopniu, w jakim zgodność z wymaganiami ustanowionymi w niniejszej sekcji mogłaby bezzasadnie zmienić ich charakter lub wygląd, przy czym to urzędowy organ ochrony określa elementy niemożliwe do zmiany.</w:t>
      </w:r>
      <w:bookmarkStart w:id="9" w:name="_Toc530396163"/>
      <w:bookmarkStart w:id="10" w:name="_Toc530395284"/>
    </w:p>
    <w:p w14:paraId="56E19149" w14:textId="77777777" w:rsidR="000760AB" w:rsidRPr="000760AB" w:rsidRDefault="000760AB" w:rsidP="000760AB">
      <w:pPr>
        <w:spacing w:before="60" w:after="60"/>
        <w:ind w:left="567"/>
        <w:jc w:val="both"/>
        <w:rPr>
          <w:rFonts w:ascii="Calibri" w:hAnsi="Calibri" w:cs="Calibri"/>
          <w:sz w:val="22"/>
          <w:szCs w:val="22"/>
        </w:rPr>
      </w:pPr>
    </w:p>
    <w:p w14:paraId="268F7EA1" w14:textId="77777777" w:rsidR="000760AB" w:rsidRPr="000760AB" w:rsidRDefault="000760AB" w:rsidP="000760AB">
      <w:pPr>
        <w:spacing w:before="60" w:after="60"/>
        <w:ind w:left="284"/>
        <w:jc w:val="both"/>
        <w:rPr>
          <w:rFonts w:ascii="Calibri" w:hAnsi="Calibri" w:cs="Calibri"/>
          <w:sz w:val="22"/>
          <w:szCs w:val="22"/>
        </w:rPr>
      </w:pPr>
      <w:r>
        <w:rPr>
          <w:rFonts w:ascii="Calibri" w:hAnsi="Calibri"/>
          <w:sz w:val="22"/>
        </w:rPr>
        <w:t>2</w:t>
      </w:r>
      <w:r>
        <w:rPr>
          <w:rFonts w:ascii="Calibri" w:hAnsi="Calibri"/>
          <w:sz w:val="22"/>
        </w:rPr>
        <w:tab/>
        <w:t>Opis wymogu</w:t>
      </w:r>
      <w:bookmarkEnd w:id="9"/>
      <w:bookmarkEnd w:id="10"/>
    </w:p>
    <w:p w14:paraId="69F9A98C" w14:textId="77777777" w:rsidR="000760AB" w:rsidRPr="000760AB" w:rsidRDefault="000760AB" w:rsidP="000760AB">
      <w:pPr>
        <w:keepNext/>
        <w:widowControl w:val="0"/>
        <w:tabs>
          <w:tab w:val="left" w:pos="709"/>
        </w:tabs>
        <w:suppressAutoHyphens/>
        <w:spacing w:before="120" w:after="60"/>
        <w:ind w:left="284"/>
        <w:jc w:val="both"/>
        <w:textAlignment w:val="baseline"/>
        <w:outlineLvl w:val="1"/>
        <w:rPr>
          <w:rFonts w:ascii="Calibri" w:eastAsia="Noto Sans CJK SC Regular" w:hAnsi="Calibri" w:cs="Calibri"/>
          <w:kern w:val="2"/>
          <w:sz w:val="22"/>
          <w:szCs w:val="22"/>
        </w:rPr>
      </w:pPr>
      <w:r>
        <w:rPr>
          <w:rFonts w:ascii="Calibri" w:hAnsi="Calibri"/>
          <w:sz w:val="22"/>
        </w:rPr>
        <w:t>1</w:t>
      </w:r>
      <w:r>
        <w:rPr>
          <w:rFonts w:ascii="Calibri" w:hAnsi="Calibri"/>
          <w:sz w:val="22"/>
        </w:rPr>
        <w:tab/>
        <w:t xml:space="preserve">Budynki muszą posiadać minimalną infrastrukturę umożliwiającą ładowanie </w:t>
      </w:r>
      <w:r>
        <w:rPr>
          <w:rFonts w:ascii="Calibri" w:hAnsi="Calibri"/>
          <w:i/>
          <w:sz w:val="22"/>
        </w:rPr>
        <w:t>pojazdów elektrycznych</w:t>
      </w:r>
      <w:r>
        <w:rPr>
          <w:rFonts w:ascii="Calibri" w:hAnsi="Calibri"/>
          <w:sz w:val="22"/>
        </w:rPr>
        <w:t>.</w:t>
      </w:r>
    </w:p>
    <w:p w14:paraId="29EA4F81" w14:textId="77777777" w:rsidR="000760AB" w:rsidRPr="000760AB" w:rsidRDefault="000760AB" w:rsidP="000760AB">
      <w:pPr>
        <w:keepNext/>
        <w:widowControl w:val="0"/>
        <w:tabs>
          <w:tab w:val="left" w:pos="709"/>
        </w:tabs>
        <w:suppressAutoHyphens/>
        <w:spacing w:before="120" w:after="60"/>
        <w:ind w:left="284"/>
        <w:jc w:val="both"/>
        <w:textAlignment w:val="baseline"/>
        <w:outlineLvl w:val="1"/>
        <w:rPr>
          <w:rFonts w:ascii="Calibri" w:eastAsia="Noto Sans CJK SC Regular" w:hAnsi="Calibri" w:cs="Calibri"/>
          <w:kern w:val="2"/>
          <w:sz w:val="22"/>
          <w:szCs w:val="22"/>
        </w:rPr>
      </w:pPr>
      <w:r>
        <w:rPr>
          <w:rFonts w:ascii="Calibri" w:hAnsi="Calibri"/>
          <w:sz w:val="22"/>
        </w:rPr>
        <w:t xml:space="preserve">Przedmiotowa </w:t>
      </w:r>
      <w:r>
        <w:rPr>
          <w:rFonts w:ascii="Calibri" w:hAnsi="Calibri"/>
          <w:i/>
          <w:sz w:val="22"/>
        </w:rPr>
        <w:t>infrastruktura do ładowania pojazdów</w:t>
      </w:r>
      <w:r>
        <w:rPr>
          <w:rFonts w:ascii="Calibri" w:hAnsi="Calibri"/>
          <w:sz w:val="22"/>
        </w:rPr>
        <w:t xml:space="preserve"> elektrycznych będzie zgodna z aktualnymi przepisami elektrotechnicznymi dotyczącymi niskich napięć oraz Dodatkową Instrukcją Techniczną (ITC) BT 52 „Instalacje </w:t>
      </w:r>
      <w:r>
        <w:rPr>
          <w:rFonts w:ascii="Calibri" w:hAnsi="Calibri"/>
          <w:sz w:val="22"/>
        </w:rPr>
        <w:lastRenderedPageBreak/>
        <w:t xml:space="preserve">specjalnego przeznaczenia. Infrastruktura do ładowania </w:t>
      </w:r>
      <w:r>
        <w:rPr>
          <w:rFonts w:ascii="Calibri" w:hAnsi="Calibri"/>
          <w:i/>
          <w:sz w:val="22"/>
        </w:rPr>
        <w:t>pojazdów elektrycznych</w:t>
      </w:r>
      <w:r>
        <w:rPr>
          <w:rFonts w:ascii="Calibri" w:hAnsi="Calibri"/>
          <w:sz w:val="22"/>
        </w:rPr>
        <w:t>”.</w:t>
      </w:r>
      <w:bookmarkStart w:id="11" w:name="_Toc530396164"/>
      <w:bookmarkStart w:id="12" w:name="_Toc530395285"/>
    </w:p>
    <w:p w14:paraId="1CF8D411" w14:textId="77777777" w:rsidR="000760AB" w:rsidRPr="000760AB" w:rsidRDefault="000760AB" w:rsidP="000760AB">
      <w:pPr>
        <w:keepNext/>
        <w:widowControl w:val="0"/>
        <w:tabs>
          <w:tab w:val="left" w:pos="709"/>
        </w:tabs>
        <w:suppressAutoHyphens/>
        <w:spacing w:before="120" w:after="60"/>
        <w:ind w:left="284"/>
        <w:jc w:val="both"/>
        <w:textAlignment w:val="baseline"/>
        <w:outlineLvl w:val="1"/>
        <w:rPr>
          <w:rFonts w:ascii="Calibri" w:eastAsia="Noto Sans CJK SC Regular" w:hAnsi="Calibri" w:cs="Calibri"/>
          <w:kern w:val="2"/>
          <w:sz w:val="22"/>
          <w:szCs w:val="22"/>
          <w:lang w:eastAsia="zh-CN" w:bidi="hi-IN"/>
        </w:rPr>
      </w:pPr>
    </w:p>
    <w:p w14:paraId="10EC5F9A" w14:textId="77777777" w:rsidR="000760AB" w:rsidRPr="000760AB" w:rsidRDefault="000760AB" w:rsidP="000760AB">
      <w:pPr>
        <w:keepNext/>
        <w:widowControl w:val="0"/>
        <w:tabs>
          <w:tab w:val="left" w:pos="709"/>
        </w:tabs>
        <w:suppressAutoHyphens/>
        <w:spacing w:before="120" w:after="60"/>
        <w:ind w:left="284"/>
        <w:jc w:val="both"/>
        <w:textAlignment w:val="baseline"/>
        <w:outlineLvl w:val="1"/>
        <w:rPr>
          <w:rFonts w:ascii="Calibri" w:eastAsia="Noto Sans CJK SC Regular" w:hAnsi="Calibri" w:cs="Calibri"/>
          <w:kern w:val="2"/>
          <w:sz w:val="22"/>
          <w:szCs w:val="22"/>
        </w:rPr>
      </w:pPr>
      <w:r>
        <w:rPr>
          <w:rFonts w:ascii="Calibri" w:hAnsi="Calibri"/>
          <w:sz w:val="22"/>
        </w:rPr>
        <w:t>3</w:t>
      </w:r>
      <w:r>
        <w:rPr>
          <w:rFonts w:ascii="Calibri" w:hAnsi="Calibri"/>
          <w:sz w:val="22"/>
        </w:rPr>
        <w:tab/>
        <w:t>Ilościowe określenie wymogu</w:t>
      </w:r>
      <w:bookmarkEnd w:id="11"/>
      <w:bookmarkEnd w:id="12"/>
    </w:p>
    <w:p w14:paraId="571C5F1A" w14:textId="77777777" w:rsidR="000760AB" w:rsidRPr="000760AB" w:rsidRDefault="000760AB" w:rsidP="000760AB">
      <w:pPr>
        <w:spacing w:before="120" w:after="60"/>
        <w:ind w:left="284"/>
        <w:jc w:val="both"/>
        <w:rPr>
          <w:rFonts w:ascii="Calibri" w:hAnsi="Calibri" w:cs="Calibri"/>
          <w:sz w:val="22"/>
          <w:szCs w:val="22"/>
        </w:rPr>
      </w:pPr>
      <w:r>
        <w:rPr>
          <w:rFonts w:ascii="Calibri" w:hAnsi="Calibri"/>
          <w:sz w:val="22"/>
        </w:rPr>
        <w:t>1</w:t>
      </w:r>
      <w:r>
        <w:rPr>
          <w:rFonts w:ascii="Calibri" w:hAnsi="Calibri"/>
          <w:sz w:val="22"/>
        </w:rPr>
        <w:tab/>
        <w:t xml:space="preserve">W budynkach na </w:t>
      </w:r>
      <w:r>
        <w:rPr>
          <w:rFonts w:ascii="Calibri" w:hAnsi="Calibri"/>
          <w:i/>
          <w:sz w:val="22"/>
        </w:rPr>
        <w:t>prywatny użytek mieszkalny</w:t>
      </w:r>
      <w:r>
        <w:rPr>
          <w:rFonts w:ascii="Calibri" w:hAnsi="Calibri"/>
          <w:sz w:val="22"/>
        </w:rPr>
        <w:t xml:space="preserve"> systemy okablowania zostaną zainstalowane, aby umożliwić przyszłe dostawy do </w:t>
      </w:r>
      <w:r>
        <w:rPr>
          <w:rFonts w:ascii="Calibri" w:hAnsi="Calibri"/>
          <w:i/>
          <w:sz w:val="22"/>
        </w:rPr>
        <w:t>stacji ładowania</w:t>
      </w:r>
      <w:r>
        <w:rPr>
          <w:rFonts w:ascii="Calibri" w:hAnsi="Calibri"/>
          <w:sz w:val="22"/>
        </w:rPr>
        <w:t xml:space="preserve"> dla 100 % miejsc parkingowych.</w:t>
      </w:r>
    </w:p>
    <w:p w14:paraId="76793F36" w14:textId="77777777" w:rsidR="000760AB" w:rsidRPr="000760AB" w:rsidRDefault="000760AB" w:rsidP="000760AB">
      <w:pPr>
        <w:spacing w:before="120" w:after="60"/>
        <w:ind w:left="284"/>
        <w:jc w:val="both"/>
        <w:rPr>
          <w:rFonts w:ascii="Calibri" w:hAnsi="Calibri" w:cs="Calibri"/>
          <w:sz w:val="22"/>
          <w:szCs w:val="22"/>
        </w:rPr>
      </w:pPr>
      <w:r>
        <w:rPr>
          <w:rFonts w:ascii="Calibri" w:hAnsi="Calibri"/>
          <w:sz w:val="22"/>
        </w:rPr>
        <w:t>2</w:t>
      </w:r>
      <w:r>
        <w:rPr>
          <w:rFonts w:ascii="Calibri" w:hAnsi="Calibri"/>
          <w:sz w:val="22"/>
        </w:rPr>
        <w:tab/>
        <w:t xml:space="preserve">W budynkach innych niż na prywatny użytek mieszkalny zostanie zainstalowane okablowanie, aby umożliwić montaż w przyszłości </w:t>
      </w:r>
      <w:r>
        <w:rPr>
          <w:rFonts w:ascii="Calibri" w:hAnsi="Calibri"/>
          <w:i/>
          <w:sz w:val="22"/>
        </w:rPr>
        <w:t>stacji ładowania</w:t>
      </w:r>
      <w:r>
        <w:rPr>
          <w:rFonts w:ascii="Calibri" w:hAnsi="Calibri"/>
          <w:sz w:val="22"/>
        </w:rPr>
        <w:t xml:space="preserve"> dla co najmniej 20 % miejsc parkingowych.</w:t>
      </w:r>
    </w:p>
    <w:p w14:paraId="247AE17F" w14:textId="77777777" w:rsidR="000760AB" w:rsidRPr="000760AB" w:rsidRDefault="000760AB" w:rsidP="000760AB">
      <w:pPr>
        <w:spacing w:before="120" w:after="60"/>
        <w:ind w:left="284"/>
        <w:jc w:val="both"/>
        <w:rPr>
          <w:rFonts w:ascii="Calibri" w:hAnsi="Calibri" w:cs="Calibri"/>
          <w:sz w:val="22"/>
          <w:szCs w:val="22"/>
        </w:rPr>
      </w:pPr>
      <w:r>
        <w:rPr>
          <w:rFonts w:ascii="Calibri" w:hAnsi="Calibri"/>
          <w:sz w:val="22"/>
        </w:rPr>
        <w:t xml:space="preserve">Ponadto na każde 40 miejsc parkingowych lub ich ułamek zostanie zainstalowana </w:t>
      </w:r>
      <w:r>
        <w:rPr>
          <w:rFonts w:ascii="Calibri" w:hAnsi="Calibri"/>
          <w:i/>
          <w:sz w:val="22"/>
        </w:rPr>
        <w:t>stacja ładowania</w:t>
      </w:r>
      <w:r>
        <w:rPr>
          <w:rFonts w:ascii="Calibri" w:hAnsi="Calibri"/>
          <w:sz w:val="22"/>
        </w:rPr>
        <w:t>.</w:t>
      </w:r>
    </w:p>
    <w:p w14:paraId="192987C0" w14:textId="77777777" w:rsidR="000760AB" w:rsidRPr="000760AB" w:rsidRDefault="000760AB" w:rsidP="000760AB">
      <w:pPr>
        <w:spacing w:before="120" w:after="60"/>
        <w:ind w:left="284"/>
        <w:jc w:val="both"/>
        <w:rPr>
          <w:rFonts w:ascii="Calibri" w:hAnsi="Calibri" w:cs="Calibri"/>
          <w:sz w:val="22"/>
          <w:szCs w:val="22"/>
        </w:rPr>
      </w:pPr>
      <w:r>
        <w:rPr>
          <w:rFonts w:ascii="Calibri" w:hAnsi="Calibri"/>
          <w:sz w:val="22"/>
        </w:rPr>
        <w:t>W budynkach przeznaczonych do użytku innego niż prywatny użytek mieszkalny, będących własnością Generalnej Administracji Państwowej lub podmiotów publicznych z nią powiązanych lub od niej zależnych, udział ten powinien być większy niż ten, który został powszechnie ustalony – z instalacją</w:t>
      </w:r>
      <w:r>
        <w:rPr>
          <w:rFonts w:ascii="Calibri" w:hAnsi="Calibri"/>
          <w:color w:val="1F497D"/>
          <w:sz w:val="22"/>
        </w:rPr>
        <w:t xml:space="preserve"> </w:t>
      </w:r>
      <w:r>
        <w:rPr>
          <w:rFonts w:ascii="Calibri" w:hAnsi="Calibri"/>
          <w:sz w:val="22"/>
        </w:rPr>
        <w:t xml:space="preserve">jednej </w:t>
      </w:r>
      <w:r>
        <w:rPr>
          <w:rFonts w:ascii="Calibri" w:hAnsi="Calibri"/>
          <w:i/>
          <w:sz w:val="22"/>
        </w:rPr>
        <w:t>stacji ładowania</w:t>
      </w:r>
      <w:r>
        <w:rPr>
          <w:rFonts w:ascii="Calibri" w:hAnsi="Calibri"/>
          <w:sz w:val="22"/>
        </w:rPr>
        <w:t xml:space="preserve"> na każde 20 miejsc parkingowych lub ich ułamek.</w:t>
      </w:r>
    </w:p>
    <w:p w14:paraId="69499695" w14:textId="77777777" w:rsidR="000760AB" w:rsidRPr="000760AB" w:rsidRDefault="000760AB" w:rsidP="000760AB">
      <w:pPr>
        <w:spacing w:before="120" w:after="60"/>
        <w:ind w:left="284"/>
        <w:jc w:val="both"/>
        <w:rPr>
          <w:rFonts w:ascii="Calibri" w:hAnsi="Calibri" w:cs="Calibri"/>
          <w:sz w:val="22"/>
          <w:szCs w:val="22"/>
        </w:rPr>
      </w:pPr>
      <w:r>
        <w:rPr>
          <w:rFonts w:ascii="Calibri" w:hAnsi="Calibri"/>
          <w:sz w:val="22"/>
        </w:rPr>
        <w:t xml:space="preserve">W przypadku parkingów z dostępnymi miejscami parkingowymi, zgodnie z dokumentem podstawowym dotyczącym bezpieczeństwa użytkowania i dostępności (DB SUA), na każde 5 dostępnych miejsc parkingowych należy zainstalować </w:t>
      </w:r>
      <w:r>
        <w:rPr>
          <w:rFonts w:ascii="Calibri" w:hAnsi="Calibri"/>
          <w:i/>
          <w:sz w:val="22"/>
        </w:rPr>
        <w:t>jedną stację ładowania</w:t>
      </w:r>
      <w:r>
        <w:rPr>
          <w:rFonts w:ascii="Calibri" w:hAnsi="Calibri"/>
          <w:sz w:val="22"/>
        </w:rPr>
        <w:t xml:space="preserve">. </w:t>
      </w:r>
      <w:r>
        <w:rPr>
          <w:rFonts w:ascii="Calibri" w:hAnsi="Calibri"/>
          <w:i/>
          <w:sz w:val="22"/>
        </w:rPr>
        <w:t>Stacje ładowania</w:t>
      </w:r>
      <w:r>
        <w:rPr>
          <w:rFonts w:ascii="Calibri" w:hAnsi="Calibri"/>
          <w:sz w:val="22"/>
        </w:rPr>
        <w:t xml:space="preserve"> w tych miejscach należy policzyć na potrzeby zgodności z określeniem ilościowym wymogu.</w:t>
      </w:r>
    </w:p>
    <w:p w14:paraId="4722B70F" w14:textId="77777777" w:rsidR="000760AB" w:rsidRPr="000760AB" w:rsidRDefault="000760AB" w:rsidP="000760AB">
      <w:pPr>
        <w:spacing w:before="120" w:after="60"/>
        <w:ind w:left="284"/>
        <w:jc w:val="both"/>
        <w:rPr>
          <w:rFonts w:ascii="Calibri" w:hAnsi="Calibri" w:cs="Calibri"/>
          <w:sz w:val="22"/>
          <w:szCs w:val="22"/>
        </w:rPr>
      </w:pPr>
      <w:r>
        <w:rPr>
          <w:rFonts w:ascii="Calibri" w:hAnsi="Calibri"/>
          <w:sz w:val="22"/>
        </w:rPr>
        <w:t>3</w:t>
      </w:r>
      <w:r>
        <w:rPr>
          <w:rFonts w:ascii="Calibri" w:hAnsi="Calibri"/>
          <w:sz w:val="22"/>
        </w:rPr>
        <w:tab/>
        <w:t xml:space="preserve">W przypadku budynków, w których znajdują się lokale przeznaczone do </w:t>
      </w:r>
      <w:r>
        <w:rPr>
          <w:rFonts w:ascii="Calibri" w:hAnsi="Calibri"/>
          <w:i/>
          <w:sz w:val="22"/>
        </w:rPr>
        <w:t xml:space="preserve">prywatnego użytku mieszkalnego </w:t>
      </w:r>
      <w:r>
        <w:rPr>
          <w:rFonts w:ascii="Calibri" w:hAnsi="Calibri"/>
          <w:sz w:val="22"/>
        </w:rPr>
        <w:t>wraz z lokalami o innym przeznaczeniu, gdzie parkingi związane z każdym z tych przeznaczeń nie są wyraźnie zróżnicowane, stosuje się kryterium charakterystycznego przeznaczenia budynku.</w:t>
      </w:r>
      <w:bookmarkStart w:id="13" w:name="_Toc530396167"/>
      <w:bookmarkStart w:id="14" w:name="_Toc530395288"/>
    </w:p>
    <w:p w14:paraId="19D587A1" w14:textId="77777777" w:rsidR="000760AB" w:rsidRPr="000760AB" w:rsidRDefault="000760AB" w:rsidP="000760AB">
      <w:pPr>
        <w:spacing w:before="120" w:after="60"/>
        <w:ind w:left="567"/>
        <w:jc w:val="both"/>
        <w:rPr>
          <w:rFonts w:ascii="Calibri" w:hAnsi="Calibri" w:cs="Calibri"/>
          <w:sz w:val="22"/>
          <w:szCs w:val="22"/>
        </w:rPr>
      </w:pPr>
    </w:p>
    <w:p w14:paraId="2FC0E269" w14:textId="77777777" w:rsidR="000760AB" w:rsidRPr="000760AB" w:rsidRDefault="000760AB" w:rsidP="000760AB">
      <w:pPr>
        <w:spacing w:before="120" w:after="60"/>
        <w:ind w:left="284"/>
        <w:jc w:val="both"/>
        <w:rPr>
          <w:rFonts w:ascii="Calibri" w:hAnsi="Calibri" w:cs="Calibri"/>
          <w:sz w:val="22"/>
          <w:szCs w:val="22"/>
        </w:rPr>
      </w:pPr>
      <w:r>
        <w:rPr>
          <w:rFonts w:ascii="Calibri" w:hAnsi="Calibri"/>
          <w:sz w:val="22"/>
        </w:rPr>
        <w:t>4</w:t>
      </w:r>
      <w:r>
        <w:rPr>
          <w:rFonts w:ascii="Calibri" w:hAnsi="Calibri"/>
          <w:sz w:val="22"/>
        </w:rPr>
        <w:tab/>
        <w:t>Uzasadnienie wymogu</w:t>
      </w:r>
      <w:bookmarkEnd w:id="13"/>
      <w:bookmarkEnd w:id="14"/>
    </w:p>
    <w:p w14:paraId="15BAB575" w14:textId="77777777" w:rsidR="000760AB" w:rsidRPr="000760AB" w:rsidRDefault="000760AB" w:rsidP="000760AB">
      <w:pPr>
        <w:spacing w:before="240" w:after="100"/>
        <w:ind w:left="284"/>
        <w:jc w:val="both"/>
        <w:rPr>
          <w:rFonts w:ascii="Calibri" w:eastAsia="Arial" w:hAnsi="Calibri" w:cs="Calibri"/>
          <w:kern w:val="2"/>
          <w:sz w:val="22"/>
          <w:szCs w:val="22"/>
        </w:rPr>
      </w:pPr>
      <w:r>
        <w:rPr>
          <w:rFonts w:ascii="Calibri" w:hAnsi="Calibri"/>
          <w:sz w:val="22"/>
        </w:rPr>
        <w:t>1</w:t>
      </w:r>
      <w:r>
        <w:rPr>
          <w:rFonts w:ascii="Calibri" w:hAnsi="Calibri"/>
          <w:sz w:val="22"/>
        </w:rPr>
        <w:tab/>
        <w:t>W celu wykazania, że budynek spełnia wymogi niniejszego dokumentu podstawowego, dokumentacja projektowa powinna zawierać następujące informacje dotyczące budynku lub jego odpowiedniej części:</w:t>
      </w:r>
    </w:p>
    <w:p w14:paraId="36CFFEC7" w14:textId="77777777" w:rsidR="000760AB" w:rsidRPr="000760AB" w:rsidRDefault="000760AB" w:rsidP="000760AB">
      <w:pPr>
        <w:suppressAutoHyphens/>
        <w:spacing w:before="60" w:after="60"/>
        <w:ind w:left="284"/>
        <w:jc w:val="both"/>
        <w:textAlignment w:val="baseline"/>
        <w:rPr>
          <w:rFonts w:ascii="Calibri" w:eastAsia="Arial" w:hAnsi="Calibri" w:cs="Calibri"/>
          <w:kern w:val="2"/>
          <w:sz w:val="22"/>
          <w:szCs w:val="22"/>
        </w:rPr>
      </w:pPr>
      <w:r>
        <w:rPr>
          <w:rFonts w:ascii="Calibri" w:hAnsi="Calibri"/>
          <w:sz w:val="22"/>
        </w:rPr>
        <w:t>a) schemat okablowania stosowany do wymiarowania, zgodnie z opisem zawartym w przepisach elektrotechnicznych dotyczących niskich napięć;</w:t>
      </w:r>
    </w:p>
    <w:p w14:paraId="646DF7C0" w14:textId="77777777" w:rsidR="000760AB" w:rsidRPr="000760AB" w:rsidRDefault="000760AB" w:rsidP="000760AB">
      <w:pPr>
        <w:suppressAutoHyphens/>
        <w:spacing w:before="60" w:after="60"/>
        <w:ind w:left="284"/>
        <w:jc w:val="both"/>
        <w:textAlignment w:val="baseline"/>
        <w:rPr>
          <w:rFonts w:ascii="Calibri" w:eastAsia="Arial" w:hAnsi="Calibri" w:cs="Calibri"/>
          <w:kern w:val="2"/>
          <w:sz w:val="22"/>
          <w:szCs w:val="22"/>
        </w:rPr>
      </w:pPr>
      <w:r>
        <w:rPr>
          <w:rFonts w:ascii="Calibri" w:hAnsi="Calibri"/>
          <w:sz w:val="22"/>
        </w:rPr>
        <w:t>b) opis szyn głównych i przygotowanych przewodów, ze wskazaniem odsetka miejsc parkingowych z okablowaniem oraz wymaganego minimalnego udziału procentowego;</w:t>
      </w:r>
    </w:p>
    <w:p w14:paraId="69C66A52" w14:textId="77777777" w:rsidR="000760AB" w:rsidRPr="000760AB" w:rsidRDefault="000760AB" w:rsidP="000760AB">
      <w:pPr>
        <w:suppressAutoHyphens/>
        <w:spacing w:before="60" w:after="60"/>
        <w:ind w:left="284"/>
        <w:jc w:val="both"/>
        <w:textAlignment w:val="baseline"/>
        <w:rPr>
          <w:rFonts w:ascii="Calibri" w:eastAsia="Arial" w:hAnsi="Calibri" w:cs="Calibri"/>
          <w:kern w:val="2"/>
          <w:sz w:val="22"/>
          <w:szCs w:val="22"/>
        </w:rPr>
      </w:pPr>
      <w:r>
        <w:rPr>
          <w:rFonts w:ascii="Calibri" w:hAnsi="Calibri"/>
          <w:sz w:val="22"/>
        </w:rPr>
        <w:t xml:space="preserve">c) liczba zainstalowanych </w:t>
      </w:r>
      <w:r>
        <w:rPr>
          <w:rFonts w:ascii="Calibri" w:hAnsi="Calibri"/>
          <w:i/>
          <w:sz w:val="22"/>
        </w:rPr>
        <w:t>stacji ładowania</w:t>
      </w:r>
      <w:r>
        <w:rPr>
          <w:rFonts w:ascii="Calibri" w:hAnsi="Calibri"/>
          <w:sz w:val="22"/>
        </w:rPr>
        <w:t xml:space="preserve"> oraz minimalna liczba wynikająca z określenia ilościowego wymogu;</w:t>
      </w:r>
    </w:p>
    <w:p w14:paraId="7BE9C95E" w14:textId="77777777" w:rsidR="000760AB" w:rsidRPr="000760AB" w:rsidRDefault="000760AB" w:rsidP="000760AB">
      <w:pPr>
        <w:suppressAutoHyphens/>
        <w:spacing w:before="60" w:after="60"/>
        <w:ind w:left="284"/>
        <w:jc w:val="both"/>
        <w:textAlignment w:val="baseline"/>
        <w:rPr>
          <w:rFonts w:ascii="Calibri" w:eastAsia="Arial" w:hAnsi="Calibri" w:cs="Calibri"/>
          <w:kern w:val="2"/>
          <w:sz w:val="22"/>
          <w:szCs w:val="22"/>
        </w:rPr>
      </w:pPr>
      <w:r>
        <w:rPr>
          <w:rFonts w:ascii="Calibri" w:hAnsi="Calibri"/>
          <w:sz w:val="22"/>
        </w:rPr>
        <w:t xml:space="preserve">d) rodzaje </w:t>
      </w:r>
      <w:r>
        <w:rPr>
          <w:rFonts w:ascii="Calibri" w:hAnsi="Calibri"/>
          <w:i/>
          <w:sz w:val="22"/>
        </w:rPr>
        <w:t>stacji ładowania</w:t>
      </w:r>
      <w:r>
        <w:rPr>
          <w:rFonts w:ascii="Calibri" w:hAnsi="Calibri"/>
          <w:sz w:val="22"/>
        </w:rPr>
        <w:t xml:space="preserve"> i ich moc znamionowa.</w:t>
      </w:r>
      <w:bookmarkStart w:id="15" w:name="_Toc530396168"/>
      <w:bookmarkStart w:id="16" w:name="_Toc530395289"/>
    </w:p>
    <w:p w14:paraId="52DF0579" w14:textId="77777777" w:rsidR="000760AB" w:rsidRPr="000760AB" w:rsidRDefault="000760AB" w:rsidP="000760AB">
      <w:pPr>
        <w:suppressAutoHyphens/>
        <w:spacing w:before="60" w:after="60"/>
        <w:ind w:left="567"/>
        <w:jc w:val="both"/>
        <w:textAlignment w:val="baseline"/>
        <w:rPr>
          <w:rFonts w:ascii="Calibri" w:eastAsia="Arial" w:hAnsi="Calibri" w:cs="Calibri"/>
          <w:kern w:val="2"/>
          <w:sz w:val="22"/>
          <w:szCs w:val="22"/>
          <w:lang w:eastAsia="zh-CN" w:bidi="hi-IN"/>
        </w:rPr>
      </w:pPr>
    </w:p>
    <w:p w14:paraId="50E1C334" w14:textId="77777777" w:rsidR="000760AB" w:rsidRPr="000760AB" w:rsidRDefault="000760AB" w:rsidP="000760AB">
      <w:pPr>
        <w:suppressAutoHyphens/>
        <w:spacing w:before="60" w:after="60"/>
        <w:ind w:left="284"/>
        <w:jc w:val="both"/>
        <w:textAlignment w:val="baseline"/>
        <w:rPr>
          <w:rFonts w:ascii="Calibri" w:eastAsia="Arial" w:hAnsi="Calibri" w:cs="Calibri"/>
          <w:kern w:val="2"/>
          <w:sz w:val="22"/>
          <w:szCs w:val="22"/>
        </w:rPr>
      </w:pPr>
      <w:r>
        <w:rPr>
          <w:rFonts w:ascii="Calibri" w:hAnsi="Calibri"/>
          <w:sz w:val="22"/>
        </w:rPr>
        <w:t>5</w:t>
      </w:r>
      <w:r>
        <w:rPr>
          <w:rFonts w:ascii="Calibri" w:hAnsi="Calibri"/>
          <w:sz w:val="22"/>
        </w:rPr>
        <w:tab/>
        <w:t>Budowa, konserwacja i utrzymanie</w:t>
      </w:r>
      <w:bookmarkEnd w:id="15"/>
      <w:bookmarkEnd w:id="16"/>
    </w:p>
    <w:p w14:paraId="000A9057" w14:textId="77777777" w:rsidR="000760AB" w:rsidRPr="000760AB" w:rsidRDefault="000760AB" w:rsidP="000760AB">
      <w:pPr>
        <w:keepNext/>
        <w:spacing w:before="200" w:after="100"/>
        <w:ind w:left="284"/>
        <w:jc w:val="both"/>
        <w:outlineLvl w:val="2"/>
        <w:rPr>
          <w:rFonts w:ascii="Calibri" w:eastAsia="Arial" w:hAnsi="Calibri" w:cs="Calibri"/>
          <w:kern w:val="2"/>
          <w:sz w:val="22"/>
          <w:szCs w:val="22"/>
        </w:rPr>
      </w:pPr>
      <w:bookmarkStart w:id="17" w:name="_Toc530396169"/>
      <w:bookmarkStart w:id="18" w:name="_Toc530395290"/>
      <w:r>
        <w:rPr>
          <w:rFonts w:ascii="Calibri" w:hAnsi="Calibri"/>
          <w:sz w:val="22"/>
        </w:rPr>
        <w:t>5.1 Wykonanie</w:t>
      </w:r>
      <w:bookmarkEnd w:id="17"/>
      <w:bookmarkEnd w:id="18"/>
    </w:p>
    <w:p w14:paraId="3050030B" w14:textId="77777777" w:rsidR="000760AB" w:rsidRPr="000760AB" w:rsidRDefault="000760AB" w:rsidP="000760AB">
      <w:pPr>
        <w:spacing w:before="60" w:after="60"/>
        <w:ind w:left="284"/>
        <w:jc w:val="both"/>
        <w:rPr>
          <w:rFonts w:ascii="Calibri" w:eastAsia="Arial" w:hAnsi="Calibri" w:cs="Calibri"/>
          <w:kern w:val="2"/>
          <w:sz w:val="22"/>
          <w:szCs w:val="22"/>
        </w:rPr>
      </w:pPr>
      <w:r>
        <w:rPr>
          <w:rFonts w:ascii="Calibri" w:hAnsi="Calibri"/>
          <w:sz w:val="22"/>
        </w:rPr>
        <w:t>1</w:t>
      </w:r>
      <w:r>
        <w:rPr>
          <w:rFonts w:ascii="Calibri" w:hAnsi="Calibri"/>
          <w:sz w:val="22"/>
        </w:rPr>
        <w:tab/>
        <w:t xml:space="preserve">Roboty budowlane budynku należy wykonać zgodnie z projektem i jego zmianami zatwierdzonymi przez kierownika budowy pod warunkiem uzyskania zgody inwestora, obowiązującymi przepisami, specyfikacjami zawartymi w przepisach elektrotechnicznych dotyczących niskich napięć i Dodatkowej Instrukcji Technicznej ITC BT-52 „Instalacje specjalnego przeznaczenia. Infrastruktura do ładowania </w:t>
      </w:r>
      <w:r>
        <w:rPr>
          <w:rFonts w:ascii="Calibri" w:hAnsi="Calibri"/>
          <w:i/>
          <w:sz w:val="22"/>
        </w:rPr>
        <w:t>pojazdów elektrycznych</w:t>
      </w:r>
      <w:r>
        <w:rPr>
          <w:rFonts w:ascii="Calibri" w:hAnsi="Calibri"/>
          <w:sz w:val="22"/>
        </w:rPr>
        <w:t>”, zgodnie ze standardami dobrej praktyki budowlanej oraz instrukcjami kierownika budowy i kierownika realizacji projektu, o których mowa w art. 7 części I CTE.</w:t>
      </w:r>
    </w:p>
    <w:p w14:paraId="089181A3" w14:textId="77777777" w:rsidR="000760AB" w:rsidRPr="000760AB" w:rsidRDefault="000760AB" w:rsidP="000760AB">
      <w:pPr>
        <w:keepNext/>
        <w:spacing w:before="200" w:after="100"/>
        <w:ind w:left="284"/>
        <w:jc w:val="both"/>
        <w:outlineLvl w:val="2"/>
        <w:rPr>
          <w:rFonts w:ascii="Calibri" w:eastAsia="Arial" w:hAnsi="Calibri" w:cs="Calibri"/>
          <w:kern w:val="2"/>
          <w:sz w:val="22"/>
          <w:szCs w:val="22"/>
        </w:rPr>
      </w:pPr>
      <w:bookmarkStart w:id="19" w:name="_Toc530396170"/>
      <w:bookmarkStart w:id="20" w:name="_Toc530395291"/>
      <w:r>
        <w:rPr>
          <w:rFonts w:ascii="Calibri" w:hAnsi="Calibri"/>
          <w:sz w:val="22"/>
        </w:rPr>
        <w:lastRenderedPageBreak/>
        <w:t>5.2 Monitorowanie wykonania robót</w:t>
      </w:r>
      <w:bookmarkEnd w:id="19"/>
      <w:bookmarkEnd w:id="20"/>
    </w:p>
    <w:p w14:paraId="5126F3A6" w14:textId="77777777" w:rsidR="000760AB" w:rsidRPr="000760AB" w:rsidRDefault="000760AB" w:rsidP="000760AB">
      <w:pPr>
        <w:spacing w:before="120" w:after="60"/>
        <w:ind w:left="284"/>
        <w:jc w:val="both"/>
        <w:rPr>
          <w:rFonts w:ascii="Calibri" w:eastAsia="Arial" w:hAnsi="Calibri" w:cs="Calibri"/>
          <w:kern w:val="2"/>
          <w:sz w:val="22"/>
          <w:szCs w:val="22"/>
        </w:rPr>
      </w:pPr>
      <w:r>
        <w:rPr>
          <w:rFonts w:ascii="Calibri" w:hAnsi="Calibri"/>
          <w:sz w:val="22"/>
        </w:rPr>
        <w:t>1</w:t>
      </w:r>
      <w:r>
        <w:rPr>
          <w:rFonts w:ascii="Calibri" w:hAnsi="Calibri"/>
          <w:sz w:val="22"/>
        </w:rPr>
        <w:tab/>
        <w:t>Wykonanie robót</w:t>
      </w:r>
      <w:r>
        <w:rPr>
          <w:rFonts w:ascii="Calibri" w:hAnsi="Calibri"/>
          <w:color w:val="FF0000"/>
          <w:sz w:val="22"/>
        </w:rPr>
        <w:t xml:space="preserve"> </w:t>
      </w:r>
      <w:r>
        <w:rPr>
          <w:rFonts w:ascii="Calibri" w:hAnsi="Calibri"/>
          <w:sz w:val="22"/>
        </w:rPr>
        <w:t>jest monitorowane zgodnie ze specyfikacją projektu, załącznikami i zmianami do nich zatwierdzonymi przez kierownika budowy oraz instrukcjami kierownika realizacji projektu, zgodnie ze specyfikacjami zawartymi w przepisach elektrotechnicznych dotyczących niskich napięć, zgodnie z art. 7 ust. 3 części I CTE i innymi obowiązującymi przepisami.</w:t>
      </w:r>
    </w:p>
    <w:p w14:paraId="5E5E124D" w14:textId="77777777" w:rsidR="000760AB" w:rsidRPr="000760AB" w:rsidRDefault="000760AB" w:rsidP="000760AB">
      <w:pPr>
        <w:spacing w:before="120" w:after="60"/>
        <w:ind w:left="284"/>
        <w:jc w:val="both"/>
        <w:rPr>
          <w:rFonts w:ascii="Calibri" w:eastAsia="Arial" w:hAnsi="Calibri" w:cs="Calibri"/>
          <w:kern w:val="2"/>
          <w:sz w:val="22"/>
          <w:szCs w:val="22"/>
        </w:rPr>
      </w:pPr>
      <w:r>
        <w:rPr>
          <w:rFonts w:ascii="Calibri" w:hAnsi="Calibri"/>
          <w:sz w:val="22"/>
        </w:rPr>
        <w:t>2</w:t>
      </w:r>
      <w:r>
        <w:rPr>
          <w:rFonts w:ascii="Calibri" w:hAnsi="Calibri"/>
          <w:sz w:val="22"/>
        </w:rPr>
        <w:tab/>
        <w:t>Wykonanie robót sprawdza się w celu zapewnienia, aby inspekcje były przeprowadzane z wymaganą częstotliwością, zgodnie ze specyfikacją projektu.</w:t>
      </w:r>
    </w:p>
    <w:p w14:paraId="59F0FC7F" w14:textId="77777777" w:rsidR="000760AB" w:rsidRPr="000760AB" w:rsidRDefault="000760AB" w:rsidP="000760AB">
      <w:pPr>
        <w:spacing w:before="120" w:after="60"/>
        <w:ind w:left="284"/>
        <w:jc w:val="both"/>
        <w:rPr>
          <w:rFonts w:ascii="Calibri" w:eastAsia="Arial" w:hAnsi="Calibri" w:cs="Calibri"/>
          <w:kern w:val="2"/>
          <w:sz w:val="22"/>
          <w:szCs w:val="22"/>
        </w:rPr>
      </w:pPr>
      <w:r>
        <w:rPr>
          <w:rFonts w:ascii="Calibri" w:hAnsi="Calibri"/>
          <w:sz w:val="22"/>
        </w:rPr>
        <w:t>3</w:t>
      </w:r>
      <w:r>
        <w:rPr>
          <w:rFonts w:ascii="Calibri" w:hAnsi="Calibri"/>
          <w:sz w:val="22"/>
        </w:rPr>
        <w:tab/>
        <w:t>Wszelkie zmiany dokonywane podczas wykonania robót są rejestrowane w kompletnej dokumentacji robót budowlanych i we wszystkich przypadkach muszą być spełnione minimalne warunki określone w niniejszym dokumencie podstawowym.</w:t>
      </w:r>
    </w:p>
    <w:p w14:paraId="0D137CE4" w14:textId="77777777" w:rsidR="000760AB" w:rsidRPr="000760AB" w:rsidRDefault="000760AB" w:rsidP="000760AB">
      <w:pPr>
        <w:spacing w:before="120" w:after="60"/>
        <w:ind w:left="284"/>
        <w:jc w:val="both"/>
        <w:rPr>
          <w:rFonts w:ascii="Calibri" w:eastAsia="Arial" w:hAnsi="Calibri" w:cs="Calibri"/>
          <w:kern w:val="2"/>
          <w:sz w:val="22"/>
          <w:szCs w:val="22"/>
        </w:rPr>
      </w:pPr>
      <w:r>
        <w:rPr>
          <w:rFonts w:ascii="Calibri" w:hAnsi="Calibri"/>
          <w:sz w:val="22"/>
        </w:rPr>
        <w:t>4</w:t>
      </w:r>
      <w:r>
        <w:rPr>
          <w:rFonts w:ascii="Calibri" w:hAnsi="Calibri"/>
          <w:sz w:val="22"/>
        </w:rPr>
        <w:tab/>
        <w:t>Dokumentacja dotycząca charakterystyki wyrobów, urządzeń i systemów wchodzących w skład budynku zostaje włączona do dokumentacji budynku.</w:t>
      </w:r>
    </w:p>
    <w:p w14:paraId="3FAAE7C2" w14:textId="77777777" w:rsidR="000760AB" w:rsidRPr="000760AB" w:rsidRDefault="000760AB" w:rsidP="00FD453F">
      <w:pPr>
        <w:keepNext/>
        <w:spacing w:before="200" w:after="100"/>
        <w:ind w:left="284"/>
        <w:jc w:val="both"/>
        <w:outlineLvl w:val="2"/>
        <w:rPr>
          <w:rFonts w:ascii="Calibri" w:eastAsia="Arial" w:hAnsi="Calibri" w:cs="Calibri"/>
          <w:kern w:val="2"/>
          <w:sz w:val="22"/>
          <w:szCs w:val="22"/>
        </w:rPr>
      </w:pPr>
      <w:bookmarkStart w:id="21" w:name="_Toc530396171"/>
      <w:bookmarkStart w:id="22" w:name="_Toc530395292"/>
      <w:r>
        <w:rPr>
          <w:rFonts w:ascii="Calibri" w:hAnsi="Calibri"/>
          <w:sz w:val="22"/>
        </w:rPr>
        <w:t>5.3 Sprawdzanie ukończonych prac</w:t>
      </w:r>
      <w:bookmarkEnd w:id="21"/>
      <w:bookmarkEnd w:id="22"/>
    </w:p>
    <w:p w14:paraId="1A89C868" w14:textId="77777777" w:rsidR="000760AB" w:rsidRPr="000760AB" w:rsidRDefault="000760AB" w:rsidP="00FD453F">
      <w:pPr>
        <w:spacing w:before="120" w:after="60"/>
        <w:ind w:left="284"/>
        <w:jc w:val="both"/>
        <w:rPr>
          <w:rFonts w:ascii="Calibri" w:eastAsia="Arial" w:hAnsi="Calibri" w:cs="Calibri"/>
          <w:kern w:val="2"/>
          <w:sz w:val="22"/>
          <w:szCs w:val="22"/>
        </w:rPr>
      </w:pPr>
      <w:r>
        <w:rPr>
          <w:rFonts w:ascii="Calibri" w:hAnsi="Calibri"/>
          <w:sz w:val="22"/>
        </w:rPr>
        <w:t>1</w:t>
      </w:r>
      <w:r>
        <w:rPr>
          <w:rFonts w:ascii="Calibri" w:hAnsi="Calibri"/>
          <w:sz w:val="22"/>
        </w:rPr>
        <w:tab/>
        <w:t>Kontrola ukończonych robót musi spełniać kryteria określone w art. 7 ust. 4 części I CTE.</w:t>
      </w:r>
    </w:p>
    <w:p w14:paraId="32DA09D6" w14:textId="77777777" w:rsidR="000760AB" w:rsidRPr="000760AB" w:rsidRDefault="000760AB" w:rsidP="00FD453F">
      <w:pPr>
        <w:spacing w:before="120" w:after="60"/>
        <w:ind w:left="284"/>
        <w:jc w:val="both"/>
        <w:rPr>
          <w:rFonts w:ascii="Calibri" w:eastAsia="Arial" w:hAnsi="Calibri" w:cs="Calibri"/>
          <w:kern w:val="2"/>
          <w:sz w:val="22"/>
          <w:szCs w:val="22"/>
        </w:rPr>
      </w:pPr>
      <w:r>
        <w:rPr>
          <w:rFonts w:ascii="Calibri" w:hAnsi="Calibri"/>
          <w:sz w:val="22"/>
        </w:rPr>
        <w:t>2</w:t>
      </w:r>
      <w:r>
        <w:rPr>
          <w:rFonts w:ascii="Calibri" w:hAnsi="Calibri"/>
          <w:sz w:val="22"/>
        </w:rPr>
        <w:tab/>
        <w:t>W niniejszej sekcji dokumentu podstawowego nie określono badań końcowych.</w:t>
      </w:r>
    </w:p>
    <w:p w14:paraId="71B8183A" w14:textId="77777777" w:rsidR="000760AB" w:rsidRPr="000760AB" w:rsidRDefault="000760AB" w:rsidP="00FD453F">
      <w:pPr>
        <w:keepNext/>
        <w:spacing w:before="200" w:after="100"/>
        <w:ind w:left="284"/>
        <w:jc w:val="both"/>
        <w:outlineLvl w:val="2"/>
        <w:rPr>
          <w:rFonts w:ascii="Calibri" w:eastAsia="Arial" w:hAnsi="Calibri" w:cs="Calibri"/>
          <w:kern w:val="2"/>
          <w:sz w:val="22"/>
          <w:szCs w:val="22"/>
        </w:rPr>
      </w:pPr>
      <w:bookmarkStart w:id="23" w:name="_Toc530396172"/>
      <w:bookmarkStart w:id="24" w:name="_Toc530395293"/>
      <w:r>
        <w:rPr>
          <w:rFonts w:ascii="Calibri" w:hAnsi="Calibri"/>
          <w:sz w:val="22"/>
        </w:rPr>
        <w:t>5.4 Konserwacja i utrzymanie budynku</w:t>
      </w:r>
      <w:bookmarkEnd w:id="23"/>
      <w:bookmarkEnd w:id="24"/>
    </w:p>
    <w:p w14:paraId="3E865FD5" w14:textId="77777777" w:rsidR="000760AB" w:rsidRPr="000760AB" w:rsidRDefault="000760AB" w:rsidP="00FD453F">
      <w:pPr>
        <w:spacing w:before="120" w:after="60"/>
        <w:ind w:left="284"/>
        <w:jc w:val="both"/>
        <w:rPr>
          <w:rFonts w:ascii="Calibri" w:eastAsia="Arial" w:hAnsi="Calibri" w:cs="Calibri"/>
          <w:kern w:val="2"/>
          <w:sz w:val="22"/>
          <w:szCs w:val="22"/>
        </w:rPr>
      </w:pPr>
      <w:r>
        <w:rPr>
          <w:rFonts w:ascii="Calibri" w:hAnsi="Calibri"/>
          <w:sz w:val="22"/>
        </w:rPr>
        <w:t>1</w:t>
      </w:r>
      <w:r>
        <w:rPr>
          <w:rFonts w:ascii="Calibri" w:hAnsi="Calibri"/>
          <w:sz w:val="22"/>
        </w:rPr>
        <w:tab/>
        <w:t xml:space="preserve">Plan utrzymania zawarty w dokumentacji budynku obejmuje działania i częstotliwość wymaganą do utrzymania, z biegiem czasu, parametrów projektowych i eksploatacyjnych </w:t>
      </w:r>
      <w:r>
        <w:rPr>
          <w:rFonts w:ascii="Calibri" w:hAnsi="Calibri"/>
          <w:i/>
          <w:sz w:val="22"/>
        </w:rPr>
        <w:t>infrastruktury ładowania pojazdów elektrycznych</w:t>
      </w:r>
      <w:r>
        <w:rPr>
          <w:rFonts w:ascii="Calibri" w:hAnsi="Calibri"/>
          <w:sz w:val="22"/>
        </w:rPr>
        <w:t>.</w:t>
      </w:r>
    </w:p>
    <w:p w14:paraId="44174479" w14:textId="77777777" w:rsidR="000760AB" w:rsidRPr="000760AB" w:rsidRDefault="000760AB" w:rsidP="00FD453F">
      <w:pPr>
        <w:spacing w:before="120" w:after="60"/>
        <w:ind w:left="284"/>
        <w:jc w:val="both"/>
        <w:rPr>
          <w:rFonts w:ascii="Calibri" w:eastAsia="Arial" w:hAnsi="Calibri" w:cs="Calibri"/>
          <w:kern w:val="2"/>
          <w:sz w:val="22"/>
          <w:szCs w:val="22"/>
        </w:rPr>
      </w:pPr>
      <w:r>
        <w:rPr>
          <w:rFonts w:ascii="Calibri" w:hAnsi="Calibri"/>
          <w:sz w:val="22"/>
        </w:rPr>
        <w:t>2</w:t>
      </w:r>
      <w:r>
        <w:rPr>
          <w:rFonts w:ascii="Calibri" w:hAnsi="Calibri"/>
          <w:sz w:val="22"/>
        </w:rPr>
        <w:tab/>
        <w:t>Podobnie w dokumentacji budynku udokumentowane zostaną wszystkie interwencje, czy to naprawy, remonty lub rehabilitacje, przeprowadzane przez cały okres eksploatacji budynku”.</w:t>
      </w:r>
    </w:p>
    <w:p w14:paraId="4BAAA47B"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mm) w załączniku A skreśla się wyrazy „wstępne oświetlenie” i „odbicie”.</w:t>
      </w:r>
    </w:p>
    <w:p w14:paraId="6C74EA4F" w14:textId="77777777" w:rsidR="000760AB" w:rsidRPr="000760AB" w:rsidRDefault="000760AB" w:rsidP="000760AB">
      <w:pPr>
        <w:spacing w:after="160" w:line="259" w:lineRule="auto"/>
        <w:ind w:left="284"/>
        <w:contextualSpacing/>
        <w:jc w:val="both"/>
        <w:rPr>
          <w:rFonts w:ascii="Calibri" w:eastAsia="Calibri" w:hAnsi="Calibri" w:cs="Calibri"/>
          <w:sz w:val="22"/>
          <w:szCs w:val="22"/>
        </w:rPr>
      </w:pPr>
      <w:r>
        <w:rPr>
          <w:rFonts w:ascii="Calibri" w:hAnsi="Calibri"/>
          <w:sz w:val="22"/>
        </w:rPr>
        <w:t>nn) w załączniku A definicja „</w:t>
      </w:r>
      <w:r>
        <w:rPr>
          <w:rFonts w:ascii="Calibri" w:hAnsi="Calibri"/>
          <w:i/>
          <w:sz w:val="22"/>
        </w:rPr>
        <w:t>Całkowitego współczynnika przenikania ciepła (przez przegrodę termiczną budynku</w:t>
      </w:r>
      <w:r>
        <w:rPr>
          <w:rFonts w:ascii="Calibri" w:hAnsi="Calibri"/>
          <w:sz w:val="22"/>
        </w:rPr>
        <w:t>) (K)”, która brzmi: “... K = X Hx/Aint..." powinien zawierać "x", "x" i "int" jako indeks dolny: “... K = Φ sq</w:t>
      </w:r>
      <w:r>
        <w:rPr>
          <w:rFonts w:ascii="Calibri" w:hAnsi="Calibri"/>
          <w:sz w:val="22"/>
          <w:vertAlign w:val="subscript"/>
        </w:rPr>
        <w:t>x</w:t>
      </w:r>
      <w:r>
        <w:rPr>
          <w:rFonts w:ascii="Calibri" w:hAnsi="Calibri"/>
          <w:sz w:val="22"/>
        </w:rPr>
        <w:t xml:space="preserve"> H</w:t>
      </w:r>
      <w:r>
        <w:rPr>
          <w:rFonts w:ascii="Calibri" w:hAnsi="Calibri"/>
          <w:sz w:val="22"/>
          <w:vertAlign w:val="subscript"/>
        </w:rPr>
        <w:t>x</w:t>
      </w:r>
      <w:r>
        <w:rPr>
          <w:rFonts w:ascii="Calibri" w:hAnsi="Calibri"/>
          <w:sz w:val="22"/>
        </w:rPr>
        <w:t>/A</w:t>
      </w:r>
      <w:r>
        <w:rPr>
          <w:rFonts w:ascii="Calibri" w:hAnsi="Calibri"/>
          <w:sz w:val="22"/>
          <w:vertAlign w:val="subscript"/>
        </w:rPr>
        <w:t>int;</w:t>
      </w:r>
      <w:r>
        <w:rPr>
          <w:rFonts w:ascii="Calibri" w:hAnsi="Calibri"/>
          <w:sz w:val="22"/>
        </w:rPr>
        <w:t>...', wyrażenia „ściany parietodynamiczne” i „Ściany Trombe” powinny być pisane kursywą.</w:t>
      </w:r>
    </w:p>
    <w:p w14:paraId="5C4DBA8E" w14:textId="77777777" w:rsidR="000760AB" w:rsidRPr="000760AB" w:rsidRDefault="000760AB" w:rsidP="000760AB">
      <w:pPr>
        <w:spacing w:after="160" w:line="259" w:lineRule="auto"/>
        <w:ind w:left="567"/>
        <w:contextualSpacing/>
        <w:jc w:val="both"/>
        <w:rPr>
          <w:rFonts w:ascii="Calibri" w:eastAsia="Calibri" w:hAnsi="Calibri" w:cs="Calibri"/>
          <w:sz w:val="22"/>
          <w:szCs w:val="22"/>
          <w:lang w:eastAsia="en-US"/>
        </w:rPr>
      </w:pPr>
    </w:p>
    <w:p w14:paraId="2CFABC1E" w14:textId="77777777" w:rsidR="000760AB" w:rsidRPr="000760AB" w:rsidRDefault="000760AB" w:rsidP="000760AB">
      <w:pPr>
        <w:spacing w:after="160" w:line="259" w:lineRule="auto"/>
        <w:ind w:left="284"/>
        <w:contextualSpacing/>
        <w:jc w:val="both"/>
        <w:rPr>
          <w:rFonts w:ascii="Calibri" w:eastAsia="Calibri" w:hAnsi="Calibri" w:cs="Calibri"/>
          <w:sz w:val="22"/>
          <w:szCs w:val="22"/>
        </w:rPr>
      </w:pPr>
      <w:r>
        <w:rPr>
          <w:rFonts w:ascii="Calibri" w:hAnsi="Calibri"/>
          <w:sz w:val="22"/>
        </w:rPr>
        <w:t>ññ) w załączniku A, w definicji „Zwartości” w akapicie drugim słowo „zwartość” powinno być pisane kursywą.</w:t>
      </w:r>
    </w:p>
    <w:p w14:paraId="2A0F9F45"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oo) w załączniku A, w definicji „warunków eksploatacji”, wyrażenie „prywatne użytkowanie mieszkalne” powinno być pisane kursywą.</w:t>
      </w:r>
    </w:p>
    <w:p w14:paraId="345DE1C6" w14:textId="77777777" w:rsidR="000760AB" w:rsidRPr="000760AB" w:rsidRDefault="000760AB" w:rsidP="000760AB">
      <w:pPr>
        <w:spacing w:after="160" w:line="259" w:lineRule="auto"/>
        <w:ind w:left="284"/>
        <w:contextualSpacing/>
        <w:jc w:val="both"/>
        <w:rPr>
          <w:rFonts w:ascii="Calibri" w:eastAsia="Calibri" w:hAnsi="Calibri" w:cs="Calibri"/>
          <w:sz w:val="22"/>
          <w:szCs w:val="22"/>
        </w:rPr>
      </w:pPr>
      <w:r>
        <w:rPr>
          <w:rFonts w:ascii="Calibri" w:hAnsi="Calibri"/>
          <w:sz w:val="22"/>
        </w:rPr>
        <w:t>pp) w załączniku A definicja „Zużycia energii pierwotnej ze źródeł nieodnawialnych”, która brzmi: “... Zużycie energii pierwotnej ze źródeł nieodnawialnych..." powinna zawierać "ep,nren" w indeksie dolnym: “... Zużycie energii pierwotnej ze źródeł nieodnawialnych (C</w:t>
      </w:r>
      <w:r>
        <w:rPr>
          <w:rFonts w:ascii="Calibri" w:hAnsi="Calibri"/>
          <w:sz w:val="22"/>
          <w:vertAlign w:val="subscript"/>
        </w:rPr>
        <w:t>ep,nren</w:t>
      </w:r>
      <w:r>
        <w:rPr>
          <w:rFonts w:ascii="Calibri" w:hAnsi="Calibri"/>
          <w:sz w:val="22"/>
        </w:rPr>
        <w:t>)...”.</w:t>
      </w:r>
    </w:p>
    <w:p w14:paraId="10AB3C41" w14:textId="77777777" w:rsidR="000760AB" w:rsidRPr="000760AB" w:rsidRDefault="000760AB" w:rsidP="000760AB">
      <w:pPr>
        <w:spacing w:after="160" w:line="259" w:lineRule="auto"/>
        <w:ind w:left="284"/>
        <w:contextualSpacing/>
        <w:jc w:val="both"/>
        <w:rPr>
          <w:rFonts w:ascii="Calibri" w:eastAsia="Calibri" w:hAnsi="Calibri" w:cs="Calibri"/>
          <w:sz w:val="22"/>
          <w:szCs w:val="22"/>
          <w:lang w:eastAsia="en-US"/>
        </w:rPr>
      </w:pPr>
    </w:p>
    <w:p w14:paraId="14333C7E" w14:textId="77777777" w:rsidR="000760AB" w:rsidRPr="000760AB" w:rsidRDefault="000760AB" w:rsidP="000760AB">
      <w:pPr>
        <w:spacing w:after="160" w:line="259" w:lineRule="auto"/>
        <w:ind w:left="284"/>
        <w:contextualSpacing/>
        <w:jc w:val="both"/>
        <w:rPr>
          <w:rFonts w:ascii="Calibri" w:eastAsia="Calibri" w:hAnsi="Calibri" w:cs="Calibri"/>
          <w:sz w:val="22"/>
          <w:szCs w:val="22"/>
        </w:rPr>
      </w:pPr>
      <w:r>
        <w:rPr>
          <w:rFonts w:ascii="Calibri" w:hAnsi="Calibri"/>
          <w:sz w:val="22"/>
        </w:rPr>
        <w:t>qq) w załączniku A definicja „Całkowitego zużycia energii pierwotnej”, która brzmi: “... Całkowite zużycie energii pierwotnej..." powinna zawierać "ep,tot" w indeksie dolnym: “... Całkowite zużycie energii pierwotnej (C</w:t>
      </w:r>
      <w:r>
        <w:rPr>
          <w:rFonts w:ascii="Calibri" w:hAnsi="Calibri"/>
          <w:sz w:val="22"/>
          <w:vertAlign w:val="subscript"/>
        </w:rPr>
        <w:t>ep,tot</w:t>
      </w:r>
      <w:r>
        <w:rPr>
          <w:rFonts w:ascii="Calibri" w:hAnsi="Calibri"/>
          <w:sz w:val="22"/>
        </w:rPr>
        <w:t>)...”.</w:t>
      </w:r>
    </w:p>
    <w:p w14:paraId="0CA46E11" w14:textId="77777777" w:rsidR="000760AB" w:rsidRPr="000760AB" w:rsidRDefault="000760AB" w:rsidP="000760AB">
      <w:pPr>
        <w:spacing w:after="160" w:line="259" w:lineRule="auto"/>
        <w:ind w:left="567"/>
        <w:contextualSpacing/>
        <w:jc w:val="both"/>
        <w:rPr>
          <w:rFonts w:ascii="Calibri" w:eastAsia="Calibri" w:hAnsi="Calibri" w:cs="Calibri"/>
          <w:sz w:val="22"/>
          <w:szCs w:val="22"/>
          <w:lang w:eastAsia="en-US"/>
        </w:rPr>
      </w:pPr>
    </w:p>
    <w:p w14:paraId="1B1F2FCF" w14:textId="77777777" w:rsidR="000760AB" w:rsidRPr="000760AB" w:rsidRDefault="000760AB" w:rsidP="000760AB">
      <w:pPr>
        <w:spacing w:after="160" w:line="259" w:lineRule="auto"/>
        <w:ind w:left="284"/>
        <w:contextualSpacing/>
        <w:jc w:val="both"/>
        <w:rPr>
          <w:rFonts w:ascii="Calibri" w:eastAsia="Calibri" w:hAnsi="Calibri" w:cs="Calibri"/>
          <w:sz w:val="22"/>
          <w:szCs w:val="22"/>
        </w:rPr>
      </w:pPr>
      <w:r>
        <w:rPr>
          <w:rFonts w:ascii="Calibri" w:hAnsi="Calibri"/>
          <w:sz w:val="22"/>
        </w:rPr>
        <w:t>rr) w załączniku A definicja „kontroli słonecznej (q</w:t>
      </w:r>
      <w:r>
        <w:rPr>
          <w:rFonts w:ascii="Calibri" w:hAnsi="Calibri"/>
          <w:sz w:val="22"/>
          <w:vertAlign w:val="subscript"/>
        </w:rPr>
        <w:t>sol;jul</w:t>
      </w:r>
      <w:r>
        <w:rPr>
          <w:rFonts w:ascii="Calibri" w:hAnsi="Calibri"/>
          <w:sz w:val="22"/>
        </w:rPr>
        <w:t>)”, która brzmi: „... użyteczna powierzchnia przestrzeni...” powinna brzmieć: „... przydatna powierzchnia pomieszczeń mieszkalnych...”. Kropkę i nowy akapit na końcu definicji składnika wzoru „Hsol;jul” zastępuje się średnikiem, oraz dodaje się definicję innego składnika wzoru, w brzmieniu:</w:t>
      </w:r>
    </w:p>
    <w:p w14:paraId="1679E36E" w14:textId="77777777" w:rsidR="000760AB" w:rsidRPr="000760AB" w:rsidRDefault="000760AB" w:rsidP="00FD453F">
      <w:pPr>
        <w:spacing w:after="160" w:line="259" w:lineRule="auto"/>
        <w:ind w:left="284"/>
        <w:jc w:val="both"/>
        <w:rPr>
          <w:rFonts w:ascii="Calibri" w:eastAsia="Calibri" w:hAnsi="Calibri" w:cs="Calibri"/>
          <w:sz w:val="22"/>
          <w:szCs w:val="22"/>
        </w:rPr>
      </w:pPr>
      <w:r>
        <w:rPr>
          <w:rFonts w:ascii="Calibri" w:hAnsi="Calibri"/>
          <w:sz w:val="22"/>
        </w:rPr>
        <w:lastRenderedPageBreak/>
        <w:t>„Obszar A</w:t>
      </w:r>
      <w:r>
        <w:rPr>
          <w:rFonts w:ascii="Calibri" w:hAnsi="Calibri"/>
          <w:sz w:val="22"/>
          <w:vertAlign w:val="subscript"/>
        </w:rPr>
        <w:t>util</w:t>
      </w:r>
      <w:r>
        <w:rPr>
          <w:rFonts w:ascii="Calibri" w:hAnsi="Calibri"/>
          <w:sz w:val="22"/>
        </w:rPr>
        <w:t xml:space="preserve"> uznany za zgodny z sekcją 4.6 HE 0.”</w:t>
      </w:r>
    </w:p>
    <w:p w14:paraId="5D16B486"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ss) w załączniku A, w definicji terminu „Energia końcowa” wyrażenie „Jest to energia zakupiona przez odbiorców, w postaci energii elektrycznej lub paliw zużytych bezpośrednio” zastępuje się wyrażeniem „Jest to energia dostarczona do systemów budynkowych w celu świadczenia usług; zwykle dostarczana jest w paliwie, wytwarzana na miejscu lub poprzez specjalną sieć (elektryczną, gazowniczą, ciepłowniczą lub chłodniczą itp.)”.</w:t>
      </w:r>
    </w:p>
    <w:p w14:paraId="4B18500C"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tt) w załączniku A, w definicji „Klimatyzowanej przestrzeni życiowej” termin „prywatne użytkowanie mieszkalne” powinien być pisany kursywą.</w:t>
      </w:r>
    </w:p>
    <w:p w14:paraId="7EC3AE41"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uu) w załączniku A w definicji „okresu użytkowania” termin „prywatne użytkowanie mieszkalne” w akapicie drugim powinien być pisany kursywą.</w:t>
      </w:r>
    </w:p>
    <w:p w14:paraId="3400E1E9"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vv) w załączniku A, w definicji terminu „Transmisja termiczna (wartość U)” na końcu definicji dodaje się zdanie w brzmieniu:</w:t>
      </w:r>
    </w:p>
    <w:p w14:paraId="20E76982" w14:textId="77777777" w:rsidR="000760AB" w:rsidRPr="000760AB" w:rsidRDefault="000760AB" w:rsidP="00FD453F">
      <w:pPr>
        <w:spacing w:after="160" w:line="259" w:lineRule="auto"/>
        <w:ind w:left="284"/>
        <w:jc w:val="both"/>
        <w:rPr>
          <w:rFonts w:ascii="Calibri" w:eastAsia="Calibri" w:hAnsi="Calibri" w:cs="Calibri"/>
          <w:sz w:val="22"/>
          <w:szCs w:val="22"/>
        </w:rPr>
      </w:pPr>
      <w:r>
        <w:rPr>
          <w:rFonts w:ascii="Calibri" w:hAnsi="Calibri"/>
          <w:sz w:val="22"/>
        </w:rPr>
        <w:t>„Wyrażone w W/m</w:t>
      </w:r>
      <w:r>
        <w:rPr>
          <w:rFonts w:ascii="Calibri" w:hAnsi="Calibri"/>
          <w:sz w:val="22"/>
          <w:vertAlign w:val="superscript"/>
        </w:rPr>
        <w:t>2</w:t>
      </w:r>
      <w:r>
        <w:rPr>
          <w:rFonts w:ascii="Calibri" w:hAnsi="Calibri"/>
          <w:sz w:val="22"/>
        </w:rPr>
        <w:t>K.”</w:t>
      </w:r>
    </w:p>
    <w:p w14:paraId="68C76D1A" w14:textId="77777777" w:rsidR="000760AB" w:rsidRPr="000760AB" w:rsidRDefault="000760AB" w:rsidP="00FD453F">
      <w:pPr>
        <w:spacing w:after="160" w:line="259" w:lineRule="auto"/>
        <w:ind w:left="284"/>
        <w:jc w:val="both"/>
        <w:rPr>
          <w:rFonts w:ascii="Calibri" w:eastAsia="Calibri" w:hAnsi="Calibri" w:cs="Calibri"/>
          <w:sz w:val="22"/>
          <w:szCs w:val="22"/>
        </w:rPr>
      </w:pPr>
      <w:r>
        <w:rPr>
          <w:rFonts w:ascii="Calibri" w:hAnsi="Calibri"/>
          <w:sz w:val="22"/>
        </w:rPr>
        <w:t>ww) w załączniku A, w definicji „Wartości sprawności energetycznej instalacji (VEEI)” termin „prywatne użytkowanie mieszkalne” powinien być pisany kursywą.</w:t>
      </w:r>
    </w:p>
    <w:p w14:paraId="45B16639" w14:textId="77777777" w:rsidR="000760AB" w:rsidRPr="000760AB" w:rsidRDefault="000760AB" w:rsidP="000760AB">
      <w:pPr>
        <w:spacing w:after="160" w:line="259" w:lineRule="auto"/>
        <w:ind w:left="567" w:hanging="283"/>
        <w:jc w:val="both"/>
        <w:rPr>
          <w:rFonts w:ascii="Calibri" w:eastAsia="Calibri" w:hAnsi="Calibri" w:cs="Calibri"/>
          <w:sz w:val="22"/>
          <w:szCs w:val="22"/>
        </w:rPr>
      </w:pPr>
      <w:r>
        <w:rPr>
          <w:rFonts w:ascii="Calibri" w:hAnsi="Calibri"/>
          <w:sz w:val="22"/>
        </w:rPr>
        <w:t>xx) w załączniku A „Terminologia” dodaje się następujące terminy:</w:t>
      </w:r>
    </w:p>
    <w:p w14:paraId="41AB6223" w14:textId="77777777" w:rsidR="000760AB" w:rsidRPr="000760AB" w:rsidRDefault="000760AB" w:rsidP="00FD453F">
      <w:pPr>
        <w:spacing w:before="200" w:after="120"/>
        <w:ind w:left="284"/>
        <w:jc w:val="both"/>
        <w:rPr>
          <w:rFonts w:ascii="Calibri" w:eastAsia="Arial" w:hAnsi="Calibri" w:cs="Calibri"/>
          <w:kern w:val="2"/>
          <w:sz w:val="22"/>
        </w:rPr>
      </w:pPr>
      <w:r>
        <w:rPr>
          <w:rFonts w:ascii="Calibri" w:hAnsi="Calibri"/>
          <w:sz w:val="22"/>
        </w:rPr>
        <w:t>„</w:t>
      </w:r>
      <w:r>
        <w:rPr>
          <w:rFonts w:ascii="Calibri" w:hAnsi="Calibri"/>
          <w:b/>
          <w:i/>
          <w:sz w:val="22"/>
        </w:rPr>
        <w:t>Sprzęt pomocniczy</w:t>
      </w:r>
      <w:r>
        <w:rPr>
          <w:rFonts w:ascii="Calibri" w:hAnsi="Calibri"/>
          <w:b/>
          <w:sz w:val="22"/>
        </w:rPr>
        <w:t xml:space="preserve">: </w:t>
      </w:r>
      <w:r>
        <w:rPr>
          <w:rFonts w:ascii="Calibri" w:hAnsi="Calibri"/>
          <w:sz w:val="22"/>
        </w:rPr>
        <w:t>sprzęt elektryczny lub elektroniczny związany ze oświetleniem, inny dla każdego typu światła, którego funkcją jest zapłon i sterowanie warunkami pracy. Ten sprzęt pomocniczy, chyba że jest elektroniczny, jest tworzony przez połączenie rozrusznika, statecznika i skraplacza.</w:t>
      </w:r>
    </w:p>
    <w:p w14:paraId="66E0B2DA" w14:textId="77777777" w:rsidR="000760AB" w:rsidRPr="000760AB" w:rsidRDefault="000760AB" w:rsidP="00FD453F">
      <w:pPr>
        <w:spacing w:before="200" w:after="100"/>
        <w:ind w:left="284"/>
        <w:jc w:val="both"/>
        <w:rPr>
          <w:rFonts w:ascii="Calibri" w:eastAsia="Arial" w:hAnsi="Calibri" w:cs="Calibri"/>
          <w:bCs/>
          <w:iCs/>
          <w:kern w:val="2"/>
          <w:sz w:val="22"/>
          <w:szCs w:val="22"/>
        </w:rPr>
      </w:pPr>
      <w:r>
        <w:rPr>
          <w:rFonts w:ascii="Calibri" w:hAnsi="Calibri"/>
          <w:sz w:val="22"/>
        </w:rPr>
        <w:t>„</w:t>
      </w:r>
      <w:r>
        <w:rPr>
          <w:rFonts w:ascii="Calibri" w:hAnsi="Calibri"/>
          <w:b/>
          <w:i/>
          <w:sz w:val="22"/>
        </w:rPr>
        <w:t>Stacja ładowania</w:t>
      </w:r>
      <w:r>
        <w:rPr>
          <w:rFonts w:ascii="Calibri" w:hAnsi="Calibri"/>
          <w:b/>
          <w:sz w:val="22"/>
        </w:rPr>
        <w:t xml:space="preserve">: </w:t>
      </w:r>
      <w:r>
        <w:rPr>
          <w:rFonts w:ascii="Calibri" w:hAnsi="Calibri"/>
          <w:sz w:val="22"/>
        </w:rPr>
        <w:t xml:space="preserve">zestaw elementów niezbędnych do podłączenia pojazdu elektrycznego do stałej instalacji elektrycznej wymaganej do jego ładowania. </w:t>
      </w:r>
      <w:r>
        <w:rPr>
          <w:rFonts w:ascii="Calibri" w:hAnsi="Calibri"/>
          <w:i/>
          <w:sz w:val="22"/>
        </w:rPr>
        <w:t>Stacje ładowania</w:t>
      </w:r>
      <w:r>
        <w:rPr>
          <w:rFonts w:ascii="Calibri" w:hAnsi="Calibri"/>
          <w:sz w:val="22"/>
        </w:rPr>
        <w:t xml:space="preserve"> są klasyfikowane jako:</w:t>
      </w:r>
    </w:p>
    <w:p w14:paraId="553A42BD" w14:textId="77777777" w:rsidR="000760AB" w:rsidRPr="000760AB" w:rsidRDefault="000760AB" w:rsidP="00FD453F">
      <w:pPr>
        <w:spacing w:before="200" w:after="100"/>
        <w:ind w:left="284"/>
        <w:jc w:val="both"/>
        <w:rPr>
          <w:rFonts w:ascii="Calibri" w:eastAsia="Arial" w:hAnsi="Calibri" w:cs="Calibri"/>
          <w:bCs/>
          <w:iCs/>
          <w:kern w:val="2"/>
          <w:sz w:val="22"/>
          <w:szCs w:val="22"/>
        </w:rPr>
      </w:pPr>
      <w:r>
        <w:rPr>
          <w:rFonts w:ascii="Calibri" w:hAnsi="Calibri"/>
          <w:sz w:val="22"/>
        </w:rPr>
        <w:t>1.</w:t>
      </w:r>
      <w:r>
        <w:rPr>
          <w:rFonts w:ascii="Calibri" w:hAnsi="Calibri"/>
          <w:sz w:val="22"/>
        </w:rPr>
        <w:tab/>
        <w:t xml:space="preserve">Pojedynczy punkt ładowania, składający się z niezbędnych zabezpieczeń, co najmniej jednego gniazdka niespecyficznego dla </w:t>
      </w:r>
      <w:r>
        <w:rPr>
          <w:rFonts w:ascii="Calibri" w:hAnsi="Calibri"/>
          <w:i/>
          <w:sz w:val="22"/>
        </w:rPr>
        <w:t>pojazdu elektrycznego</w:t>
      </w:r>
      <w:r>
        <w:rPr>
          <w:rFonts w:ascii="Calibri" w:hAnsi="Calibri"/>
          <w:sz w:val="22"/>
        </w:rPr>
        <w:t xml:space="preserve"> oraz, w stosownych przypadkach, obudowy.</w:t>
      </w:r>
    </w:p>
    <w:p w14:paraId="371F3BEE" w14:textId="77777777" w:rsidR="000760AB" w:rsidRPr="000760AB" w:rsidRDefault="000760AB" w:rsidP="00FD453F">
      <w:pPr>
        <w:spacing w:before="200" w:after="100"/>
        <w:ind w:left="284"/>
        <w:jc w:val="both"/>
        <w:rPr>
          <w:rFonts w:ascii="Calibri" w:eastAsia="Arial" w:hAnsi="Calibri" w:cs="Calibri"/>
          <w:b/>
          <w:bCs/>
          <w:i/>
          <w:iCs/>
          <w:kern w:val="2"/>
          <w:sz w:val="22"/>
          <w:szCs w:val="22"/>
        </w:rPr>
      </w:pPr>
      <w:r>
        <w:rPr>
          <w:rFonts w:ascii="Calibri" w:hAnsi="Calibri"/>
          <w:sz w:val="22"/>
        </w:rPr>
        <w:t>2.</w:t>
      </w:r>
      <w:r>
        <w:rPr>
          <w:rFonts w:ascii="Calibri" w:hAnsi="Calibri"/>
          <w:sz w:val="22"/>
        </w:rPr>
        <w:tab/>
        <w:t xml:space="preserve">Punkt ładowania typu SAVE </w:t>
      </w:r>
      <w:r>
        <w:rPr>
          <w:rFonts w:ascii="Calibri" w:hAnsi="Calibri"/>
          <w:i/>
          <w:sz w:val="22"/>
        </w:rPr>
        <w:t>(Specific Electric Vehicle Power Supply System - Specyficzny system zasilania pojazdy elektrycznego)</w:t>
      </w:r>
      <w:r>
        <w:rPr>
          <w:rFonts w:ascii="Calibri" w:hAnsi="Calibri"/>
          <w:sz w:val="22"/>
        </w:rPr>
        <w:t>”</w:t>
      </w:r>
    </w:p>
    <w:p w14:paraId="444AE92F" w14:textId="77777777" w:rsidR="000760AB" w:rsidRPr="000760AB" w:rsidRDefault="000760AB" w:rsidP="00FD453F">
      <w:pPr>
        <w:spacing w:before="200" w:after="100"/>
        <w:ind w:left="284"/>
        <w:jc w:val="both"/>
        <w:rPr>
          <w:rFonts w:ascii="Calibri" w:eastAsia="Arial" w:hAnsi="Calibri" w:cs="Calibri"/>
          <w:kern w:val="2"/>
          <w:sz w:val="22"/>
          <w:szCs w:val="22"/>
        </w:rPr>
      </w:pPr>
      <w:r>
        <w:rPr>
          <w:rFonts w:ascii="Calibri" w:hAnsi="Calibri"/>
          <w:sz w:val="22"/>
        </w:rPr>
        <w:t>„</w:t>
      </w:r>
      <w:r>
        <w:rPr>
          <w:rFonts w:ascii="Calibri" w:hAnsi="Calibri"/>
          <w:b/>
          <w:i/>
          <w:sz w:val="22"/>
        </w:rPr>
        <w:t>Infrastruktura ładowania pojazdów elektrycznych</w:t>
      </w:r>
      <w:r>
        <w:rPr>
          <w:rFonts w:ascii="Calibri" w:hAnsi="Calibri"/>
          <w:b/>
          <w:sz w:val="22"/>
        </w:rPr>
        <w:t xml:space="preserve">: </w:t>
      </w:r>
      <w:r>
        <w:rPr>
          <w:rFonts w:ascii="Calibri" w:hAnsi="Calibri"/>
          <w:sz w:val="22"/>
        </w:rPr>
        <w:t xml:space="preserve">zestaw urządzeń fizycznych i logicznych przeznaczonych do ładowania pojazdów elektrycznych spełniających wymogi bezpieczeństwa i dostępności przewidziane dla każdego przypadku w przepisach elektrotechnicznych dotyczących niskich napięć, zdolnych do zapewnienia pełnej i kompleksowej usługi ładowania. Obejmuje ona </w:t>
      </w:r>
      <w:r>
        <w:rPr>
          <w:rFonts w:ascii="Calibri" w:hAnsi="Calibri"/>
          <w:i/>
          <w:sz w:val="22"/>
        </w:rPr>
        <w:t>stacje ładowania</w:t>
      </w:r>
      <w:r>
        <w:rPr>
          <w:rFonts w:ascii="Calibri" w:hAnsi="Calibri"/>
          <w:sz w:val="22"/>
        </w:rPr>
        <w:t xml:space="preserve">, układ sterowania, przewody elektryczne, elektryczne panele sterowania i zabezpieczające oraz urządzenia pomiarowe, które są przeznaczone wyłącznie do ładowania </w:t>
      </w:r>
      <w:r>
        <w:rPr>
          <w:rFonts w:ascii="Calibri" w:hAnsi="Calibri"/>
          <w:i/>
          <w:sz w:val="22"/>
        </w:rPr>
        <w:t>pojazdów elektrycznych</w:t>
      </w:r>
      <w:r>
        <w:rPr>
          <w:rFonts w:ascii="Calibri" w:hAnsi="Calibri"/>
          <w:sz w:val="22"/>
        </w:rPr>
        <w:t>”.</w:t>
      </w:r>
    </w:p>
    <w:p w14:paraId="08E0941B" w14:textId="77777777" w:rsidR="000760AB" w:rsidRPr="000760AB" w:rsidRDefault="000760AB" w:rsidP="00FD453F">
      <w:pPr>
        <w:spacing w:before="200" w:after="100"/>
        <w:ind w:left="284"/>
        <w:jc w:val="both"/>
        <w:rPr>
          <w:rFonts w:ascii="Calibri" w:eastAsia="Arial" w:hAnsi="Calibri" w:cs="Calibri"/>
          <w:kern w:val="2"/>
          <w:sz w:val="22"/>
          <w:szCs w:val="22"/>
        </w:rPr>
      </w:pPr>
      <w:r>
        <w:rPr>
          <w:rFonts w:ascii="Calibri" w:hAnsi="Calibri"/>
          <w:sz w:val="22"/>
        </w:rPr>
        <w:t>„</w:t>
      </w:r>
      <w:r>
        <w:rPr>
          <w:rFonts w:ascii="Calibri" w:hAnsi="Calibri"/>
          <w:b/>
          <w:i/>
          <w:sz w:val="22"/>
        </w:rPr>
        <w:t>Specyficzny system zasilania pojazdy elektrycznego (SAVE)</w:t>
      </w:r>
      <w:r>
        <w:rPr>
          <w:rFonts w:ascii="Calibri" w:hAnsi="Calibri"/>
          <w:b/>
          <w:sz w:val="22"/>
        </w:rPr>
        <w:t>:</w:t>
      </w:r>
      <w:r>
        <w:rPr>
          <w:rFonts w:ascii="Calibri" w:hAnsi="Calibri"/>
          <w:sz w:val="22"/>
        </w:rPr>
        <w:t xml:space="preserve"> zestaw urządzeń zmontowanych w celu dostarczania energii elektrycznej do ładowania pojazdu elektrycznego, w tym zabezpieczenia stacji ładowania, kabel przyłączeniowy (z przewodami fazowymi, przewodem neutralnym i przewodem ochronnym) podstawa gniazda lub złącze oraz, w stosownych przypadkach, przetwornica AC/DC. System ten, w stosownych przypadkach, umożliwia komunikację między </w:t>
      </w:r>
      <w:r>
        <w:rPr>
          <w:rFonts w:ascii="Calibri" w:hAnsi="Calibri"/>
          <w:i/>
          <w:sz w:val="22"/>
        </w:rPr>
        <w:t>pojazdem elektrycznym</w:t>
      </w:r>
      <w:r>
        <w:rPr>
          <w:rFonts w:ascii="Calibri" w:hAnsi="Calibri"/>
          <w:sz w:val="22"/>
        </w:rPr>
        <w:t xml:space="preserve"> a instalacją stacjonarną.”</w:t>
      </w:r>
    </w:p>
    <w:p w14:paraId="2A9E9618" w14:textId="77777777" w:rsidR="000760AB" w:rsidRPr="000760AB" w:rsidRDefault="000760AB" w:rsidP="00FD453F">
      <w:pPr>
        <w:spacing w:before="200" w:after="100"/>
        <w:ind w:left="284"/>
        <w:jc w:val="both"/>
        <w:rPr>
          <w:rFonts w:ascii="Calibri" w:eastAsia="Arial" w:hAnsi="Calibri" w:cs="Calibri"/>
          <w:strike/>
          <w:kern w:val="2"/>
          <w:sz w:val="22"/>
          <w:szCs w:val="22"/>
        </w:rPr>
      </w:pPr>
      <w:r>
        <w:rPr>
          <w:rFonts w:ascii="Calibri" w:hAnsi="Calibri"/>
          <w:sz w:val="22"/>
        </w:rPr>
        <w:t>„</w:t>
      </w:r>
      <w:r>
        <w:rPr>
          <w:rFonts w:ascii="Calibri" w:hAnsi="Calibri"/>
          <w:b/>
          <w:i/>
          <w:sz w:val="22"/>
        </w:rPr>
        <w:t>Prywatne użytkowanie mieszkalne</w:t>
      </w:r>
      <w:r>
        <w:rPr>
          <w:rFonts w:ascii="Calibri" w:hAnsi="Calibri"/>
          <w:sz w:val="22"/>
        </w:rPr>
        <w:t>: Budynek lub teren przeznaczony na stałe miejsce zamieszkania, bez względu na rodzaj budynku: dom jednorodzinny, apartamentowiec itp., zarówno pod zabudowę publiczną, jak i prywatną”.</w:t>
      </w:r>
    </w:p>
    <w:p w14:paraId="20F0D8BC" w14:textId="77777777" w:rsidR="000760AB" w:rsidRPr="000760AB" w:rsidRDefault="000760AB" w:rsidP="00FD453F">
      <w:pPr>
        <w:spacing w:before="200" w:after="100"/>
        <w:ind w:left="284"/>
        <w:jc w:val="both"/>
        <w:rPr>
          <w:rFonts w:ascii="Calibri" w:eastAsia="Arial" w:hAnsi="Calibri" w:cs="Calibri"/>
          <w:kern w:val="2"/>
          <w:sz w:val="22"/>
        </w:rPr>
      </w:pPr>
      <w:r>
        <w:rPr>
          <w:rFonts w:ascii="Calibri" w:hAnsi="Calibri"/>
          <w:sz w:val="22"/>
        </w:rPr>
        <w:lastRenderedPageBreak/>
        <w:t>„</w:t>
      </w:r>
      <w:r>
        <w:rPr>
          <w:rFonts w:ascii="Calibri" w:hAnsi="Calibri"/>
          <w:b/>
          <w:i/>
          <w:sz w:val="22"/>
        </w:rPr>
        <w:t>Pojazd elektryczny</w:t>
      </w:r>
      <w:r>
        <w:rPr>
          <w:rFonts w:ascii="Calibri" w:hAnsi="Calibri"/>
          <w:sz w:val="22"/>
        </w:rPr>
        <w:t>: pojazd silnikowy wyposażony w zespół napędowy z co najmniej jednym nieperyferyjnym mechanizmem elektrycznym działającym jako konwerter energii i wyposażony w system magazynowania energii elektrycznej wielokrotnego ładowania, który może być ładowany z zewnątrz.”</w:t>
      </w:r>
    </w:p>
    <w:p w14:paraId="52B758BF" w14:textId="77777777" w:rsidR="000760AB" w:rsidRPr="000760AB" w:rsidRDefault="000760AB" w:rsidP="000760AB">
      <w:pPr>
        <w:spacing w:before="200" w:after="100"/>
        <w:ind w:left="284"/>
        <w:jc w:val="both"/>
        <w:rPr>
          <w:rFonts w:ascii="Calibri" w:eastAsia="Arial" w:hAnsi="Calibri" w:cs="Calibri"/>
          <w:kern w:val="2"/>
          <w:sz w:val="22"/>
          <w:szCs w:val="22"/>
        </w:rPr>
      </w:pPr>
      <w:r>
        <w:rPr>
          <w:rFonts w:ascii="Calibri" w:hAnsi="Calibri"/>
          <w:sz w:val="22"/>
        </w:rPr>
        <w:t>yy) w załączniku C termin „przegroda termiczna” w tytule i termin „przestrzeń nienadająca się do zamieszkania” w sekcji 1 lit. a) musi być kursywą.</w:t>
      </w:r>
    </w:p>
    <w:p w14:paraId="5ED476EB" w14:textId="77777777" w:rsidR="000760AB" w:rsidRPr="000760AB" w:rsidRDefault="000760AB" w:rsidP="000760AB">
      <w:pPr>
        <w:spacing w:before="200" w:after="100"/>
        <w:ind w:left="284"/>
        <w:jc w:val="both"/>
        <w:rPr>
          <w:rFonts w:ascii="Calibri" w:eastAsia="Arial" w:hAnsi="Calibri" w:cs="Calibri"/>
          <w:kern w:val="2"/>
          <w:sz w:val="22"/>
          <w:szCs w:val="22"/>
        </w:rPr>
      </w:pPr>
      <w:r>
        <w:rPr>
          <w:rFonts w:ascii="Calibri" w:hAnsi="Calibri"/>
          <w:sz w:val="22"/>
        </w:rPr>
        <w:t xml:space="preserve">zz) w załączniku D wyrażenia „Warunki eksploatacji”, „profile użytkowania” i „prywatne użytkowanie mieszkalne” muszą być pisane kursywą w tytule, ust. 2 oraz w tabeli a-załącznik D, tabeli b-załącznik D i tabeli c-załącznik D. </w:t>
      </w:r>
    </w:p>
    <w:p w14:paraId="17E305EB" w14:textId="77777777" w:rsidR="000760AB" w:rsidRPr="000760AB" w:rsidRDefault="000760AB" w:rsidP="000760AB">
      <w:pPr>
        <w:spacing w:before="200" w:after="100"/>
        <w:ind w:left="284"/>
        <w:jc w:val="both"/>
        <w:rPr>
          <w:rFonts w:ascii="Calibri" w:eastAsia="Arial" w:hAnsi="Calibri" w:cs="Calibri"/>
          <w:kern w:val="2"/>
          <w:sz w:val="22"/>
          <w:szCs w:val="22"/>
        </w:rPr>
      </w:pPr>
      <w:r>
        <w:rPr>
          <w:rFonts w:ascii="Calibri" w:hAnsi="Calibri"/>
          <w:sz w:val="22"/>
        </w:rPr>
        <w:t xml:space="preserve">aaa) w załączniku D ust. „2 </w:t>
      </w:r>
      <w:r>
        <w:rPr>
          <w:rFonts w:ascii="Calibri" w:hAnsi="Calibri"/>
          <w:i/>
          <w:sz w:val="22"/>
        </w:rPr>
        <w:t>Warunki eksploatacji</w:t>
      </w:r>
      <w:r>
        <w:rPr>
          <w:rFonts w:ascii="Calibri" w:hAnsi="Calibri"/>
          <w:sz w:val="22"/>
        </w:rPr>
        <w:t xml:space="preserve"> i </w:t>
      </w:r>
      <w:r>
        <w:rPr>
          <w:rFonts w:ascii="Calibri" w:hAnsi="Calibri"/>
          <w:i/>
          <w:sz w:val="22"/>
        </w:rPr>
        <w:t>profil użytkowania</w:t>
      </w:r>
      <w:r>
        <w:rPr>
          <w:rFonts w:ascii="Calibri" w:hAnsi="Calibri"/>
          <w:sz w:val="22"/>
        </w:rPr>
        <w:t xml:space="preserve">...” otrzymuje oznaczenie „3 </w:t>
      </w:r>
      <w:r>
        <w:rPr>
          <w:rFonts w:ascii="Calibri" w:hAnsi="Calibri"/>
          <w:i/>
          <w:sz w:val="22"/>
        </w:rPr>
        <w:t>Warunki eksploatacji</w:t>
      </w:r>
      <w:r>
        <w:rPr>
          <w:rFonts w:ascii="Calibri" w:hAnsi="Calibri"/>
          <w:sz w:val="22"/>
        </w:rPr>
        <w:t xml:space="preserve"> i </w:t>
      </w:r>
      <w:r>
        <w:rPr>
          <w:rFonts w:ascii="Calibri" w:hAnsi="Calibri"/>
          <w:i/>
          <w:sz w:val="22"/>
        </w:rPr>
        <w:t>profil użytkowania</w:t>
      </w:r>
      <w:r>
        <w:rPr>
          <w:rFonts w:ascii="Calibri" w:hAnsi="Calibri"/>
          <w:sz w:val="22"/>
        </w:rPr>
        <w:t>...”.</w:t>
      </w:r>
    </w:p>
    <w:p w14:paraId="7B66B51A" w14:textId="77777777" w:rsidR="000760AB" w:rsidRPr="000760AB" w:rsidRDefault="000760AB" w:rsidP="000760AB">
      <w:pPr>
        <w:spacing w:before="200" w:after="100"/>
        <w:ind w:left="284"/>
        <w:jc w:val="both"/>
        <w:rPr>
          <w:rFonts w:ascii="Calibri" w:eastAsia="Arial" w:hAnsi="Calibri" w:cs="Calibri"/>
          <w:kern w:val="2"/>
          <w:sz w:val="22"/>
        </w:rPr>
      </w:pPr>
      <w:r>
        <w:rPr>
          <w:rFonts w:ascii="Calibri" w:hAnsi="Calibri"/>
          <w:sz w:val="22"/>
        </w:rPr>
        <w:t>bbb) w załączniku D ust. 4 wyrażenie „Uznany dokument” zastępuje się wyrażeniem „Uznany dokument do celów certyfikacji energetycznej budynków”.</w:t>
      </w:r>
    </w:p>
    <w:p w14:paraId="2E3E9125" w14:textId="77777777" w:rsidR="000760AB" w:rsidRPr="000760AB" w:rsidRDefault="000760AB" w:rsidP="000760AB">
      <w:pPr>
        <w:spacing w:before="200" w:after="100"/>
        <w:ind w:left="284"/>
        <w:jc w:val="both"/>
        <w:rPr>
          <w:rFonts w:ascii="Calibri" w:eastAsia="Arial" w:hAnsi="Calibri" w:cs="Calibri"/>
          <w:kern w:val="2"/>
          <w:sz w:val="22"/>
        </w:rPr>
      </w:pPr>
      <w:r>
        <w:rPr>
          <w:rFonts w:ascii="Calibri" w:hAnsi="Calibri"/>
          <w:sz w:val="22"/>
        </w:rPr>
        <w:t>ccc) w załączniku E wyrażenie „prywatne użytkowanie mieszkaniowe” w ust. 1 powinno być kursywą.</w:t>
      </w:r>
    </w:p>
    <w:p w14:paraId="31530518" w14:textId="77777777" w:rsidR="000760AB" w:rsidRPr="000760AB" w:rsidRDefault="000760AB" w:rsidP="000760AB">
      <w:pPr>
        <w:spacing w:before="200" w:after="100"/>
        <w:ind w:left="284"/>
        <w:jc w:val="both"/>
        <w:rPr>
          <w:rFonts w:ascii="Calibri" w:eastAsia="Arial" w:hAnsi="Calibri" w:cs="Calibri"/>
          <w:kern w:val="2"/>
          <w:sz w:val="22"/>
        </w:rPr>
      </w:pPr>
      <w:r>
        <w:rPr>
          <w:rFonts w:ascii="Calibri" w:hAnsi="Calibri"/>
          <w:sz w:val="22"/>
        </w:rPr>
        <w:t>ddd) w załączniku F wyrażenie „prywatne użytkowanie mieszkalne” powinno być pisane kursywą zarówno w sekcji 1, jak i w tabeli a-załącznik F.</w:t>
      </w:r>
    </w:p>
    <w:p w14:paraId="58F73C97" w14:textId="77777777" w:rsidR="000760AB" w:rsidRPr="000760AB" w:rsidRDefault="000760AB" w:rsidP="000760AB">
      <w:pPr>
        <w:spacing w:after="160" w:line="259" w:lineRule="auto"/>
        <w:ind w:left="567" w:hanging="283"/>
        <w:jc w:val="both"/>
        <w:rPr>
          <w:rFonts w:ascii="Calibri" w:eastAsia="Arial" w:hAnsi="Calibri" w:cs="Calibri"/>
          <w:kern w:val="2"/>
          <w:sz w:val="22"/>
          <w:szCs w:val="22"/>
        </w:rPr>
      </w:pPr>
      <w:r>
        <w:rPr>
          <w:rFonts w:ascii="Calibri" w:hAnsi="Calibri"/>
          <w:sz w:val="22"/>
        </w:rPr>
        <w:t xml:space="preserve">eee) w załączniku H po tytule sekcji dodaje się tekst w brzmieniu:  </w:t>
      </w:r>
    </w:p>
    <w:p w14:paraId="1FDC42A7" w14:textId="77777777" w:rsidR="000760AB" w:rsidRPr="000760AB" w:rsidRDefault="000760AB" w:rsidP="00FD453F">
      <w:pPr>
        <w:spacing w:after="160" w:line="259" w:lineRule="auto"/>
        <w:ind w:left="284"/>
        <w:jc w:val="both"/>
        <w:rPr>
          <w:rFonts w:ascii="Calibri" w:eastAsia="Calibri" w:hAnsi="Calibri" w:cs="Calibri"/>
          <w:sz w:val="22"/>
          <w:szCs w:val="22"/>
        </w:rPr>
      </w:pPr>
      <w:r>
        <w:rPr>
          <w:rFonts w:ascii="Calibri" w:hAnsi="Calibri"/>
          <w:sz w:val="22"/>
        </w:rPr>
        <w:t xml:space="preserve">„Określenie </w:t>
      </w:r>
      <w:r>
        <w:rPr>
          <w:rFonts w:ascii="Calibri" w:hAnsi="Calibri"/>
          <w:i/>
          <w:sz w:val="22"/>
        </w:rPr>
        <w:t xml:space="preserve">przepuszczalności powietrznej </w:t>
      </w:r>
      <w:r>
        <w:rPr>
          <w:rFonts w:ascii="Calibri" w:hAnsi="Calibri"/>
          <w:sz w:val="22"/>
        </w:rPr>
        <w:t xml:space="preserve">budynku musi zostać przeprowadzone za pomocą jednej z następujących metod”. </w:t>
      </w:r>
    </w:p>
    <w:p w14:paraId="5FF5B351"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 xml:space="preserve">fff) w załączniku H wyrażenie „Wartość współczynnika wymiany powietrza przy 50 Pa, n50, można uzyskać poprzez badanie zgodnie z metodą B UNE-EN 13829:2002 Oznaczanie szczelności powietrznej w budynkach. Metoda zwiększania ciśnienia za pomocą wentylatora." otrzymuje brzmienie: „Wartość </w:t>
      </w:r>
      <w:r>
        <w:rPr>
          <w:rFonts w:ascii="Calibri" w:hAnsi="Calibri"/>
          <w:i/>
          <w:sz w:val="22"/>
        </w:rPr>
        <w:t>współczynnika wymiany powietrza</w:t>
      </w:r>
      <w:r>
        <w:rPr>
          <w:rFonts w:ascii="Calibri" w:hAnsi="Calibri"/>
          <w:sz w:val="22"/>
        </w:rPr>
        <w:t xml:space="preserve"> przy 50 Pa, n</w:t>
      </w:r>
      <w:r>
        <w:rPr>
          <w:rFonts w:ascii="Calibri" w:hAnsi="Calibri"/>
          <w:sz w:val="22"/>
          <w:vertAlign w:val="subscript"/>
        </w:rPr>
        <w:t>50</w:t>
      </w:r>
      <w:r>
        <w:rPr>
          <w:rFonts w:ascii="Calibri" w:hAnsi="Calibri"/>
          <w:sz w:val="22"/>
        </w:rPr>
        <w:t xml:space="preserve"> w drodze badania uzyskuje się metodą 1 lub 2 według normy UNE-EN ISO 9972: 2019 </w:t>
      </w:r>
      <w:r>
        <w:rPr>
          <w:rFonts w:ascii="Calibri" w:hAnsi="Calibri"/>
          <w:i/>
          <w:sz w:val="22"/>
        </w:rPr>
        <w:t>Sprawność cieplna budynków. Określenie przepuszczalności powietrznej budynków. Metoda zwiększania ciśnienia za pomocą wentylatora.”.</w:t>
      </w:r>
    </w:p>
    <w:p w14:paraId="6FED2289" w14:textId="77777777" w:rsidR="000760AB" w:rsidRPr="000760AB" w:rsidRDefault="000760AB" w:rsidP="000760AB">
      <w:pPr>
        <w:spacing w:before="200" w:after="100"/>
        <w:ind w:left="284"/>
        <w:jc w:val="both"/>
        <w:rPr>
          <w:rFonts w:ascii="Calibri" w:eastAsia="Arial" w:hAnsi="Calibri" w:cs="Calibri"/>
          <w:kern w:val="2"/>
          <w:sz w:val="22"/>
        </w:rPr>
      </w:pPr>
      <w:r>
        <w:rPr>
          <w:rFonts w:ascii="Calibri" w:hAnsi="Calibri"/>
          <w:sz w:val="22"/>
        </w:rPr>
        <w:t>ggg) w sekcji H, pkt 2 wyrażenie: „... 2. Wartość współczynnika wymiany powietrza przy 50 Pa, n</w:t>
      </w:r>
      <w:r>
        <w:rPr>
          <w:rFonts w:ascii="Calibri" w:hAnsi="Calibri"/>
          <w:sz w:val="22"/>
          <w:vertAlign w:val="subscript"/>
        </w:rPr>
        <w:t>50</w:t>
      </w:r>
      <w:r>
        <w:rPr>
          <w:rFonts w:ascii="Calibri" w:hAnsi="Calibri"/>
          <w:sz w:val="22"/>
        </w:rPr>
        <w:t xml:space="preserve">, można obliczyć na podstawie następującego równania:” otrzymuje brzmienie: „... 1. Wartość </w:t>
      </w:r>
      <w:r>
        <w:rPr>
          <w:rFonts w:ascii="Calibri" w:hAnsi="Calibri"/>
          <w:i/>
          <w:sz w:val="22"/>
        </w:rPr>
        <w:t>współczynnika wymiany powietrza</w:t>
      </w:r>
      <w:r>
        <w:rPr>
          <w:rFonts w:ascii="Calibri" w:hAnsi="Calibri"/>
          <w:sz w:val="22"/>
        </w:rPr>
        <w:t xml:space="preserve"> przy 50 Pa, n</w:t>
      </w:r>
      <w:r>
        <w:rPr>
          <w:rFonts w:ascii="Calibri" w:hAnsi="Calibri"/>
          <w:sz w:val="22"/>
          <w:vertAlign w:val="subscript"/>
        </w:rPr>
        <w:t>50</w:t>
      </w:r>
      <w:r>
        <w:rPr>
          <w:rFonts w:ascii="Calibri" w:hAnsi="Calibri"/>
          <w:sz w:val="22"/>
        </w:rPr>
        <w:t xml:space="preserve"> przy użyciu wartości odniesienia otrzymuje się za pomocą następującego wyrażenia:' które brzmi: „n</w:t>
      </w:r>
      <w:r>
        <w:rPr>
          <w:rFonts w:ascii="Calibri" w:hAnsi="Calibri"/>
          <w:sz w:val="22"/>
          <w:vertAlign w:val="subscript"/>
        </w:rPr>
        <w:t>50</w:t>
      </w:r>
      <w:r>
        <w:rPr>
          <w:rFonts w:ascii="Calibri" w:hAnsi="Calibri"/>
          <w:sz w:val="22"/>
        </w:rPr>
        <w:t xml:space="preserve"> = 0.629 · (C</w:t>
      </w:r>
      <w:r>
        <w:rPr>
          <w:rFonts w:ascii="Calibri" w:hAnsi="Calibri"/>
          <w:sz w:val="22"/>
          <w:vertAlign w:val="subscript"/>
        </w:rPr>
        <w:t>o</w:t>
      </w:r>
      <w:r>
        <w:rPr>
          <w:rFonts w:ascii="Calibri" w:hAnsi="Calibri"/>
          <w:sz w:val="22"/>
        </w:rPr>
        <w:t xml:space="preserve"> · A</w:t>
      </w:r>
      <w:r>
        <w:rPr>
          <w:rFonts w:ascii="Calibri" w:hAnsi="Calibri"/>
          <w:sz w:val="22"/>
          <w:vertAlign w:val="subscript"/>
        </w:rPr>
        <w:t>o</w:t>
      </w:r>
      <w:r>
        <w:rPr>
          <w:rFonts w:ascii="Calibri" w:hAnsi="Calibri"/>
          <w:sz w:val="22"/>
        </w:rPr>
        <w:t xml:space="preserve"> + C</w:t>
      </w:r>
      <w:r>
        <w:rPr>
          <w:rFonts w:ascii="Calibri" w:hAnsi="Calibri"/>
          <w:sz w:val="22"/>
          <w:vertAlign w:val="subscript"/>
        </w:rPr>
        <w:t>h</w:t>
      </w:r>
      <w:r>
        <w:rPr>
          <w:rFonts w:ascii="Calibri" w:hAnsi="Calibri"/>
          <w:sz w:val="22"/>
        </w:rPr>
        <w:t xml:space="preserve"> · A</w:t>
      </w:r>
      <w:r>
        <w:rPr>
          <w:rFonts w:ascii="Calibri" w:hAnsi="Calibri"/>
          <w:sz w:val="22"/>
          <w:vertAlign w:val="subscript"/>
        </w:rPr>
        <w:t>h</w:t>
      </w:r>
      <w:r>
        <w:rPr>
          <w:rFonts w:ascii="Calibri" w:hAnsi="Calibri"/>
          <w:sz w:val="22"/>
        </w:rPr>
        <w:t>) / V” otrzymuje brzmienie: „‘n</w:t>
      </w:r>
      <w:r>
        <w:rPr>
          <w:rFonts w:ascii="Calibri" w:hAnsi="Calibri"/>
          <w:sz w:val="22"/>
          <w:vertAlign w:val="subscript"/>
        </w:rPr>
        <w:t>50</w:t>
      </w:r>
      <w:r>
        <w:rPr>
          <w:rFonts w:ascii="Calibri" w:hAnsi="Calibri"/>
          <w:sz w:val="22"/>
        </w:rPr>
        <w:t xml:space="preserve"> = 0.629 · (C</w:t>
      </w:r>
      <w:r>
        <w:rPr>
          <w:rFonts w:ascii="Calibri" w:hAnsi="Calibri"/>
          <w:sz w:val="22"/>
          <w:vertAlign w:val="subscript"/>
        </w:rPr>
        <w:t>o</w:t>
      </w:r>
      <w:r>
        <w:rPr>
          <w:rFonts w:ascii="Calibri" w:hAnsi="Calibri"/>
          <w:sz w:val="22"/>
        </w:rPr>
        <w:t xml:space="preserve"> · A</w:t>
      </w:r>
      <w:r>
        <w:rPr>
          <w:rFonts w:ascii="Calibri" w:hAnsi="Calibri"/>
          <w:sz w:val="22"/>
          <w:vertAlign w:val="subscript"/>
        </w:rPr>
        <w:t>o</w:t>
      </w:r>
      <w:r>
        <w:rPr>
          <w:rFonts w:ascii="Calibri" w:hAnsi="Calibri"/>
          <w:sz w:val="22"/>
        </w:rPr>
        <w:t xml:space="preserve"> + C</w:t>
      </w:r>
      <w:r>
        <w:rPr>
          <w:rFonts w:ascii="Calibri" w:hAnsi="Calibri"/>
          <w:sz w:val="22"/>
          <w:vertAlign w:val="subscript"/>
        </w:rPr>
        <w:t>h</w:t>
      </w:r>
      <w:r>
        <w:rPr>
          <w:rFonts w:ascii="Calibri" w:hAnsi="Calibri"/>
          <w:sz w:val="22"/>
        </w:rPr>
        <w:t xml:space="preserve"> · A</w:t>
      </w:r>
      <w:r>
        <w:rPr>
          <w:rFonts w:ascii="Calibri" w:hAnsi="Calibri"/>
          <w:sz w:val="22"/>
          <w:vertAlign w:val="subscript"/>
        </w:rPr>
        <w:t>h</w:t>
      </w:r>
      <w:r>
        <w:rPr>
          <w:rFonts w:ascii="Calibri" w:hAnsi="Calibri"/>
          <w:sz w:val="22"/>
        </w:rPr>
        <w:t>) / V</w:t>
      </w:r>
      <w:r>
        <w:rPr>
          <w:rFonts w:ascii="Calibri" w:hAnsi="Calibri"/>
          <w:sz w:val="22"/>
          <w:vertAlign w:val="subscript"/>
        </w:rPr>
        <w:t>int</w:t>
      </w:r>
      <w:r>
        <w:rPr>
          <w:rFonts w:ascii="Calibri" w:hAnsi="Calibri"/>
          <w:sz w:val="22"/>
        </w:rPr>
        <w:t>”, które brzmi: „V oznacza wewnętrzną objętość przegrody termicznej, w [m</w:t>
      </w:r>
      <w:r>
        <w:rPr>
          <w:rFonts w:ascii="Calibri" w:hAnsi="Calibri"/>
          <w:sz w:val="22"/>
          <w:vertAlign w:val="superscript"/>
        </w:rPr>
        <w:t>3</w:t>
      </w:r>
      <w:r>
        <w:rPr>
          <w:rFonts w:ascii="Calibri" w:hAnsi="Calibri"/>
          <w:sz w:val="22"/>
        </w:rPr>
        <w:t>]” otrzymuje brzmienie: „V</w:t>
      </w:r>
      <w:r>
        <w:rPr>
          <w:rFonts w:ascii="Calibri" w:hAnsi="Calibri"/>
          <w:sz w:val="22"/>
          <w:vertAlign w:val="subscript"/>
        </w:rPr>
        <w:t>int</w:t>
      </w:r>
      <w:r>
        <w:rPr>
          <w:rFonts w:ascii="Calibri" w:hAnsi="Calibri"/>
          <w:sz w:val="22"/>
        </w:rPr>
        <w:t xml:space="preserve"> oznacza wewnętrzną objętość powietrza </w:t>
      </w:r>
      <w:r>
        <w:rPr>
          <w:rFonts w:ascii="Calibri" w:hAnsi="Calibri"/>
          <w:i/>
          <w:sz w:val="22"/>
        </w:rPr>
        <w:t>przegrody termicznej</w:t>
      </w:r>
      <w:r>
        <w:rPr>
          <w:rFonts w:ascii="Calibri" w:hAnsi="Calibri"/>
          <w:sz w:val="22"/>
        </w:rPr>
        <w:t>, w [m</w:t>
      </w:r>
      <w:r>
        <w:rPr>
          <w:rFonts w:ascii="Calibri" w:hAnsi="Calibri"/>
          <w:sz w:val="22"/>
          <w:vertAlign w:val="superscript"/>
        </w:rPr>
        <w:t>3</w:t>
      </w:r>
      <w:r>
        <w:rPr>
          <w:rFonts w:ascii="Calibri" w:hAnsi="Calibri"/>
          <w:sz w:val="22"/>
        </w:rPr>
        <w:t>]” i które brzmi: „A</w:t>
      </w:r>
      <w:r>
        <w:rPr>
          <w:rFonts w:ascii="Calibri" w:hAnsi="Calibri"/>
          <w:sz w:val="22"/>
          <w:vertAlign w:val="subscript"/>
        </w:rPr>
        <w:t>o</w:t>
      </w:r>
      <w:r>
        <w:rPr>
          <w:rFonts w:ascii="Calibri" w:hAnsi="Calibri"/>
          <w:sz w:val="22"/>
        </w:rPr>
        <w:t xml:space="preserve"> jest powierzchnią nieprzezroczystej części </w:t>
      </w:r>
      <w:r>
        <w:rPr>
          <w:rFonts w:ascii="Calibri" w:hAnsi="Calibri"/>
          <w:i/>
          <w:sz w:val="22"/>
        </w:rPr>
        <w:t>przegrody termicznej</w:t>
      </w:r>
      <w:r>
        <w:rPr>
          <w:rFonts w:ascii="Calibri" w:hAnsi="Calibri"/>
          <w:sz w:val="22"/>
        </w:rPr>
        <w:t>, w [m</w:t>
      </w:r>
      <w:r>
        <w:rPr>
          <w:rFonts w:ascii="Calibri" w:hAnsi="Calibri"/>
          <w:sz w:val="22"/>
          <w:vertAlign w:val="superscript"/>
        </w:rPr>
        <w:t>2</w:t>
      </w:r>
      <w:r>
        <w:rPr>
          <w:rFonts w:ascii="Calibri" w:hAnsi="Calibri"/>
          <w:sz w:val="22"/>
        </w:rPr>
        <w:t>]”, otrzymuje brzmienie: „A</w:t>
      </w:r>
      <w:r>
        <w:rPr>
          <w:rFonts w:ascii="Calibri" w:hAnsi="Calibri"/>
          <w:sz w:val="22"/>
          <w:vertAlign w:val="subscript"/>
        </w:rPr>
        <w:t>o</w:t>
      </w:r>
      <w:r>
        <w:rPr>
          <w:rFonts w:ascii="Calibri" w:hAnsi="Calibri"/>
          <w:sz w:val="22"/>
        </w:rPr>
        <w:t xml:space="preserve"> jest powierzchnią nieprzezroczystej części </w:t>
      </w:r>
      <w:r>
        <w:rPr>
          <w:rFonts w:ascii="Calibri" w:hAnsi="Calibri"/>
          <w:i/>
          <w:sz w:val="22"/>
        </w:rPr>
        <w:t>przegrody termicznej</w:t>
      </w:r>
      <w:r>
        <w:rPr>
          <w:rFonts w:ascii="Calibri" w:hAnsi="Calibri"/>
          <w:sz w:val="22"/>
        </w:rPr>
        <w:t xml:space="preserve"> w kontakcie z powietrzem zewnętrznym, w [m</w:t>
      </w:r>
      <w:r>
        <w:rPr>
          <w:rFonts w:ascii="Calibri" w:hAnsi="Calibri"/>
          <w:sz w:val="22"/>
          <w:vertAlign w:val="superscript"/>
        </w:rPr>
        <w:t>2</w:t>
      </w:r>
      <w:r>
        <w:rPr>
          <w:rFonts w:ascii="Calibri" w:hAnsi="Calibri"/>
          <w:sz w:val="22"/>
        </w:rPr>
        <w:t xml:space="preserve">]”. </w:t>
      </w:r>
    </w:p>
    <w:p w14:paraId="7752C220" w14:textId="77777777" w:rsidR="000760AB" w:rsidRPr="000760AB" w:rsidRDefault="000760AB" w:rsidP="000760AB">
      <w:pPr>
        <w:spacing w:before="200" w:after="100"/>
        <w:ind w:left="284"/>
        <w:jc w:val="both"/>
        <w:rPr>
          <w:rFonts w:ascii="Calibri" w:eastAsia="Arial" w:hAnsi="Calibri" w:cs="Calibri"/>
          <w:kern w:val="2"/>
          <w:sz w:val="22"/>
          <w:szCs w:val="22"/>
        </w:rPr>
      </w:pPr>
      <w:r>
        <w:rPr>
          <w:rFonts w:ascii="Calibri" w:hAnsi="Calibri"/>
          <w:sz w:val="22"/>
        </w:rPr>
        <w:t>hhh) w załączniku H wyrażenie „przegroda termiczna” i „otwory” powinny być pisane kursywą w opisie terminów C</w:t>
      </w:r>
      <w:r>
        <w:rPr>
          <w:rFonts w:ascii="Calibri" w:hAnsi="Calibri"/>
          <w:sz w:val="22"/>
          <w:vertAlign w:val="subscript"/>
        </w:rPr>
        <w:t>o</w:t>
      </w:r>
      <w:r>
        <w:rPr>
          <w:rFonts w:ascii="Calibri" w:hAnsi="Calibri"/>
          <w:sz w:val="22"/>
        </w:rPr>
        <w:t>, C</w:t>
      </w:r>
      <w:r>
        <w:rPr>
          <w:rFonts w:ascii="Calibri" w:hAnsi="Calibri"/>
          <w:sz w:val="22"/>
          <w:vertAlign w:val="subscript"/>
        </w:rPr>
        <w:t>h</w:t>
      </w:r>
      <w:r>
        <w:rPr>
          <w:rFonts w:ascii="Calibri" w:hAnsi="Calibri"/>
          <w:sz w:val="22"/>
        </w:rPr>
        <w:t>, A</w:t>
      </w:r>
      <w:r>
        <w:rPr>
          <w:rFonts w:ascii="Calibri" w:hAnsi="Calibri"/>
          <w:sz w:val="22"/>
          <w:vertAlign w:val="subscript"/>
        </w:rPr>
        <w:t>h</w:t>
      </w:r>
      <w:r>
        <w:rPr>
          <w:rFonts w:ascii="Calibri" w:hAnsi="Calibri"/>
          <w:sz w:val="22"/>
        </w:rPr>
        <w:t xml:space="preserve"> oraz w tabeli a-załącznika H.</w:t>
      </w:r>
    </w:p>
    <w:p w14:paraId="3CEE363E" w14:textId="77777777" w:rsidR="000760AB" w:rsidRPr="000760AB" w:rsidRDefault="000760AB" w:rsidP="00FD453F">
      <w:pPr>
        <w:spacing w:after="160" w:line="259" w:lineRule="auto"/>
        <w:ind w:left="13" w:hanging="13"/>
        <w:jc w:val="both"/>
        <w:rPr>
          <w:rFonts w:ascii="Calibri" w:eastAsia="Calibri" w:hAnsi="Calibri" w:cs="Calibri"/>
          <w:sz w:val="22"/>
          <w:szCs w:val="22"/>
        </w:rPr>
      </w:pPr>
      <w:r>
        <w:rPr>
          <w:rFonts w:ascii="Calibri" w:hAnsi="Calibri"/>
          <w:sz w:val="22"/>
        </w:rPr>
        <w:t>Cztery.</w:t>
      </w:r>
      <w:r>
        <w:rPr>
          <w:rFonts w:ascii="Calibri" w:hAnsi="Calibri"/>
          <w:b/>
          <w:sz w:val="22"/>
        </w:rPr>
        <w:t xml:space="preserve"> </w:t>
      </w:r>
      <w:r>
        <w:rPr>
          <w:rFonts w:ascii="Calibri" w:hAnsi="Calibri"/>
          <w:sz w:val="22"/>
        </w:rPr>
        <w:t xml:space="preserve">W dokumencie podstawowym DB-SUA „Bezpieczeństwo użytkowania i dostępność” zawartym w części II kodeksu techniczno-budowlanego wprowadza się następujące zmiany: </w:t>
      </w:r>
    </w:p>
    <w:p w14:paraId="19A3C2AA" w14:textId="77777777" w:rsidR="000760AB" w:rsidRPr="000760AB" w:rsidRDefault="000760AB" w:rsidP="00FD453F">
      <w:pPr>
        <w:spacing w:after="160" w:line="259" w:lineRule="auto"/>
        <w:ind w:left="284"/>
        <w:jc w:val="both"/>
        <w:rPr>
          <w:rFonts w:ascii="Calibri" w:eastAsia="Calibri" w:hAnsi="Calibri" w:cs="Calibri"/>
          <w:sz w:val="22"/>
          <w:szCs w:val="22"/>
        </w:rPr>
      </w:pPr>
      <w:r>
        <w:rPr>
          <w:rFonts w:ascii="Calibri" w:hAnsi="Calibri"/>
          <w:sz w:val="22"/>
        </w:rPr>
        <w:t>W załączniku A definicja „Dostępne miejsce parkingowe” obejmuje łącznik z tekstem:</w:t>
      </w:r>
    </w:p>
    <w:p w14:paraId="3A6FBAF1" w14:textId="77777777" w:rsidR="000760AB" w:rsidRPr="000760AB" w:rsidRDefault="000760AB" w:rsidP="00FD453F">
      <w:pPr>
        <w:spacing w:after="160" w:line="259" w:lineRule="auto"/>
        <w:ind w:left="284"/>
        <w:jc w:val="both"/>
        <w:rPr>
          <w:rFonts w:ascii="Calibri" w:eastAsia="Calibri" w:hAnsi="Calibri" w:cs="Calibri"/>
          <w:sz w:val="22"/>
          <w:szCs w:val="22"/>
        </w:rPr>
      </w:pPr>
      <w:r>
        <w:rPr>
          <w:rFonts w:ascii="Calibri" w:hAnsi="Calibri"/>
          <w:sz w:val="22"/>
        </w:rPr>
        <w:lastRenderedPageBreak/>
        <w:t xml:space="preserve">‘- W przypadku gdy </w:t>
      </w:r>
      <w:r>
        <w:rPr>
          <w:rFonts w:ascii="Calibri" w:hAnsi="Calibri"/>
          <w:i/>
          <w:sz w:val="22"/>
        </w:rPr>
        <w:t>dostępne miejsce parkingowe</w:t>
      </w:r>
      <w:r>
        <w:rPr>
          <w:rFonts w:ascii="Calibri" w:hAnsi="Calibri"/>
          <w:sz w:val="22"/>
        </w:rPr>
        <w:t xml:space="preserve"> wyposażone jest w stację ładowania pojazdów elektrycznych, </w:t>
      </w:r>
      <w:r>
        <w:rPr>
          <w:rFonts w:ascii="Calibri" w:hAnsi="Calibri"/>
          <w:i/>
          <w:sz w:val="22"/>
        </w:rPr>
        <w:t>dostępna trasa przejazdu</w:t>
      </w:r>
      <w:r>
        <w:rPr>
          <w:rFonts w:ascii="Calibri" w:hAnsi="Calibri"/>
          <w:sz w:val="22"/>
        </w:rPr>
        <w:t xml:space="preserve"> również obejmuje tę stację ładowania. Gniazda zasilania i złącza tych stacji ładowania muszą być chromatycznie skontrastowane z otoczeniem, umieszczone na wysokości od 80 do 120 cm, a odległość od narożników musi wynosić co najmniej 35 cm.”</w:t>
      </w:r>
    </w:p>
    <w:p w14:paraId="6B637874" w14:textId="77777777" w:rsidR="000760AB" w:rsidRPr="000760AB" w:rsidRDefault="000760AB" w:rsidP="000760AB">
      <w:pPr>
        <w:spacing w:after="160" w:line="259" w:lineRule="auto"/>
        <w:ind w:left="13"/>
        <w:jc w:val="both"/>
        <w:rPr>
          <w:rFonts w:ascii="Calibri" w:eastAsia="Calibri" w:hAnsi="Calibri" w:cs="Calibri"/>
          <w:sz w:val="22"/>
          <w:szCs w:val="22"/>
        </w:rPr>
      </w:pPr>
      <w:r>
        <w:rPr>
          <w:rFonts w:ascii="Calibri" w:hAnsi="Calibri"/>
          <w:sz w:val="22"/>
        </w:rPr>
        <w:t>Pięć. W dokumencie podstawowym DB-HS „Zdrowie”, zawartym w części II, wprowadza się następujące zmiany:</w:t>
      </w:r>
    </w:p>
    <w:p w14:paraId="6210F03A" w14:textId="77777777" w:rsidR="000760AB" w:rsidRPr="000760AB" w:rsidRDefault="000760AB" w:rsidP="000760AB">
      <w:pPr>
        <w:spacing w:after="160" w:line="259" w:lineRule="auto"/>
        <w:ind w:left="284"/>
        <w:contextualSpacing/>
        <w:jc w:val="both"/>
        <w:rPr>
          <w:rFonts w:ascii="Calibri" w:eastAsia="Calibri" w:hAnsi="Calibri" w:cs="Calibri"/>
          <w:sz w:val="22"/>
          <w:szCs w:val="22"/>
        </w:rPr>
      </w:pPr>
      <w:bookmarkStart w:id="25" w:name="_Hlk103704636"/>
      <w:r>
        <w:rPr>
          <w:rFonts w:ascii="Calibri" w:hAnsi="Calibri"/>
          <w:sz w:val="22"/>
        </w:rPr>
        <w:t>a) w sekcji HS 4, w pppkt 3.2.2.1 w ust. 2 zdanie „minimalny udział energii słonecznej w przygotowaniu ciepłej wody użytkowej” zastępuje się zdaniem „minimalny udział energii odnawialnej na pokrycie zapotrzebowania na ciepłą wodę użytkową”.</w:t>
      </w:r>
    </w:p>
    <w:p w14:paraId="3EDCC51A" w14:textId="77777777" w:rsidR="000760AB" w:rsidRPr="000760AB" w:rsidRDefault="000760AB" w:rsidP="000760AB">
      <w:pPr>
        <w:spacing w:before="200" w:after="100"/>
        <w:ind w:left="284"/>
        <w:jc w:val="both"/>
        <w:rPr>
          <w:rFonts w:ascii="Calibri" w:eastAsia="Arial" w:hAnsi="Calibri" w:cs="Calibri"/>
          <w:kern w:val="2"/>
          <w:sz w:val="22"/>
        </w:rPr>
      </w:pPr>
      <w:r>
        <w:rPr>
          <w:rFonts w:ascii="Calibri" w:hAnsi="Calibri"/>
          <w:sz w:val="22"/>
        </w:rPr>
        <w:t>b) w sekcji HS 4, w ppkt 6.2. literę „e) rury z polichlorku winylu chlorowanego (PVC-C), zgodne z normami UNE-EN ISO 15874-1:2013, UNE-EN ISO 15874-2:2013 i UNE-EN ISO 15874-3:2013;” zastępuje się literą „e) rury z polichlorowanego chlorku winylu (PVC-C), zgodne z normą UNE-EN ISO 15877-1:2009 (+UNE-EN ISO 15877-1:2009/A1): 2011), UNE-EN ISO 15877-2:2009 (+UNE-EN ISO 15877-2:2009/A1: 2011) oraz UNE-EN ISO 15877-3:2009 (+UNE-EN ISO 15877-3:2009/A1: 2011);”.</w:t>
      </w:r>
    </w:p>
    <w:p w14:paraId="36823CBB" w14:textId="77777777" w:rsidR="000760AB" w:rsidRPr="000760AB" w:rsidRDefault="000760AB" w:rsidP="000760AB">
      <w:pPr>
        <w:spacing w:before="200" w:after="100"/>
        <w:ind w:left="284"/>
        <w:jc w:val="both"/>
        <w:rPr>
          <w:rFonts w:ascii="Calibri" w:eastAsia="Arial" w:hAnsi="Calibri" w:cs="Calibri"/>
          <w:kern w:val="2"/>
          <w:sz w:val="22"/>
        </w:rPr>
      </w:pPr>
      <w:r>
        <w:rPr>
          <w:rFonts w:ascii="Calibri" w:hAnsi="Calibri"/>
          <w:sz w:val="22"/>
        </w:rPr>
        <w:t>c) w sekcji HS 4, w punkcie 6.2. literę „h) rury z polibutylenu (PB) zgodnie z normami UNE-EN ISO 15876-1:2017, UNE-EN ISO 15876-2:2017 i UNE-EN ISO 15876-3:2017;” zastępuje się literą „h) rury z polibutylenu (PB) zgodnie z normami UNE-EN ISO 15876-1:2017, UNE-EN ISO 15876-2:2017 i UNE-EN ISO 15876-3:2017;”.</w:t>
      </w:r>
    </w:p>
    <w:p w14:paraId="3D6093F2" w14:textId="77777777" w:rsidR="000760AB" w:rsidRPr="000760AB" w:rsidRDefault="000760AB" w:rsidP="000760AB">
      <w:pPr>
        <w:spacing w:before="200" w:after="100"/>
        <w:ind w:left="284"/>
        <w:jc w:val="both"/>
        <w:rPr>
          <w:rFonts w:ascii="Calibri" w:eastAsia="Arial" w:hAnsi="Calibri" w:cs="Calibri"/>
          <w:kern w:val="2"/>
          <w:sz w:val="22"/>
        </w:rPr>
      </w:pPr>
      <w:r>
        <w:rPr>
          <w:rFonts w:ascii="Calibri" w:hAnsi="Calibri"/>
          <w:sz w:val="22"/>
        </w:rPr>
        <w:t>d) w sekcji</w:t>
      </w:r>
      <w:r>
        <w:rPr>
          <w:rFonts w:ascii="Calibri" w:hAnsi="Calibri"/>
          <w:b/>
          <w:sz w:val="22"/>
        </w:rPr>
        <w:t xml:space="preserve"> </w:t>
      </w:r>
      <w:r>
        <w:rPr>
          <w:rFonts w:ascii="Calibri" w:hAnsi="Calibri"/>
          <w:sz w:val="22"/>
        </w:rPr>
        <w:t>HS 4, dodatek C, w brzmieniu: „Systemy przewodów rurowych z tworzyw sztucznych do instalacji wody ciepłej i zimnej. Polibutylen (PB). Część 1: Postanowienia ogólne", powinno brzmieć: „Systemy przewodów rurowych z tworzyw sztucznych do instalacji wody ciepłej i zimnej. Polibuten (PB). Część 1: Postanowienia ogólne</w:t>
      </w:r>
    </w:p>
    <w:p w14:paraId="3D1885BA" w14:textId="77777777" w:rsidR="000760AB" w:rsidRPr="000760AB" w:rsidRDefault="000760AB" w:rsidP="000760AB">
      <w:pPr>
        <w:spacing w:before="200" w:after="100"/>
        <w:ind w:left="284"/>
        <w:jc w:val="both"/>
        <w:rPr>
          <w:rFonts w:ascii="Calibri" w:eastAsia="Arial" w:hAnsi="Calibri" w:cs="Calibri"/>
          <w:kern w:val="2"/>
          <w:sz w:val="22"/>
        </w:rPr>
      </w:pPr>
      <w:r>
        <w:rPr>
          <w:rFonts w:ascii="Calibri" w:hAnsi="Calibri"/>
          <w:sz w:val="22"/>
        </w:rPr>
        <w:t>e) w sekcji</w:t>
      </w:r>
      <w:r>
        <w:rPr>
          <w:rFonts w:ascii="Calibri" w:hAnsi="Calibri"/>
          <w:b/>
          <w:sz w:val="22"/>
        </w:rPr>
        <w:t xml:space="preserve"> </w:t>
      </w:r>
      <w:r>
        <w:rPr>
          <w:rFonts w:ascii="Calibri" w:hAnsi="Calibri"/>
          <w:sz w:val="22"/>
        </w:rPr>
        <w:t>HS 4, dodatek C, w brzmieniu: „Systemy przewodów rurowych z tworzyw sztucznych do instalacji wody ciepłej i zimnej. Polibutylen (PB). Część 2: Rury", powinno brzmieć: „Systemy przewodów rurowych z tworzyw sztucznych do instalacji wody ciepłej i zimnej. Polibuten (PB). Część 2: Rury</w:t>
      </w:r>
    </w:p>
    <w:p w14:paraId="70CF101A" w14:textId="77777777" w:rsidR="000760AB" w:rsidRPr="000760AB" w:rsidRDefault="000760AB" w:rsidP="000760AB">
      <w:pPr>
        <w:spacing w:before="200" w:after="100"/>
        <w:ind w:left="284"/>
        <w:jc w:val="both"/>
        <w:rPr>
          <w:rFonts w:ascii="Calibri" w:eastAsia="Arial" w:hAnsi="Calibri" w:cs="Calibri"/>
          <w:kern w:val="2"/>
          <w:sz w:val="22"/>
        </w:rPr>
      </w:pPr>
      <w:r>
        <w:rPr>
          <w:rFonts w:ascii="Calibri" w:hAnsi="Calibri"/>
          <w:sz w:val="22"/>
        </w:rPr>
        <w:t>f) w sekcji</w:t>
      </w:r>
      <w:r>
        <w:rPr>
          <w:rFonts w:ascii="Calibri" w:hAnsi="Calibri"/>
          <w:b/>
          <w:sz w:val="22"/>
        </w:rPr>
        <w:t xml:space="preserve"> </w:t>
      </w:r>
      <w:r>
        <w:rPr>
          <w:rFonts w:ascii="Calibri" w:hAnsi="Calibri"/>
          <w:sz w:val="22"/>
        </w:rPr>
        <w:t>HS 4, dodatek C, w brzmieniu: „Systemy przewodów rurowych z tworzyw sztucznych do instalacji wody ciepłej i zimnej. Polibutylen (PB). Część 3: Kształtki", powinno brzmieć: „Systemy przewodów rurowych z tworzyw sztucznych do instalacji wody ciepłej i zimnej. Polibuten (PB). Część 3: Kształtki.</w:t>
      </w:r>
    </w:p>
    <w:p w14:paraId="52A9A5FD" w14:textId="77777777" w:rsidR="000760AB" w:rsidRPr="000760AB" w:rsidRDefault="000760AB" w:rsidP="000760AB">
      <w:pPr>
        <w:spacing w:before="200" w:after="100"/>
        <w:ind w:left="284"/>
        <w:jc w:val="both"/>
        <w:rPr>
          <w:rFonts w:ascii="Calibri" w:eastAsia="Arial" w:hAnsi="Calibri" w:cs="Calibri"/>
          <w:kern w:val="2"/>
          <w:sz w:val="22"/>
        </w:rPr>
      </w:pPr>
      <w:r>
        <w:rPr>
          <w:rFonts w:ascii="Calibri" w:hAnsi="Calibri"/>
          <w:sz w:val="22"/>
        </w:rPr>
        <w:t>g) w sekcji HS 4 dodatek C po odniesieniu do normy „UNE-EN ISO 15876-3” wprowadza się następujące pozycje: 2017</w:t>
      </w:r>
      <w:r>
        <w:rPr>
          <w:rFonts w:ascii="Calibri" w:hAnsi="Calibri"/>
          <w:sz w:val="22"/>
        </w:rPr>
        <w:tab/>
        <w:t>Systemy przewodów rurowych z tworzyw sztucznych do instalacji wody ciepłej i zimnej. Polibuten (PB). Część 3: Kształtki", następujące normy:</w:t>
      </w:r>
    </w:p>
    <w:p w14:paraId="5151AE28" w14:textId="77777777" w:rsidR="000760AB" w:rsidRPr="000760AB" w:rsidRDefault="000760AB" w:rsidP="000760AB">
      <w:pPr>
        <w:spacing w:after="120" w:line="259" w:lineRule="auto"/>
        <w:ind w:left="284"/>
        <w:contextualSpacing/>
        <w:jc w:val="both"/>
        <w:rPr>
          <w:rFonts w:ascii="Calibri" w:eastAsia="Calibri" w:hAnsi="Calibri"/>
          <w:sz w:val="22"/>
          <w:szCs w:val="22"/>
        </w:rPr>
      </w:pPr>
      <w:r>
        <w:rPr>
          <w:rFonts w:ascii="Calibri" w:hAnsi="Calibri"/>
          <w:sz w:val="22"/>
        </w:rPr>
        <w:t xml:space="preserve">„UNE-EN ISO 15877-1:2009 Systemy przewodów rurowych z tworzyw sztucznych do instalacji wody ciepłej i zimnej. Chlorowany poli(chlorek winylu) (PVC-C). Część 1: Wymagania ogólne (+UNE-EN ISO 15877-1:2009/A1:2011)  </w:t>
      </w:r>
    </w:p>
    <w:p w14:paraId="459306CD" w14:textId="77777777" w:rsidR="000760AB" w:rsidRPr="000760AB" w:rsidRDefault="000760AB" w:rsidP="000760AB">
      <w:pPr>
        <w:spacing w:after="120" w:line="259" w:lineRule="auto"/>
        <w:ind w:left="284"/>
        <w:contextualSpacing/>
        <w:jc w:val="both"/>
        <w:rPr>
          <w:rFonts w:ascii="Calibri" w:eastAsia="Calibri" w:hAnsi="Calibri"/>
          <w:sz w:val="22"/>
          <w:szCs w:val="22"/>
          <w:lang w:eastAsia="en-US"/>
        </w:rPr>
      </w:pPr>
    </w:p>
    <w:p w14:paraId="3478D13F" w14:textId="77777777" w:rsidR="000760AB" w:rsidRPr="000760AB" w:rsidRDefault="000760AB" w:rsidP="000760AB">
      <w:pPr>
        <w:spacing w:after="120" w:line="259" w:lineRule="auto"/>
        <w:ind w:left="284"/>
        <w:contextualSpacing/>
        <w:jc w:val="both"/>
        <w:rPr>
          <w:rFonts w:ascii="Calibri" w:eastAsia="Calibri" w:hAnsi="Calibri"/>
          <w:sz w:val="22"/>
          <w:szCs w:val="22"/>
        </w:rPr>
      </w:pPr>
      <w:r>
        <w:rPr>
          <w:rFonts w:ascii="Calibri" w:hAnsi="Calibri"/>
          <w:sz w:val="22"/>
        </w:rPr>
        <w:t xml:space="preserve">UNE-EN ISO 15877-2:2009 Systemy przewodów rurowych z tworzyw sztucznych do instalacji wody ciepłej i zimnej. Chlorowany poli(chlorek winylu) (PVC-C). Część 2: Rury (+UNE-EN ISO 15877-2:2009/A1:2011)  </w:t>
      </w:r>
    </w:p>
    <w:p w14:paraId="1A003182" w14:textId="77777777" w:rsidR="000760AB" w:rsidRPr="000760AB" w:rsidRDefault="000760AB" w:rsidP="000760AB">
      <w:pPr>
        <w:spacing w:after="120" w:line="259" w:lineRule="auto"/>
        <w:ind w:left="284"/>
        <w:contextualSpacing/>
        <w:jc w:val="both"/>
        <w:rPr>
          <w:rFonts w:ascii="Calibri" w:eastAsia="Calibri" w:hAnsi="Calibri"/>
          <w:sz w:val="22"/>
          <w:szCs w:val="22"/>
          <w:lang w:eastAsia="en-US"/>
        </w:rPr>
      </w:pPr>
    </w:p>
    <w:p w14:paraId="147816FB" w14:textId="3B192627" w:rsidR="000760AB" w:rsidRDefault="000760AB" w:rsidP="000760AB">
      <w:pPr>
        <w:spacing w:after="120" w:line="259" w:lineRule="auto"/>
        <w:ind w:left="284"/>
        <w:contextualSpacing/>
        <w:jc w:val="both"/>
        <w:rPr>
          <w:rFonts w:ascii="Calibri" w:eastAsia="Calibri" w:hAnsi="Calibri"/>
          <w:sz w:val="22"/>
          <w:szCs w:val="22"/>
        </w:rPr>
      </w:pPr>
      <w:r>
        <w:rPr>
          <w:rFonts w:ascii="Calibri" w:hAnsi="Calibri"/>
          <w:sz w:val="22"/>
        </w:rPr>
        <w:t>UNE-EN ISO 15877-3:2009 Systemy przewodów rurowych z tworzyw sztucznych do instalacji wody ciepłej i zimnej. Chlorowany poli(chlorek winylu) (PVC-C). Część 3: Kształtki. (+UNE-EN ISO 15877-3:2009/A1:2011)</w:t>
      </w:r>
    </w:p>
    <w:p w14:paraId="4ED97A3D" w14:textId="77777777" w:rsidR="00FD453F" w:rsidRPr="000760AB" w:rsidRDefault="00FD453F" w:rsidP="000760AB">
      <w:pPr>
        <w:spacing w:after="120" w:line="259" w:lineRule="auto"/>
        <w:ind w:left="284"/>
        <w:contextualSpacing/>
        <w:jc w:val="both"/>
        <w:rPr>
          <w:rFonts w:ascii="Calibri" w:eastAsia="Calibri" w:hAnsi="Calibri"/>
          <w:sz w:val="22"/>
          <w:szCs w:val="22"/>
          <w:lang w:eastAsia="en-US"/>
        </w:rPr>
      </w:pPr>
    </w:p>
    <w:bookmarkEnd w:id="25"/>
    <w:p w14:paraId="5E164AFD" w14:textId="77777777" w:rsidR="000760AB" w:rsidRPr="000760AB" w:rsidRDefault="000760AB" w:rsidP="000760AB">
      <w:pPr>
        <w:spacing w:after="160" w:line="259" w:lineRule="auto"/>
        <w:jc w:val="both"/>
        <w:rPr>
          <w:rFonts w:ascii="Calibri" w:eastAsia="Calibri" w:hAnsi="Calibri" w:cs="Calibri"/>
          <w:bCs/>
          <w:i/>
          <w:iCs/>
          <w:sz w:val="22"/>
          <w:szCs w:val="22"/>
        </w:rPr>
      </w:pPr>
      <w:r>
        <w:rPr>
          <w:rFonts w:ascii="Calibri" w:hAnsi="Calibri"/>
          <w:sz w:val="22"/>
        </w:rPr>
        <w:t xml:space="preserve">Pierwszy przepis przejściowy. </w:t>
      </w:r>
      <w:r>
        <w:rPr>
          <w:rFonts w:ascii="Calibri" w:hAnsi="Calibri"/>
          <w:i/>
          <w:sz w:val="22"/>
        </w:rPr>
        <w:t>Budynki zwolnione z przepisów niniejszego dekretu królewskiego.</w:t>
      </w:r>
    </w:p>
    <w:p w14:paraId="1847A168"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 xml:space="preserve">Zmiany kodeksu techniczno-budowlanego (CTE) przyjęte niniejszym dekretem królewskim nie mają zastosowania do prac przy nowych budynkach lub prac prowadzonych w istniejących budynkach, które w obu przypadkach wymagały </w:t>
      </w:r>
      <w:r>
        <w:rPr>
          <w:rFonts w:ascii="Calibri" w:hAnsi="Calibri"/>
          <w:sz w:val="22"/>
        </w:rPr>
        <w:lastRenderedPageBreak/>
        <w:t xml:space="preserve">zezwolenia władz samorządowych na prowadzenie robót w momencie wejścia w życie niniejszego dekretu królewskiego. </w:t>
      </w:r>
    </w:p>
    <w:p w14:paraId="0F07CFED"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Prace te rozpoczynają się w maksymalnym okresie obowiązywania zezwolenia zgodnie z określonymi w nim warunkami, a w przypadku ich braku, w ciągu sześciu miesięcy od daty wydania zezwolenia. W przeciwnym razie projekty muszą zostać dostosowane do zmian w CTE zatwierdzonych niniejszym dekretem królewskim.</w:t>
      </w:r>
    </w:p>
    <w:p w14:paraId="39C072F7" w14:textId="77777777" w:rsidR="000760AB" w:rsidRPr="000760AB" w:rsidRDefault="000760AB" w:rsidP="000760AB">
      <w:pPr>
        <w:spacing w:after="160" w:line="259" w:lineRule="auto"/>
        <w:jc w:val="both"/>
        <w:rPr>
          <w:rFonts w:ascii="Calibri" w:eastAsia="Calibri" w:hAnsi="Calibri" w:cs="Calibri"/>
          <w:bCs/>
          <w:i/>
          <w:iCs/>
          <w:sz w:val="22"/>
          <w:szCs w:val="22"/>
        </w:rPr>
      </w:pPr>
      <w:r>
        <w:rPr>
          <w:rFonts w:ascii="Calibri" w:hAnsi="Calibri"/>
          <w:sz w:val="22"/>
        </w:rPr>
        <w:t xml:space="preserve">Drugi przepis przejściowy. </w:t>
      </w:r>
      <w:r>
        <w:rPr>
          <w:rFonts w:ascii="Calibri" w:hAnsi="Calibri"/>
          <w:i/>
          <w:sz w:val="22"/>
        </w:rPr>
        <w:t>Budynki, w odniesieniu do których zastosowanie przepisów niniejszego dekretu królewskiego jest dobrowolne.</w:t>
      </w:r>
    </w:p>
    <w:p w14:paraId="27074C97"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 xml:space="preserve">Zmiany w kodeksie techniczno-budowlanym zatwierdzone niniejszym dekretem królewskim mają zastosowanie dobrowolnie do nowych robót budowlanych oraz do robót w istniejących budynkach, dla których w obu przypadkach wymagane jest zezwolenie władz samorządowych na roboty budowlane w terminie sześciu miesięcy od wejścia w życie niniejszego dekretu królewskiego. </w:t>
      </w:r>
    </w:p>
    <w:p w14:paraId="5E12150B"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Prace te rozpoczynają się w maksymalnym okresie obowiązywania zezwolenia zgodnie z określonymi w nim warunkami, a w przypadku ich braku, w ciągu sześciu miesięcy od daty wydania zezwolenia. W przeciwnym razie projekty muszą zostać dostosowane do zmian w CTE zatwierdzonych niniejszym dekretem królewskim.</w:t>
      </w:r>
    </w:p>
    <w:p w14:paraId="76BE3F2E" w14:textId="77777777" w:rsidR="000760AB" w:rsidRPr="000760AB" w:rsidRDefault="000760AB" w:rsidP="000760AB">
      <w:pPr>
        <w:spacing w:after="160" w:line="259" w:lineRule="auto"/>
        <w:jc w:val="both"/>
        <w:rPr>
          <w:rFonts w:ascii="Calibri" w:eastAsia="Calibri" w:hAnsi="Calibri" w:cs="Calibri"/>
          <w:bCs/>
          <w:i/>
          <w:iCs/>
          <w:sz w:val="22"/>
          <w:szCs w:val="22"/>
        </w:rPr>
      </w:pPr>
      <w:r>
        <w:rPr>
          <w:rFonts w:ascii="Calibri" w:hAnsi="Calibri"/>
          <w:sz w:val="22"/>
        </w:rPr>
        <w:t xml:space="preserve">Trzeci przepis przejściowy. </w:t>
      </w:r>
      <w:r>
        <w:rPr>
          <w:rFonts w:ascii="Calibri" w:hAnsi="Calibri"/>
          <w:i/>
          <w:sz w:val="22"/>
        </w:rPr>
        <w:t>Budynki, w odniesieniu do których stosowanie przepisów niniejszego dekretu królewskiego jest obowiązkowe.</w:t>
      </w:r>
    </w:p>
    <w:p w14:paraId="7B8AAF09"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Stosowanie zmian w kodeksie techniczno-budowlanym (CTE) przyjętych niniejszym dekretem królewskim jest obowiązkowe w odniesieniu do prac przy nowych budynkach lub prac w istniejących budynkach, dla których wymagane jest zezwolenie władz samorządowych na roboty budowlane po upływie dziewięciu miesięcy od wejścia w życie tego przepisu.</w:t>
      </w:r>
    </w:p>
    <w:p w14:paraId="1269D8B2" w14:textId="77777777" w:rsidR="000760AB" w:rsidRPr="000760AB" w:rsidRDefault="000760AB" w:rsidP="000760AB">
      <w:pPr>
        <w:spacing w:after="160" w:line="259" w:lineRule="auto"/>
        <w:jc w:val="both"/>
        <w:rPr>
          <w:rFonts w:ascii="Calibri" w:eastAsia="Calibri" w:hAnsi="Calibri" w:cs="Calibri"/>
          <w:bCs/>
          <w:i/>
          <w:iCs/>
          <w:sz w:val="22"/>
          <w:szCs w:val="22"/>
        </w:rPr>
      </w:pPr>
      <w:r>
        <w:rPr>
          <w:rFonts w:ascii="Calibri" w:hAnsi="Calibri"/>
          <w:sz w:val="22"/>
        </w:rPr>
        <w:t xml:space="preserve">Pierwszy przepis końcowy. </w:t>
      </w:r>
      <w:r>
        <w:rPr>
          <w:rFonts w:ascii="Calibri" w:hAnsi="Calibri"/>
          <w:i/>
          <w:sz w:val="22"/>
        </w:rPr>
        <w:t>Zmiana dekretu królewskiego 1053/2014 z dnia 12 grudnia, zatwierdzająca nowe dodatkowe wytyczne techniczne (ITC) BT 52 "Instalacje do celów specjalnych. Infrastruktura ładowania pojazdów elektrycznych” przepisów elektrotechnicznych dotyczących niskich napięć, zatwierdzonych dekretem królewskim 842/2002 z dnia 2 sierpnia oraz inne dodatkowe wytyczne techniczne podlegają zmianom.</w:t>
      </w:r>
    </w:p>
    <w:p w14:paraId="01AAD1DA" w14:textId="77777777" w:rsidR="000760AB" w:rsidRPr="000760AB" w:rsidRDefault="000760AB" w:rsidP="000760AB">
      <w:pPr>
        <w:spacing w:after="160" w:line="259" w:lineRule="auto"/>
        <w:jc w:val="both"/>
        <w:rPr>
          <w:rFonts w:ascii="Calibri" w:eastAsia="Calibri" w:hAnsi="Calibri" w:cs="Calibri"/>
          <w:bCs/>
          <w:sz w:val="22"/>
          <w:szCs w:val="22"/>
        </w:rPr>
      </w:pPr>
      <w:r>
        <w:rPr>
          <w:rFonts w:ascii="Calibri" w:hAnsi="Calibri"/>
          <w:sz w:val="22"/>
        </w:rPr>
        <w:t xml:space="preserve">W dekrecie królewskim 1053/2014 z dnia 12 grudnia, zatwierdzającym nowe dodatkowe wytyczne techniczne (ITC) BT 52 „Instalacje specjalnego przeznaczenia. Infrastruktura do ładowania pojazdów elektrycznych” przepisów elektrotechnicznych dotyczących niskich napięć, zatwierdzonych dekretem królewskim 842/2002 z dnia 2 sierpnia, oraz inne dodatkowe wytyczne techniczne wprowadza się następujące zmiany: </w:t>
      </w:r>
    </w:p>
    <w:p w14:paraId="1141399E"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Jeden. Pierwszy dodatkowy przepis zostaje zmieniony i otrzymuje brzmienie:</w:t>
      </w:r>
    </w:p>
    <w:p w14:paraId="0E4C1654" w14:textId="77777777" w:rsidR="000760AB" w:rsidRPr="000760AB" w:rsidRDefault="000760AB" w:rsidP="000760AB">
      <w:pPr>
        <w:spacing w:after="160" w:line="259" w:lineRule="auto"/>
        <w:ind w:left="284"/>
        <w:jc w:val="both"/>
        <w:rPr>
          <w:rFonts w:ascii="Calibri" w:eastAsia="Calibri" w:hAnsi="Calibri"/>
          <w:sz w:val="22"/>
          <w:szCs w:val="22"/>
        </w:rPr>
      </w:pPr>
      <w:r>
        <w:rPr>
          <w:rFonts w:ascii="Calibri" w:hAnsi="Calibri"/>
          <w:sz w:val="22"/>
        </w:rPr>
        <w:t>„Pierwszy przepis dodatkowy. Minimalne urządzenia infrastruktury ładowania pojazdów elektrycznych na parkingach, które nie przynależą do budynków, nowo wybudowanych lub poddawanych gruntownym remontom oraz na drogach publicznych.</w:t>
      </w:r>
    </w:p>
    <w:p w14:paraId="18015A47" w14:textId="77777777" w:rsidR="000760AB" w:rsidRPr="000760AB" w:rsidRDefault="000760AB" w:rsidP="000760AB">
      <w:pPr>
        <w:spacing w:after="160" w:line="259" w:lineRule="auto"/>
        <w:ind w:left="284"/>
        <w:jc w:val="both"/>
        <w:rPr>
          <w:rFonts w:ascii="Calibri" w:eastAsia="Calibri" w:hAnsi="Calibri"/>
          <w:sz w:val="22"/>
          <w:szCs w:val="22"/>
        </w:rPr>
      </w:pPr>
      <w:r>
        <w:rPr>
          <w:rFonts w:ascii="Calibri" w:hAnsi="Calibri"/>
          <w:sz w:val="22"/>
        </w:rPr>
        <w:t xml:space="preserve">1. Na parkingach nowo wybudowanych lub poddanych generalnym remontom, które nie są zlokalizowane w budynku lub przylegają do niego, a zatem nie są objęte zakresem podstawowego dokumentu dotyczącego oszczędności energii (DB HE) technicznego kodeksu budowlanego, należy zainstalować co najmniej jedną stację ładowania na każde 40 miejsc parkingowych lub ich ułamek. Parking uznaje się za nowo wybudowany, gdy projekt budowlany zostanie przedstawiony do rozpatrzenia właściwej administracji publicznej po wejściu w życie niniejszego dekretu królewskiego. </w:t>
      </w:r>
    </w:p>
    <w:p w14:paraId="06F10D65" w14:textId="77777777" w:rsidR="000760AB" w:rsidRPr="000760AB" w:rsidRDefault="000760AB" w:rsidP="000760AB">
      <w:pPr>
        <w:spacing w:after="160" w:line="259" w:lineRule="auto"/>
        <w:ind w:left="284"/>
        <w:jc w:val="both"/>
        <w:rPr>
          <w:rFonts w:ascii="Calibri" w:eastAsia="Calibri" w:hAnsi="Calibri"/>
          <w:sz w:val="22"/>
          <w:szCs w:val="22"/>
        </w:rPr>
      </w:pPr>
      <w:r>
        <w:rPr>
          <w:rFonts w:ascii="Calibri" w:hAnsi="Calibri"/>
          <w:sz w:val="22"/>
        </w:rPr>
        <w:lastRenderedPageBreak/>
        <w:t>2. Na drogach publicznych należy wykonać niezbędne urządzenia do zasilania zlokalizowanych na postojach stacji ładowania pojazdów elektrycznych przewidzianych w ponadgminnych lub gminnych planach zrównoważonej mobilności.”</w:t>
      </w:r>
    </w:p>
    <w:p w14:paraId="689B86A0"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 xml:space="preserve">Dwa W części 3.2 dodatkowych wytycznych technicznych (ITC) BT-52 wprowadza się następujące zmiany: </w:t>
      </w:r>
    </w:p>
    <w:p w14:paraId="3188850A"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 xml:space="preserve">„3.2 Instalacja na parkingach lub zbiorczych parkingach przylegających do budynków lub kompleksów budynków. </w:t>
      </w:r>
    </w:p>
    <w:p w14:paraId="5D648D19"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 xml:space="preserve">Instalacje elektryczne do ładowania </w:t>
      </w:r>
      <w:r>
        <w:rPr>
          <w:rFonts w:ascii="Calibri" w:hAnsi="Calibri"/>
          <w:color w:val="000000"/>
          <w:sz w:val="22"/>
        </w:rPr>
        <w:t>pojazdów elektrycznych</w:t>
      </w:r>
      <w:r>
        <w:rPr>
          <w:rFonts w:ascii="Calibri" w:hAnsi="Calibri"/>
          <w:sz w:val="22"/>
        </w:rPr>
        <w:t xml:space="preserve"> zlokalizowane na parkingach lub parkingach wewnętrznych lub przy budynkach lub kompleksach budynków muszą być zgodne z opisanymi powyżej schematami.</w:t>
      </w:r>
      <w:r>
        <w:rPr>
          <w:rFonts w:ascii="Calibri" w:hAnsi="Calibri"/>
          <w:color w:val="000000"/>
          <w:sz w:val="22"/>
        </w:rPr>
        <w:t xml:space="preserve"> </w:t>
      </w:r>
      <w:r>
        <w:rPr>
          <w:rFonts w:ascii="Calibri" w:hAnsi="Calibri"/>
          <w:sz w:val="22"/>
        </w:rPr>
        <w:t>W tym samym budynku mogą być stosowane różne schematy, pod warunkiem spełnienia wszystkich wymagań określonych w niniejszym (ITC) BT-52.</w:t>
      </w:r>
    </w:p>
    <w:p w14:paraId="7585E852"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W schemacie 4a obwód ładowania musi być zgodny z warunkami instalacji opisanymi w (ITC) BT-15, wykonanej przy użyciu kabli i układów przewodzących tego samego typu i o takich samych właściwościach jak w przypadku pojedynczej gałęzi, a przekrój kabla oblicza się zgodnie z ogólnymi wymogami sekcji 5 niniejszych wytycznych ITC. Nie jest konieczne przewidywanie zwiększenia przekroju kabli w celu określenia średnicy lub poprzecznych wymiarów stosowanego systemu przewodzenia.</w:t>
      </w:r>
    </w:p>
    <w:p w14:paraId="2D2E95BD"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Schemat 4b stosuje się w przypadku, gdy zasilanie stacji ładowania jest zaprojektowane jako integralna część lub rozszerzenie instalacji elektrycznej zasilającej ogólne systemy warsztatowe.</w:t>
      </w:r>
    </w:p>
    <w:p w14:paraId="6F33488D"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Zarówno w obiektach istniejących, jak i nowych oraz w celu ułatwienia korzystania z wybranego schematu elektrycznego, panele, w których znajdują się zabezpieczenia ogólne i inne urządzenia do ładowania pojazdów elektrycznych, mogą znajdować się w przystosowanych do tego pomieszczeniach lub w pomieszczeniach wspólnych.</w:t>
      </w:r>
    </w:p>
    <w:p w14:paraId="1D7341B6"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 xml:space="preserve">Wstępna instalacja elektryczna do ładowania pojazdów elektrycznych na parkingach znajdujących się lub przylegających do budynków lub kompleksów budynków ułatwia późniejsze korzystanie z wszelkich możliwych schematów instalacyjnych. Obejmuje to następujące elementy: </w:t>
      </w:r>
    </w:p>
    <w:p w14:paraId="69AC9996"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a) Instalacja systemów przewodowych od centralki liczników i przy głównych drogach parkingów w celu umożliwienia późniejszego zasilania stacji ładowania, które mogą być zlokalizowane w poszczególnych miejscach parkingowych lub parkingach. W przypadku gdy instalacja wstępna jest planowana dla 100 % miejsc parkingowych, systemy prowadzenia kabli muszą docierać do każdego miejsca. W przypadku gdy instalacja wstępna nie jest planowana dla 100 % miejsc parkingowych, należy określić miejsca uznane za zgodne z przepisami dotyczącymi systemów prowadzenia przewodów kablowych, a systemy te powinny dotrzeć do każdego z tych miejsc.</w:t>
      </w:r>
    </w:p>
    <w:p w14:paraId="1D8D11B8"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b) Centralka liczników zostanie zwymiarowana zgodnie ze schematem elektrycznym wybranym do ładowania pojazdów elektrycznych i zgodnie z (ITC) BT-16. Moduły rezerwowe będą zainstalowane na co najmniej 20% miejsc parkingowych nieprzypisanych do mieszkań, a nawet jeżeli wszystkie miejsca są przypisane do mieszkań, zainstalowany będzie co najmniej jeden moduł rezerwowy. Te moduły rezerwowe będą miały możliwość zlokalizowania głównego licznika i związanych z nim urządzeń zabezpieczających przed przetężeniem, z bezpiecznikami lub wyłącznikiem.</w:t>
      </w:r>
    </w:p>
    <w:p w14:paraId="47ED8DD8"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Gniazda wtyczkowe lub złącza zainstalowane w stacji ładującej i ich automatyczne wyłączniki zabezpieczające muszą być zgodne z dowolną z opcji wskazanych w sekcji 5.4.”</w:t>
      </w:r>
    </w:p>
    <w:p w14:paraId="7F6774AD"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Trzy. Zmieniono akapit pierwszy sekcji 5.4 DODATKOWYCH WYTYCZNYCH TECHNICZNYCH (ITC) BT-52, który ma następujące brzmienie:</w:t>
      </w:r>
    </w:p>
    <w:p w14:paraId="3EF40F8D" w14:textId="77777777" w:rsidR="000760AB" w:rsidRPr="000760AB" w:rsidRDefault="000760AB" w:rsidP="000760AB">
      <w:pPr>
        <w:spacing w:after="160" w:line="259" w:lineRule="auto"/>
        <w:ind w:left="284"/>
        <w:jc w:val="both"/>
        <w:rPr>
          <w:rFonts w:ascii="Calibri" w:eastAsia="Calibri" w:hAnsi="Calibri"/>
          <w:color w:val="FF0000"/>
          <w:sz w:val="22"/>
          <w:szCs w:val="22"/>
        </w:rPr>
      </w:pPr>
      <w:r>
        <w:rPr>
          <w:rFonts w:ascii="Calibri" w:hAnsi="Calibri"/>
          <w:sz w:val="22"/>
        </w:rPr>
        <w:lastRenderedPageBreak/>
        <w:t xml:space="preserve">„5.4 Punkt przyłączeniowy. </w:t>
      </w:r>
      <w:bookmarkStart w:id="26" w:name="_Hlk81468651"/>
      <w:r>
        <w:rPr>
          <w:rFonts w:ascii="Calibri" w:hAnsi="Calibri"/>
          <w:sz w:val="22"/>
        </w:rPr>
        <w:t xml:space="preserve">Punkt przyłączeniowy znajduje się obok kwadratu, który ma być zasilany, i musi być trwale zainstalowany w obudowie. </w:t>
      </w:r>
    </w:p>
    <w:bookmarkEnd w:id="26"/>
    <w:p w14:paraId="3405740F" w14:textId="77777777" w:rsidR="000760AB" w:rsidRPr="000760AB" w:rsidRDefault="000760AB" w:rsidP="000760AB">
      <w:pPr>
        <w:spacing w:after="160" w:line="259" w:lineRule="auto"/>
        <w:ind w:left="284"/>
        <w:jc w:val="both"/>
        <w:rPr>
          <w:rFonts w:ascii="Calibri" w:eastAsia="Calibri" w:hAnsi="Calibri"/>
          <w:color w:val="FF0000"/>
          <w:sz w:val="22"/>
          <w:szCs w:val="22"/>
        </w:rPr>
      </w:pPr>
      <w:r>
        <w:rPr>
          <w:rFonts w:ascii="Calibri" w:hAnsi="Calibri"/>
          <w:sz w:val="22"/>
        </w:rPr>
        <w:t xml:space="preserve">Minimalna wysokość instalacji gniazd i złączy musi wynosić 60 cm nad poziomem podłoża. </w:t>
      </w:r>
      <w:bookmarkStart w:id="27" w:name="_Hlk81468224"/>
      <w:r>
        <w:rPr>
          <w:rFonts w:ascii="Calibri" w:hAnsi="Calibri"/>
          <w:sz w:val="22"/>
        </w:rPr>
        <w:t>Jeżeli stacja ładowania jest przeznaczona do użytku publicznego, maksymalna wysokość wynosi 120 cm. W dostępnych miejscach postojowych gniazda i złącza muszą być chromatycznie skontrastowane z otoczeniem, znajdować się na wysokości między 80 a 120 cm, a odległość od narożników musi wynosić co najmniej 35 cm.”</w:t>
      </w:r>
      <w:bookmarkEnd w:id="27"/>
    </w:p>
    <w:p w14:paraId="50422323" w14:textId="77777777" w:rsidR="000760AB" w:rsidRPr="000760AB" w:rsidRDefault="000760AB" w:rsidP="000760AB">
      <w:pPr>
        <w:spacing w:after="160" w:line="259" w:lineRule="auto"/>
        <w:jc w:val="both"/>
        <w:rPr>
          <w:rFonts w:ascii="Calibri" w:eastAsia="Calibri" w:hAnsi="Calibri" w:cs="Calibri"/>
          <w:bCs/>
          <w:i/>
          <w:iCs/>
          <w:sz w:val="22"/>
          <w:szCs w:val="22"/>
        </w:rPr>
      </w:pPr>
      <w:r>
        <w:rPr>
          <w:rFonts w:ascii="Calibri" w:hAnsi="Calibri"/>
          <w:sz w:val="22"/>
        </w:rPr>
        <w:t xml:space="preserve">Drugi przepis końcowy. </w:t>
      </w:r>
      <w:r>
        <w:rPr>
          <w:rFonts w:ascii="Calibri" w:hAnsi="Calibri"/>
          <w:i/>
          <w:sz w:val="22"/>
        </w:rPr>
        <w:t>Transpozycja prawa Unii Europejskiej.</w:t>
      </w:r>
    </w:p>
    <w:p w14:paraId="144ADEB1"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 xml:space="preserve">Niniejszy dekret królewski transponuje do prawa hiszpańskiego art. 8 ust. 2, 8 ust. 4, 8 ust. 5 i 8 ust. 6 dyrektywy Parlamentu Europejskiego i Rady 2010/31/UE w sprawie charakterystyki energetycznej budynków, zmienionej dyrektywą Parlamentu Europejskiego i Rady (UE) 2018/844 z dnia 30 maja 2018 r. zmieniającą dyrektywę 2010/31/UE </w:t>
      </w:r>
      <w:r>
        <w:t xml:space="preserve"> </w:t>
      </w:r>
      <w:bookmarkStart w:id="28" w:name="_Hlk92814279"/>
      <w:r>
        <w:rPr>
          <w:rFonts w:ascii="Calibri" w:hAnsi="Calibri"/>
          <w:sz w:val="22"/>
        </w:rPr>
        <w:t>w sprawie charakterystyki energetycznej budynków</w:t>
      </w:r>
      <w:r>
        <w:t xml:space="preserve"> </w:t>
      </w:r>
      <w:bookmarkEnd w:id="28"/>
      <w:r>
        <w:t xml:space="preserve"> </w:t>
      </w:r>
      <w:r>
        <w:rPr>
          <w:rFonts w:ascii="Calibri" w:hAnsi="Calibri"/>
          <w:sz w:val="22"/>
        </w:rPr>
        <w:t>oraz dyrektywę 2012/27/UE w sprawie efektywności energetycznej.</w:t>
      </w:r>
    </w:p>
    <w:p w14:paraId="174DF223" w14:textId="77777777" w:rsidR="000760AB" w:rsidRPr="000760AB" w:rsidRDefault="000760AB" w:rsidP="000760AB">
      <w:pPr>
        <w:spacing w:after="160" w:line="259" w:lineRule="auto"/>
        <w:jc w:val="both"/>
        <w:rPr>
          <w:rFonts w:ascii="Calibri" w:eastAsia="Calibri" w:hAnsi="Calibri" w:cs="Calibri"/>
          <w:bCs/>
          <w:i/>
          <w:iCs/>
          <w:sz w:val="22"/>
          <w:szCs w:val="22"/>
        </w:rPr>
      </w:pPr>
      <w:r>
        <w:rPr>
          <w:rFonts w:ascii="Calibri" w:hAnsi="Calibri"/>
          <w:sz w:val="22"/>
        </w:rPr>
        <w:t xml:space="preserve">Trzeci przepis końcowy. </w:t>
      </w:r>
      <w:r>
        <w:rPr>
          <w:rFonts w:ascii="Calibri" w:hAnsi="Calibri"/>
          <w:i/>
          <w:sz w:val="22"/>
        </w:rPr>
        <w:t>Wejście w życie.</w:t>
      </w:r>
    </w:p>
    <w:p w14:paraId="244EE748"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Niniejszy dekret królewski wchodzi w życie następnego dnia po jego publikacji w Dzienniku Urzędowym.</w:t>
      </w:r>
    </w:p>
    <w:p w14:paraId="020B8256" w14:textId="77777777" w:rsidR="000760AB" w:rsidRPr="000760AB" w:rsidRDefault="000760AB" w:rsidP="000760AB">
      <w:pPr>
        <w:spacing w:after="160" w:line="259" w:lineRule="auto"/>
        <w:jc w:val="both"/>
        <w:rPr>
          <w:rFonts w:ascii="Calibri" w:eastAsia="Calibri" w:hAnsi="Calibri" w:cs="Calibri"/>
          <w:sz w:val="20"/>
          <w:szCs w:val="20"/>
          <w:lang w:eastAsia="en-US"/>
        </w:rPr>
      </w:pPr>
    </w:p>
    <w:p w14:paraId="05F24353" w14:textId="77777777" w:rsidR="001F7365" w:rsidRPr="00081F25" w:rsidRDefault="001F7365" w:rsidP="001F7365">
      <w:pPr>
        <w:autoSpaceDE w:val="0"/>
        <w:autoSpaceDN w:val="0"/>
        <w:adjustRightInd w:val="0"/>
        <w:jc w:val="center"/>
        <w:rPr>
          <w:rFonts w:asciiTheme="minorHAnsi" w:hAnsiTheme="minorHAnsi" w:cstheme="minorHAnsi"/>
          <w:sz w:val="22"/>
          <w:szCs w:val="22"/>
        </w:rPr>
      </w:pPr>
      <w:r>
        <w:rPr>
          <w:rFonts w:asciiTheme="minorHAnsi" w:hAnsiTheme="minorHAnsi"/>
          <w:sz w:val="22"/>
        </w:rPr>
        <w:t>DO PRZEDŁOŻENIA RADZIE MINISTRÓW</w:t>
      </w:r>
    </w:p>
    <w:p w14:paraId="3A0D8D70" w14:textId="77777777" w:rsidR="001F7365" w:rsidRPr="00081F25" w:rsidRDefault="001F7365" w:rsidP="001F7365">
      <w:pPr>
        <w:autoSpaceDE w:val="0"/>
        <w:autoSpaceDN w:val="0"/>
        <w:adjustRightInd w:val="0"/>
        <w:jc w:val="center"/>
        <w:rPr>
          <w:rFonts w:asciiTheme="minorHAnsi" w:hAnsiTheme="minorHAnsi" w:cstheme="minorHAnsi"/>
          <w:sz w:val="22"/>
          <w:szCs w:val="22"/>
        </w:rPr>
      </w:pPr>
    </w:p>
    <w:p w14:paraId="34F7C3B3" w14:textId="77777777" w:rsidR="001F7365" w:rsidRPr="00081F25" w:rsidRDefault="001F7365" w:rsidP="001F7365">
      <w:pPr>
        <w:autoSpaceDE w:val="0"/>
        <w:autoSpaceDN w:val="0"/>
        <w:adjustRightInd w:val="0"/>
        <w:jc w:val="center"/>
        <w:rPr>
          <w:rFonts w:asciiTheme="minorHAnsi" w:hAnsiTheme="minorHAnsi" w:cstheme="minorHAnsi"/>
          <w:sz w:val="22"/>
          <w:szCs w:val="22"/>
        </w:rPr>
      </w:pPr>
      <w:r>
        <w:rPr>
          <w:rFonts w:asciiTheme="minorHAnsi" w:hAnsiTheme="minorHAnsi"/>
          <w:sz w:val="22"/>
        </w:rPr>
        <w:t>Madryt, dnia            2022 r.</w:t>
      </w:r>
    </w:p>
    <w:p w14:paraId="201B84D8" w14:textId="77777777" w:rsidR="001F7365" w:rsidRPr="00081F25" w:rsidRDefault="001F7365" w:rsidP="001F7365">
      <w:pPr>
        <w:spacing w:after="160" w:line="259" w:lineRule="auto"/>
        <w:jc w:val="both"/>
        <w:rPr>
          <w:rFonts w:asciiTheme="minorHAnsi" w:eastAsia="Calibri" w:hAnsiTheme="minorHAnsi" w:cstheme="minorHAnsi"/>
          <w:sz w:val="20"/>
          <w:szCs w:val="20"/>
          <w:lang w:eastAsia="en-US"/>
        </w:rPr>
      </w:pPr>
    </w:p>
    <w:p w14:paraId="5AC40BA3" w14:textId="77777777" w:rsidR="001F7365" w:rsidRPr="00081F25" w:rsidRDefault="001F7365" w:rsidP="001F7365">
      <w:pPr>
        <w:spacing w:after="160" w:line="259" w:lineRule="auto"/>
        <w:jc w:val="both"/>
        <w:rPr>
          <w:rFonts w:asciiTheme="minorHAnsi" w:eastAsia="Calibri" w:hAnsiTheme="minorHAnsi" w:cstheme="minorHAnsi"/>
          <w:sz w:val="20"/>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1"/>
        <w:gridCol w:w="5141"/>
      </w:tblGrid>
      <w:tr w:rsidR="001F7365" w:rsidRPr="00081F25" w14:paraId="26BBB77F" w14:textId="77777777" w:rsidTr="000D4A40">
        <w:trPr>
          <w:trHeight w:val="2150"/>
        </w:trPr>
        <w:tc>
          <w:tcPr>
            <w:tcW w:w="5141" w:type="dxa"/>
            <w:tcBorders>
              <w:top w:val="nil"/>
              <w:left w:val="nil"/>
              <w:bottom w:val="nil"/>
              <w:right w:val="nil"/>
            </w:tcBorders>
            <w:shd w:val="clear" w:color="auto" w:fill="auto"/>
          </w:tcPr>
          <w:p w14:paraId="2DFF5CC2" w14:textId="77777777" w:rsidR="001F7365" w:rsidRPr="00081F25" w:rsidRDefault="001F7365" w:rsidP="000D4A40">
            <w:pPr>
              <w:autoSpaceDE w:val="0"/>
              <w:autoSpaceDN w:val="0"/>
              <w:adjustRightInd w:val="0"/>
              <w:jc w:val="center"/>
              <w:rPr>
                <w:rFonts w:asciiTheme="minorHAnsi" w:hAnsiTheme="minorHAnsi" w:cstheme="minorHAnsi"/>
                <w:sz w:val="22"/>
                <w:szCs w:val="22"/>
              </w:rPr>
            </w:pPr>
            <w:r>
              <w:rPr>
                <w:rFonts w:asciiTheme="minorHAnsi" w:hAnsiTheme="minorHAnsi"/>
                <w:sz w:val="22"/>
              </w:rPr>
              <w:t>MINISTER TRANSPORTU, MOBILNOŚCI I AGENDY MIEJSKIEJ</w:t>
            </w:r>
          </w:p>
          <w:p w14:paraId="38965193" w14:textId="77777777" w:rsidR="001F7365" w:rsidRPr="00081F25" w:rsidRDefault="001F7365" w:rsidP="000D4A40">
            <w:pPr>
              <w:autoSpaceDE w:val="0"/>
              <w:autoSpaceDN w:val="0"/>
              <w:adjustRightInd w:val="0"/>
              <w:jc w:val="center"/>
              <w:rPr>
                <w:rFonts w:asciiTheme="minorHAnsi" w:hAnsiTheme="minorHAnsi" w:cstheme="minorHAnsi"/>
                <w:sz w:val="22"/>
                <w:szCs w:val="22"/>
              </w:rPr>
            </w:pPr>
          </w:p>
          <w:p w14:paraId="79C438BC" w14:textId="77777777" w:rsidR="001F7365" w:rsidRPr="00081F25" w:rsidRDefault="001F7365" w:rsidP="000D4A40">
            <w:pPr>
              <w:autoSpaceDE w:val="0"/>
              <w:autoSpaceDN w:val="0"/>
              <w:adjustRightInd w:val="0"/>
              <w:jc w:val="center"/>
              <w:rPr>
                <w:rFonts w:asciiTheme="minorHAnsi" w:hAnsiTheme="minorHAnsi" w:cstheme="minorHAnsi"/>
                <w:sz w:val="22"/>
                <w:szCs w:val="22"/>
              </w:rPr>
            </w:pPr>
          </w:p>
          <w:p w14:paraId="77C1774F" w14:textId="77777777" w:rsidR="001F7365" w:rsidRPr="00081F25" w:rsidRDefault="001F7365" w:rsidP="000D4A40">
            <w:pPr>
              <w:autoSpaceDE w:val="0"/>
              <w:autoSpaceDN w:val="0"/>
              <w:adjustRightInd w:val="0"/>
              <w:jc w:val="center"/>
              <w:rPr>
                <w:rFonts w:asciiTheme="minorHAnsi" w:hAnsiTheme="minorHAnsi" w:cstheme="minorHAnsi"/>
                <w:sz w:val="22"/>
                <w:szCs w:val="22"/>
              </w:rPr>
            </w:pPr>
          </w:p>
          <w:p w14:paraId="540B0B02" w14:textId="77777777" w:rsidR="001F7365" w:rsidRPr="00081F25" w:rsidRDefault="001F7365" w:rsidP="000D4A40">
            <w:pPr>
              <w:autoSpaceDE w:val="0"/>
              <w:autoSpaceDN w:val="0"/>
              <w:adjustRightInd w:val="0"/>
              <w:jc w:val="center"/>
              <w:rPr>
                <w:rFonts w:asciiTheme="minorHAnsi" w:hAnsiTheme="minorHAnsi" w:cstheme="minorHAnsi"/>
                <w:sz w:val="22"/>
                <w:szCs w:val="22"/>
              </w:rPr>
            </w:pPr>
          </w:p>
          <w:p w14:paraId="46B22890" w14:textId="77777777" w:rsidR="001F7365" w:rsidRPr="00081F25" w:rsidRDefault="001F7365" w:rsidP="000D4A40">
            <w:pPr>
              <w:autoSpaceDE w:val="0"/>
              <w:autoSpaceDN w:val="0"/>
              <w:adjustRightInd w:val="0"/>
              <w:jc w:val="center"/>
              <w:rPr>
                <w:rFonts w:asciiTheme="minorHAnsi" w:hAnsiTheme="minorHAnsi" w:cstheme="minorHAnsi"/>
                <w:sz w:val="22"/>
                <w:szCs w:val="22"/>
              </w:rPr>
            </w:pPr>
          </w:p>
          <w:p w14:paraId="3BCAF82D" w14:textId="77777777" w:rsidR="001F7365" w:rsidRPr="00081F25" w:rsidRDefault="001F7365" w:rsidP="000D4A40">
            <w:pPr>
              <w:autoSpaceDE w:val="0"/>
              <w:autoSpaceDN w:val="0"/>
              <w:adjustRightInd w:val="0"/>
              <w:jc w:val="center"/>
              <w:rPr>
                <w:rFonts w:asciiTheme="minorHAnsi" w:hAnsiTheme="minorHAnsi" w:cstheme="minorHAnsi"/>
                <w:sz w:val="22"/>
                <w:szCs w:val="22"/>
              </w:rPr>
            </w:pPr>
            <w:r>
              <w:rPr>
                <w:rFonts w:asciiTheme="minorHAnsi" w:hAnsiTheme="minorHAnsi"/>
                <w:sz w:val="22"/>
              </w:rPr>
              <w:t>Raquel Sánchez Jiménez</w:t>
            </w:r>
          </w:p>
        </w:tc>
        <w:tc>
          <w:tcPr>
            <w:tcW w:w="5141" w:type="dxa"/>
            <w:tcBorders>
              <w:top w:val="nil"/>
              <w:left w:val="nil"/>
              <w:bottom w:val="nil"/>
              <w:right w:val="nil"/>
            </w:tcBorders>
          </w:tcPr>
          <w:p w14:paraId="749FA458" w14:textId="77777777" w:rsidR="001F7365" w:rsidRPr="004A2722" w:rsidRDefault="001F7365" w:rsidP="000D4A40">
            <w:pPr>
              <w:autoSpaceDE w:val="0"/>
              <w:autoSpaceDN w:val="0"/>
              <w:adjustRightInd w:val="0"/>
              <w:jc w:val="center"/>
              <w:rPr>
                <w:rFonts w:asciiTheme="minorHAnsi" w:hAnsiTheme="minorHAnsi" w:cstheme="minorHAnsi"/>
                <w:sz w:val="22"/>
                <w:szCs w:val="22"/>
              </w:rPr>
            </w:pPr>
            <w:r>
              <w:rPr>
                <w:rFonts w:asciiTheme="minorHAnsi" w:hAnsiTheme="minorHAnsi"/>
                <w:sz w:val="22"/>
              </w:rPr>
              <w:t>TRZECIA WICEPRZEWODNICZĄCA RZĄDU I MINISTER DS. ZMIAN KLIMATU I PROBLEMÓW DEMOGRAFICZNYCH</w:t>
            </w:r>
          </w:p>
          <w:p w14:paraId="2B70C78B" w14:textId="77777777" w:rsidR="001F7365" w:rsidRPr="004A2722" w:rsidRDefault="001F7365" w:rsidP="000D4A40">
            <w:pPr>
              <w:autoSpaceDE w:val="0"/>
              <w:autoSpaceDN w:val="0"/>
              <w:adjustRightInd w:val="0"/>
              <w:rPr>
                <w:rFonts w:asciiTheme="minorHAnsi" w:hAnsiTheme="minorHAnsi" w:cstheme="minorHAnsi"/>
                <w:sz w:val="22"/>
                <w:szCs w:val="22"/>
                <w:lang w:val="es-ES_tradnl"/>
              </w:rPr>
            </w:pPr>
          </w:p>
          <w:p w14:paraId="20A3F7D7" w14:textId="77777777" w:rsidR="001F7365" w:rsidRPr="004A2722" w:rsidRDefault="001F7365" w:rsidP="000D4A40">
            <w:pPr>
              <w:autoSpaceDE w:val="0"/>
              <w:autoSpaceDN w:val="0"/>
              <w:adjustRightInd w:val="0"/>
              <w:rPr>
                <w:rFonts w:asciiTheme="minorHAnsi" w:hAnsiTheme="minorHAnsi" w:cstheme="minorHAnsi"/>
                <w:sz w:val="22"/>
                <w:szCs w:val="22"/>
                <w:lang w:val="es-ES_tradnl"/>
              </w:rPr>
            </w:pPr>
          </w:p>
          <w:p w14:paraId="4D67AC80" w14:textId="77777777" w:rsidR="001F7365" w:rsidRPr="004A2722" w:rsidRDefault="001F7365" w:rsidP="000D4A40">
            <w:pPr>
              <w:autoSpaceDE w:val="0"/>
              <w:autoSpaceDN w:val="0"/>
              <w:adjustRightInd w:val="0"/>
              <w:rPr>
                <w:rFonts w:asciiTheme="minorHAnsi" w:hAnsiTheme="minorHAnsi" w:cstheme="minorHAnsi"/>
                <w:sz w:val="22"/>
                <w:szCs w:val="22"/>
                <w:lang w:val="es-ES_tradnl"/>
              </w:rPr>
            </w:pPr>
          </w:p>
          <w:p w14:paraId="1D518996" w14:textId="77777777" w:rsidR="001F7365" w:rsidRPr="004A2722" w:rsidRDefault="001F7365" w:rsidP="000D4A40">
            <w:pPr>
              <w:autoSpaceDE w:val="0"/>
              <w:autoSpaceDN w:val="0"/>
              <w:adjustRightInd w:val="0"/>
              <w:rPr>
                <w:rFonts w:asciiTheme="minorHAnsi" w:hAnsiTheme="minorHAnsi" w:cstheme="minorHAnsi"/>
                <w:sz w:val="22"/>
                <w:szCs w:val="22"/>
                <w:lang w:val="es-ES_tradnl"/>
              </w:rPr>
            </w:pPr>
          </w:p>
          <w:p w14:paraId="5C180639" w14:textId="77777777" w:rsidR="001F7365" w:rsidRPr="004A2722" w:rsidRDefault="001F7365" w:rsidP="000D4A40">
            <w:pPr>
              <w:autoSpaceDE w:val="0"/>
              <w:autoSpaceDN w:val="0"/>
              <w:adjustRightInd w:val="0"/>
              <w:rPr>
                <w:rFonts w:asciiTheme="minorHAnsi" w:hAnsiTheme="minorHAnsi" w:cstheme="minorHAnsi"/>
                <w:sz w:val="22"/>
                <w:szCs w:val="22"/>
                <w:lang w:val="es-ES_tradnl"/>
              </w:rPr>
            </w:pPr>
          </w:p>
          <w:p w14:paraId="20B3A488" w14:textId="77777777" w:rsidR="001F7365" w:rsidRPr="00081F25" w:rsidRDefault="001F7365" w:rsidP="000D4A40">
            <w:pPr>
              <w:autoSpaceDE w:val="0"/>
              <w:autoSpaceDN w:val="0"/>
              <w:adjustRightInd w:val="0"/>
              <w:jc w:val="center"/>
              <w:rPr>
                <w:rFonts w:asciiTheme="minorHAnsi" w:hAnsiTheme="minorHAnsi" w:cstheme="minorHAnsi"/>
                <w:sz w:val="22"/>
                <w:szCs w:val="22"/>
              </w:rPr>
            </w:pPr>
            <w:r>
              <w:rPr>
                <w:rFonts w:asciiTheme="minorHAnsi" w:hAnsiTheme="minorHAnsi"/>
                <w:sz w:val="22"/>
              </w:rPr>
              <w:t>Teresa Ribera Rodríguez</w:t>
            </w:r>
          </w:p>
        </w:tc>
      </w:tr>
    </w:tbl>
    <w:p w14:paraId="15FD4F10" w14:textId="77777777" w:rsidR="008577E8" w:rsidRDefault="008577E8" w:rsidP="008577E8">
      <w:pPr>
        <w:pStyle w:val="FootnoteText"/>
        <w:tabs>
          <w:tab w:val="left" w:pos="-3969"/>
        </w:tabs>
        <w:spacing w:after="120"/>
        <w:ind w:left="567" w:right="55" w:firstLine="533"/>
        <w:jc w:val="both"/>
        <w:rPr>
          <w:rFonts w:ascii="Arial" w:hAnsi="Arial" w:cs="Arial"/>
          <w:sz w:val="24"/>
          <w:szCs w:val="24"/>
          <w:lang w:val="es-ES"/>
        </w:rPr>
      </w:pPr>
    </w:p>
    <w:sectPr w:rsidR="008577E8">
      <w:headerReference w:type="default" r:id="rId7"/>
      <w:footerReference w:type="even" r:id="rId8"/>
      <w:footerReference w:type="default" r:id="rId9"/>
      <w:headerReference w:type="first" r:id="rId10"/>
      <w:pgSz w:w="11906" w:h="16838" w:code="9"/>
      <w:pgMar w:top="1701" w:right="737" w:bottom="726" w:left="737" w:header="567"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8CDB02" w14:textId="77777777" w:rsidR="00143A4C" w:rsidRDefault="00143A4C">
      <w:r>
        <w:separator/>
      </w:r>
    </w:p>
  </w:endnote>
  <w:endnote w:type="continuationSeparator" w:id="0">
    <w:p w14:paraId="5CA2C1A8" w14:textId="77777777" w:rsidR="00143A4C" w:rsidRDefault="00143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Noto Sans CJK SC Regular">
    <w:altName w:val="Times New Roman"/>
    <w:panose1 w:val="00000000000000000000"/>
    <w:charset w:val="00"/>
    <w:family w:val="roman"/>
    <w:notTrueType/>
    <w:pitch w:val="default"/>
  </w:font>
  <w:font w:name="Gill Sans MT">
    <w:altName w:val="Gill Sans MT"/>
    <w:charset w:val="EE"/>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31ADC" w14:textId="77777777" w:rsidR="00C93CCC" w:rsidRDefault="00C93CC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2DA43C3" w14:textId="77777777" w:rsidR="00C93CCC" w:rsidRDefault="00C93CC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7B7FA" w14:textId="7ED610BC" w:rsidR="00C93CCC" w:rsidRDefault="00C93CC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C3417">
      <w:rPr>
        <w:rStyle w:val="PageNumber"/>
      </w:rPr>
      <w:t>2</w:t>
    </w:r>
    <w:r>
      <w:rPr>
        <w:rStyle w:val="PageNumber"/>
      </w:rPr>
      <w:fldChar w:fldCharType="end"/>
    </w:r>
  </w:p>
  <w:p w14:paraId="7719E668" w14:textId="77777777" w:rsidR="00C93CCC" w:rsidRDefault="00C93CC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2E3F37" w14:textId="77777777" w:rsidR="00143A4C" w:rsidRDefault="00143A4C">
      <w:r>
        <w:separator/>
      </w:r>
    </w:p>
  </w:footnote>
  <w:footnote w:type="continuationSeparator" w:id="0">
    <w:p w14:paraId="1BB3403B" w14:textId="77777777" w:rsidR="00143A4C" w:rsidRDefault="00143A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0" w:type="dxa"/>
        <w:right w:w="70" w:type="dxa"/>
      </w:tblCellMar>
      <w:tblLook w:val="0000" w:firstRow="0" w:lastRow="0" w:firstColumn="0" w:lastColumn="0" w:noHBand="0" w:noVBand="0"/>
    </w:tblPr>
    <w:tblGrid>
      <w:gridCol w:w="1346"/>
      <w:gridCol w:w="7726"/>
      <w:gridCol w:w="1843"/>
    </w:tblGrid>
    <w:tr w:rsidR="00C93CCC" w14:paraId="19D5BC5E" w14:textId="77777777">
      <w:trPr>
        <w:cantSplit/>
        <w:trHeight w:val="991"/>
        <w:jc w:val="center"/>
      </w:trPr>
      <w:tc>
        <w:tcPr>
          <w:tcW w:w="1346" w:type="dxa"/>
        </w:tcPr>
        <w:p w14:paraId="7D1E4812" w14:textId="77777777" w:rsidR="00C93CCC" w:rsidRDefault="00C93CCC">
          <w:pPr>
            <w:pStyle w:val="Header"/>
            <w:tabs>
              <w:tab w:val="clear" w:pos="4252"/>
              <w:tab w:val="clear" w:pos="8504"/>
            </w:tabs>
          </w:pPr>
        </w:p>
      </w:tc>
      <w:tc>
        <w:tcPr>
          <w:tcW w:w="7726" w:type="dxa"/>
        </w:tcPr>
        <w:p w14:paraId="0DBFE409" w14:textId="77777777" w:rsidR="00C93CCC" w:rsidRDefault="00C93CCC">
          <w:pPr>
            <w:pStyle w:val="Header"/>
            <w:tabs>
              <w:tab w:val="clear" w:pos="4252"/>
              <w:tab w:val="left" w:pos="2127"/>
              <w:tab w:val="left" w:pos="6521"/>
            </w:tabs>
          </w:pPr>
        </w:p>
      </w:tc>
      <w:bookmarkStart w:id="29" w:name="_MON_1030527131"/>
      <w:bookmarkEnd w:id="29"/>
      <w:tc>
        <w:tcPr>
          <w:tcW w:w="1843" w:type="dxa"/>
        </w:tcPr>
        <w:p w14:paraId="159BECBD" w14:textId="77777777" w:rsidR="00C93CCC" w:rsidRDefault="00C93CCC">
          <w:pPr>
            <w:pStyle w:val="Header"/>
            <w:tabs>
              <w:tab w:val="clear" w:pos="4252"/>
              <w:tab w:val="left" w:pos="6521"/>
            </w:tabs>
            <w:spacing w:before="120" w:after="120"/>
            <w:jc w:val="right"/>
            <w:rPr>
              <w:rFonts w:ascii="Gill Sans MT" w:hAnsi="Gill Sans MT"/>
              <w:sz w:val="10"/>
            </w:rPr>
          </w:pPr>
          <w:r>
            <w:object w:dxaOrig="1081" w:dyaOrig="1141" w14:anchorId="416483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85pt;height:44.35pt" fillcolor="window">
                <v:imagedata r:id="rId1" o:title=""/>
              </v:shape>
              <o:OLEObject Type="Embed" ProgID="Word.Picture.8" ShapeID="_x0000_i1025" DrawAspect="Content" ObjectID="_1724480581" r:id="rId2"/>
            </w:object>
          </w:r>
        </w:p>
      </w:tc>
    </w:tr>
  </w:tbl>
  <w:p w14:paraId="37A83458" w14:textId="77777777" w:rsidR="00C93CCC" w:rsidRDefault="00C93CCC">
    <w:pPr>
      <w:pStyle w:val="Header"/>
    </w:pPr>
  </w:p>
  <w:p w14:paraId="4AECF7C6" w14:textId="6EDD15A4" w:rsidR="00C93CCC" w:rsidRDefault="00FD453F">
    <w:pPr>
      <w:pStyle w:val="Header"/>
    </w:pPr>
    <w:r>
      <w:rPr>
        <w:noProof/>
        <w:sz w:val="20"/>
      </w:rPr>
      <mc:AlternateContent>
        <mc:Choice Requires="wps">
          <w:drawing>
            <wp:anchor distT="0" distB="0" distL="114300" distR="114300" simplePos="0" relativeHeight="251658240" behindDoc="0" locked="0" layoutInCell="0" allowOverlap="1" wp14:anchorId="4819963E" wp14:editId="4FA1022B">
              <wp:simplePos x="0" y="0"/>
              <wp:positionH relativeFrom="margin">
                <wp:posOffset>-107950</wp:posOffset>
              </wp:positionH>
              <wp:positionV relativeFrom="page">
                <wp:posOffset>1423035</wp:posOffset>
              </wp:positionV>
              <wp:extent cx="6840220" cy="86868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0220" cy="8686800"/>
                      </a:xfrm>
                      <a:prstGeom prst="rect">
                        <a:avLst/>
                      </a:prstGeom>
                      <a:solidFill>
                        <a:srgbClr val="FFFFFF"/>
                      </a:solidFill>
                      <a:ln w="9525">
                        <a:solidFill>
                          <a:srgbClr val="000000"/>
                        </a:solidFill>
                        <a:miter lim="800000"/>
                        <a:headEnd/>
                        <a:tailEnd/>
                      </a:ln>
                    </wps:spPr>
                    <wps:txbx>
                      <w:txbxContent>
                        <w:p w14:paraId="0C89DAC6" w14:textId="77777777" w:rsidR="00C93CCC" w:rsidRDefault="00C93C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19963E" id="_x0000_t202" coordsize="21600,21600" o:spt="202" path="m,l,21600r21600,l21600,xe">
              <v:stroke joinstyle="miter"/>
              <v:path gradientshapeok="t" o:connecttype="rect"/>
            </v:shapetype>
            <v:shape id="Text Box 2" o:spid="_x0000_s1026" type="#_x0000_t202" style="position:absolute;margin-left:-8.5pt;margin-top:112.05pt;width:538.6pt;height:684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" o:allowincell="f">
              <v:textbox>
                <w:txbxContent>
                  <w:p w14:paraId="0C89DAC6" w14:textId="77777777" w:rsidR="00C93CCC" w:rsidRDefault="00C93CCC"/>
                </w:txbxContent>
              </v:textbox>
              <w10:wrap anchorx="margin"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877" w:type="dxa"/>
      <w:jc w:val="center"/>
      <w:tblLayout w:type="fixed"/>
      <w:tblCellMar>
        <w:left w:w="70" w:type="dxa"/>
        <w:right w:w="70" w:type="dxa"/>
      </w:tblCellMar>
      <w:tblLook w:val="0000" w:firstRow="0" w:lastRow="0" w:firstColumn="0" w:lastColumn="0" w:noHBand="0" w:noVBand="0"/>
    </w:tblPr>
    <w:tblGrid>
      <w:gridCol w:w="1357"/>
      <w:gridCol w:w="3728"/>
      <w:gridCol w:w="2020"/>
      <w:gridCol w:w="3772"/>
    </w:tblGrid>
    <w:tr w:rsidR="00546D77" w14:paraId="1E577442" w14:textId="77777777" w:rsidTr="00546D77">
      <w:trPr>
        <w:cantSplit/>
        <w:trHeight w:val="427"/>
        <w:jc w:val="center"/>
      </w:trPr>
      <w:tc>
        <w:tcPr>
          <w:tcW w:w="1357" w:type="dxa"/>
          <w:vMerge w:val="restart"/>
        </w:tcPr>
        <w:p w14:paraId="6CB9E49B" w14:textId="77777777" w:rsidR="00546D77" w:rsidRDefault="00546D77">
          <w:pPr>
            <w:pStyle w:val="Header"/>
            <w:tabs>
              <w:tab w:val="clear" w:pos="4252"/>
              <w:tab w:val="clear" w:pos="8504"/>
            </w:tabs>
            <w:ind w:left="-41" w:right="1318"/>
          </w:pPr>
          <w:r>
            <w:object w:dxaOrig="1081" w:dyaOrig="1141" w14:anchorId="18A5A6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6.95pt;height:59.45pt" fillcolor="window">
                <v:imagedata r:id="rId1" o:title=""/>
              </v:shape>
              <o:OLEObject Type="Embed" ProgID="Word.Picture.8" ShapeID="_x0000_i1026" DrawAspect="Content" ObjectID="_1724480582" r:id="rId2"/>
            </w:object>
          </w:r>
        </w:p>
      </w:tc>
      <w:tc>
        <w:tcPr>
          <w:tcW w:w="3728" w:type="dxa"/>
          <w:vMerge w:val="restart"/>
        </w:tcPr>
        <w:p w14:paraId="6198FA01" w14:textId="77777777" w:rsidR="00546D77" w:rsidRPr="008D3E08" w:rsidRDefault="00546D77">
          <w:pPr>
            <w:pStyle w:val="Header"/>
            <w:tabs>
              <w:tab w:val="clear" w:pos="4252"/>
              <w:tab w:val="left" w:pos="-819"/>
              <w:tab w:val="left" w:pos="6521"/>
            </w:tabs>
            <w:ind w:right="-7"/>
            <w:rPr>
              <w:sz w:val="22"/>
              <w:szCs w:val="22"/>
            </w:rPr>
          </w:pPr>
          <w:r>
            <w:rPr>
              <w:sz w:val="22"/>
            </w:rPr>
            <w:t xml:space="preserve">MINISTERSTWO </w:t>
          </w:r>
        </w:p>
        <w:p w14:paraId="72B91BEF" w14:textId="0FE9D540" w:rsidR="00546D77" w:rsidRPr="008D3E08" w:rsidRDefault="00546D77">
          <w:pPr>
            <w:pStyle w:val="Header"/>
            <w:tabs>
              <w:tab w:val="clear" w:pos="4252"/>
              <w:tab w:val="left" w:pos="-819"/>
              <w:tab w:val="left" w:pos="6521"/>
            </w:tabs>
            <w:ind w:right="-7"/>
            <w:rPr>
              <w:sz w:val="22"/>
              <w:szCs w:val="22"/>
            </w:rPr>
          </w:pPr>
          <w:r>
            <w:rPr>
              <w:sz w:val="22"/>
            </w:rPr>
            <w:t>TRANSPORTU, MOBILNOŚCI I URBANISTYKI</w:t>
          </w:r>
        </w:p>
        <w:p w14:paraId="17DC2EEB" w14:textId="77777777" w:rsidR="008D3E08" w:rsidRPr="008D3E08" w:rsidRDefault="008D3E08">
          <w:pPr>
            <w:pStyle w:val="Header"/>
            <w:tabs>
              <w:tab w:val="clear" w:pos="4252"/>
              <w:tab w:val="left" w:pos="-819"/>
              <w:tab w:val="left" w:pos="6521"/>
            </w:tabs>
            <w:ind w:right="-7"/>
            <w:rPr>
              <w:sz w:val="22"/>
              <w:szCs w:val="22"/>
            </w:rPr>
          </w:pPr>
        </w:p>
        <w:p w14:paraId="76421220" w14:textId="2838AE55" w:rsidR="008D3E08" w:rsidRDefault="008D3E08">
          <w:pPr>
            <w:pStyle w:val="Header"/>
            <w:tabs>
              <w:tab w:val="clear" w:pos="4252"/>
              <w:tab w:val="left" w:pos="-819"/>
              <w:tab w:val="left" w:pos="6521"/>
            </w:tabs>
            <w:ind w:right="-7"/>
            <w:rPr>
              <w:rFonts w:ascii="Gill Sans MT" w:hAnsi="Gill Sans MT"/>
              <w:sz w:val="16"/>
            </w:rPr>
          </w:pPr>
          <w:r>
            <w:rPr>
              <w:sz w:val="22"/>
            </w:rPr>
            <w:t>MINISTERSTWO TRANSFORMACJI EKOLOGICZNEJ I WYZWAŃ DEMOGRAFICZNYCH</w:t>
          </w:r>
        </w:p>
      </w:tc>
      <w:tc>
        <w:tcPr>
          <w:tcW w:w="2020" w:type="dxa"/>
          <w:vMerge w:val="restart"/>
        </w:tcPr>
        <w:p w14:paraId="5FBE566D" w14:textId="77777777" w:rsidR="00546D77" w:rsidRDefault="00546D77">
          <w:pPr>
            <w:pStyle w:val="Header"/>
            <w:tabs>
              <w:tab w:val="clear" w:pos="4252"/>
              <w:tab w:val="left" w:pos="-819"/>
              <w:tab w:val="left" w:pos="6521"/>
            </w:tabs>
            <w:rPr>
              <w:rFonts w:ascii="Gill Sans MT" w:hAnsi="Gill Sans MT"/>
              <w:sz w:val="16"/>
            </w:rPr>
          </w:pPr>
        </w:p>
      </w:tc>
      <w:tc>
        <w:tcPr>
          <w:tcW w:w="3772" w:type="dxa"/>
        </w:tcPr>
        <w:p w14:paraId="240676BB" w14:textId="77777777" w:rsidR="00546D77" w:rsidRDefault="00546D77">
          <w:pPr>
            <w:pStyle w:val="Header"/>
            <w:tabs>
              <w:tab w:val="clear" w:pos="4252"/>
              <w:tab w:val="left" w:pos="6521"/>
            </w:tabs>
            <w:spacing w:before="100"/>
          </w:pPr>
        </w:p>
        <w:p w14:paraId="2705A353" w14:textId="77777777" w:rsidR="00546D77" w:rsidRDefault="00546D77">
          <w:pPr>
            <w:pStyle w:val="Header"/>
            <w:tabs>
              <w:tab w:val="clear" w:pos="4252"/>
              <w:tab w:val="left" w:pos="6521"/>
            </w:tabs>
            <w:spacing w:before="100"/>
          </w:pPr>
        </w:p>
      </w:tc>
    </w:tr>
    <w:tr w:rsidR="00546D77" w14:paraId="4DD47A0F" w14:textId="77777777" w:rsidTr="00546D77">
      <w:trPr>
        <w:cantSplit/>
        <w:trHeight w:hRule="exact" w:val="100"/>
        <w:jc w:val="center"/>
      </w:trPr>
      <w:tc>
        <w:tcPr>
          <w:tcW w:w="1357" w:type="dxa"/>
          <w:vMerge/>
        </w:tcPr>
        <w:p w14:paraId="1C13B7EF" w14:textId="77777777" w:rsidR="00546D77" w:rsidRDefault="00546D77">
          <w:pPr>
            <w:pStyle w:val="Header"/>
            <w:tabs>
              <w:tab w:val="clear" w:pos="4252"/>
              <w:tab w:val="clear" w:pos="8504"/>
            </w:tabs>
            <w:ind w:left="-41" w:right="1176"/>
          </w:pPr>
        </w:p>
      </w:tc>
      <w:tc>
        <w:tcPr>
          <w:tcW w:w="3728" w:type="dxa"/>
          <w:vMerge/>
        </w:tcPr>
        <w:p w14:paraId="3B8408E4" w14:textId="77777777" w:rsidR="00546D77" w:rsidRDefault="00546D77">
          <w:pPr>
            <w:pStyle w:val="Header"/>
            <w:tabs>
              <w:tab w:val="clear" w:pos="4252"/>
              <w:tab w:val="left" w:pos="-819"/>
              <w:tab w:val="left" w:pos="6521"/>
            </w:tabs>
            <w:rPr>
              <w:rFonts w:ascii="Gill Sans MT" w:hAnsi="Gill Sans MT"/>
              <w:sz w:val="16"/>
            </w:rPr>
          </w:pPr>
        </w:p>
      </w:tc>
      <w:tc>
        <w:tcPr>
          <w:tcW w:w="2020" w:type="dxa"/>
          <w:vMerge/>
        </w:tcPr>
        <w:p w14:paraId="5355EE17" w14:textId="77777777" w:rsidR="00546D77" w:rsidRDefault="00546D77">
          <w:pPr>
            <w:pStyle w:val="Header"/>
            <w:tabs>
              <w:tab w:val="clear" w:pos="4252"/>
              <w:tab w:val="left" w:pos="-819"/>
              <w:tab w:val="left" w:pos="6521"/>
            </w:tabs>
            <w:rPr>
              <w:rFonts w:ascii="Gill Sans MT" w:hAnsi="Gill Sans MT"/>
              <w:sz w:val="16"/>
            </w:rPr>
          </w:pPr>
        </w:p>
      </w:tc>
      <w:tc>
        <w:tcPr>
          <w:tcW w:w="3772" w:type="dxa"/>
        </w:tcPr>
        <w:p w14:paraId="229BCB56" w14:textId="77777777" w:rsidR="00546D77" w:rsidRDefault="00546D77">
          <w:pPr>
            <w:pStyle w:val="Header"/>
            <w:tabs>
              <w:tab w:val="clear" w:pos="4252"/>
              <w:tab w:val="left" w:pos="6521"/>
            </w:tabs>
            <w:ind w:right="782"/>
            <w:rPr>
              <w:rFonts w:ascii="Gill Sans MT" w:hAnsi="Gill Sans MT"/>
              <w:sz w:val="14"/>
            </w:rPr>
          </w:pPr>
        </w:p>
      </w:tc>
    </w:tr>
    <w:tr w:rsidR="00546D77" w14:paraId="5B3C05C1" w14:textId="77777777" w:rsidTr="00546D77">
      <w:trPr>
        <w:cantSplit/>
        <w:trHeight w:hRule="exact" w:val="427"/>
        <w:jc w:val="center"/>
      </w:trPr>
      <w:tc>
        <w:tcPr>
          <w:tcW w:w="1357" w:type="dxa"/>
          <w:vMerge/>
        </w:tcPr>
        <w:p w14:paraId="6B5B66CA" w14:textId="77777777" w:rsidR="00546D77" w:rsidRDefault="00546D77">
          <w:pPr>
            <w:pStyle w:val="Header"/>
            <w:tabs>
              <w:tab w:val="clear" w:pos="4252"/>
              <w:tab w:val="clear" w:pos="8504"/>
            </w:tabs>
            <w:ind w:left="-41" w:right="1176"/>
          </w:pPr>
        </w:p>
      </w:tc>
      <w:tc>
        <w:tcPr>
          <w:tcW w:w="3728" w:type="dxa"/>
          <w:vMerge/>
        </w:tcPr>
        <w:p w14:paraId="2C834F51" w14:textId="77777777" w:rsidR="00546D77" w:rsidRDefault="00546D77">
          <w:pPr>
            <w:pStyle w:val="Header"/>
            <w:tabs>
              <w:tab w:val="clear" w:pos="4252"/>
              <w:tab w:val="left" w:pos="-819"/>
              <w:tab w:val="left" w:pos="6521"/>
            </w:tabs>
            <w:rPr>
              <w:rFonts w:ascii="Gill Sans MT" w:hAnsi="Gill Sans MT"/>
              <w:sz w:val="16"/>
            </w:rPr>
          </w:pPr>
        </w:p>
      </w:tc>
      <w:tc>
        <w:tcPr>
          <w:tcW w:w="2020" w:type="dxa"/>
          <w:vMerge/>
        </w:tcPr>
        <w:p w14:paraId="44869AAF" w14:textId="77777777" w:rsidR="00546D77" w:rsidRDefault="00546D77">
          <w:pPr>
            <w:pStyle w:val="Header"/>
            <w:tabs>
              <w:tab w:val="clear" w:pos="4252"/>
              <w:tab w:val="left" w:pos="-819"/>
              <w:tab w:val="left" w:pos="6521"/>
            </w:tabs>
            <w:rPr>
              <w:rFonts w:ascii="Gill Sans MT" w:hAnsi="Gill Sans MT"/>
              <w:sz w:val="16"/>
            </w:rPr>
          </w:pPr>
        </w:p>
      </w:tc>
      <w:tc>
        <w:tcPr>
          <w:tcW w:w="3772" w:type="dxa"/>
          <w:tcBorders>
            <w:top w:val="single" w:sz="4" w:space="0" w:color="auto"/>
            <w:left w:val="single" w:sz="4" w:space="0" w:color="auto"/>
            <w:bottom w:val="single" w:sz="4" w:space="0" w:color="auto"/>
            <w:right w:val="single" w:sz="4" w:space="0" w:color="auto"/>
          </w:tcBorders>
        </w:tcPr>
        <w:p w14:paraId="7AE9179E" w14:textId="77777777" w:rsidR="00546D77" w:rsidRDefault="00546D77">
          <w:pPr>
            <w:pStyle w:val="Header"/>
            <w:tabs>
              <w:tab w:val="clear" w:pos="4252"/>
              <w:tab w:val="left" w:pos="6521"/>
            </w:tabs>
            <w:spacing w:before="100"/>
            <w:ind w:right="782"/>
          </w:pPr>
          <w:r>
            <w:rPr>
              <w:rFonts w:ascii="Gill Sans MT" w:hAnsi="Gill Sans MT"/>
              <w:sz w:val="14"/>
            </w:rPr>
            <w:t>NR REF.:</w:t>
          </w:r>
        </w:p>
      </w:tc>
    </w:tr>
    <w:tr w:rsidR="00546D77" w14:paraId="245FEC80" w14:textId="77777777" w:rsidTr="00546D77">
      <w:trPr>
        <w:cantSplit/>
        <w:trHeight w:hRule="exact" w:val="600"/>
        <w:jc w:val="center"/>
      </w:trPr>
      <w:tc>
        <w:tcPr>
          <w:tcW w:w="1357" w:type="dxa"/>
          <w:vMerge/>
        </w:tcPr>
        <w:p w14:paraId="28B5929C" w14:textId="77777777" w:rsidR="00546D77" w:rsidRDefault="00546D77">
          <w:pPr>
            <w:pStyle w:val="Header"/>
            <w:tabs>
              <w:tab w:val="clear" w:pos="4252"/>
              <w:tab w:val="clear" w:pos="8504"/>
            </w:tabs>
            <w:ind w:left="-41" w:right="1176"/>
          </w:pPr>
        </w:p>
      </w:tc>
      <w:tc>
        <w:tcPr>
          <w:tcW w:w="3728" w:type="dxa"/>
          <w:vMerge/>
        </w:tcPr>
        <w:p w14:paraId="58C627D0" w14:textId="77777777" w:rsidR="00546D77" w:rsidRDefault="00546D77">
          <w:pPr>
            <w:pStyle w:val="Header"/>
            <w:tabs>
              <w:tab w:val="clear" w:pos="4252"/>
              <w:tab w:val="left" w:pos="-819"/>
              <w:tab w:val="left" w:pos="6521"/>
            </w:tabs>
            <w:rPr>
              <w:rFonts w:ascii="Gill Sans MT" w:hAnsi="Gill Sans MT"/>
              <w:sz w:val="16"/>
            </w:rPr>
          </w:pPr>
        </w:p>
      </w:tc>
      <w:tc>
        <w:tcPr>
          <w:tcW w:w="2020" w:type="dxa"/>
          <w:vMerge/>
        </w:tcPr>
        <w:p w14:paraId="44F238CB" w14:textId="77777777" w:rsidR="00546D77" w:rsidRDefault="00546D77">
          <w:pPr>
            <w:pStyle w:val="Header"/>
            <w:tabs>
              <w:tab w:val="clear" w:pos="4252"/>
              <w:tab w:val="left" w:pos="-819"/>
              <w:tab w:val="left" w:pos="6521"/>
            </w:tabs>
            <w:rPr>
              <w:rFonts w:ascii="Gill Sans MT" w:hAnsi="Gill Sans MT"/>
              <w:sz w:val="16"/>
            </w:rPr>
          </w:pPr>
        </w:p>
      </w:tc>
      <w:tc>
        <w:tcPr>
          <w:tcW w:w="3772" w:type="dxa"/>
          <w:tcBorders>
            <w:top w:val="single" w:sz="4" w:space="0" w:color="auto"/>
            <w:left w:val="single" w:sz="4" w:space="0" w:color="auto"/>
            <w:bottom w:val="single" w:sz="4" w:space="0" w:color="auto"/>
            <w:right w:val="single" w:sz="4" w:space="0" w:color="auto"/>
          </w:tcBorders>
        </w:tcPr>
        <w:p w14:paraId="1B79A29C" w14:textId="77777777" w:rsidR="00546D77" w:rsidRDefault="00546D77">
          <w:pPr>
            <w:pStyle w:val="Header"/>
            <w:tabs>
              <w:tab w:val="clear" w:pos="4252"/>
              <w:tab w:val="left" w:pos="6521"/>
            </w:tabs>
            <w:spacing w:before="100"/>
            <w:ind w:right="782"/>
          </w:pPr>
          <w:r>
            <w:rPr>
              <w:rFonts w:ascii="Gill Sans MT" w:hAnsi="Gill Sans MT"/>
              <w:sz w:val="14"/>
            </w:rPr>
            <w:t>NR REF.C.M.:</w:t>
          </w:r>
        </w:p>
      </w:tc>
    </w:tr>
  </w:tbl>
  <w:p w14:paraId="0F00BC53" w14:textId="5A2A6B0E" w:rsidR="00C93CCC" w:rsidRDefault="00FD453F">
    <w:pPr>
      <w:pStyle w:val="Header"/>
    </w:pPr>
    <w:r>
      <w:rPr>
        <w:noProof/>
        <w:sz w:val="20"/>
      </w:rPr>
      <mc:AlternateContent>
        <mc:Choice Requires="wps">
          <w:drawing>
            <wp:anchor distT="0" distB="0" distL="114300" distR="114300" simplePos="0" relativeHeight="251657216" behindDoc="0" locked="0" layoutInCell="0" allowOverlap="1" wp14:anchorId="25F39437" wp14:editId="6D6516D9">
              <wp:simplePos x="0" y="0"/>
              <wp:positionH relativeFrom="margin">
                <wp:posOffset>-107950</wp:posOffset>
              </wp:positionH>
              <wp:positionV relativeFrom="page">
                <wp:posOffset>5080000</wp:posOffset>
              </wp:positionV>
              <wp:extent cx="6840220" cy="51695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0220" cy="5169535"/>
                      </a:xfrm>
                      <a:prstGeom prst="rect">
                        <a:avLst/>
                      </a:prstGeom>
                      <a:solidFill>
                        <a:srgbClr val="FFFFFF"/>
                      </a:solidFill>
                      <a:ln w="9525">
                        <a:solidFill>
                          <a:srgbClr val="000000"/>
                        </a:solidFill>
                        <a:miter lim="800000"/>
                        <a:headEnd/>
                        <a:tailEnd/>
                      </a:ln>
                    </wps:spPr>
                    <wps:txbx>
                      <w:txbxContent>
                        <w:p w14:paraId="0930644B" w14:textId="77777777" w:rsidR="00C93CCC" w:rsidRDefault="00C93C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F39437" id="_x0000_t202" coordsize="21600,21600" o:spt="202" path="m,l,21600r21600,l21600,xe">
              <v:stroke joinstyle="miter"/>
              <v:path gradientshapeok="t" o:connecttype="rect"/>
            </v:shapetype>
            <v:shape id="Text Box 1" o:spid="_x0000_s1027" type="#_x0000_t202" style="position:absolute;margin-left:-8.5pt;margin-top:400pt;width:538.6pt;height:407.0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" o:allowincell="f">
              <v:textbox>
                <w:txbxContent>
                  <w:p w14:paraId="0930644B" w14:textId="77777777" w:rsidR="00C93CCC" w:rsidRDefault="00C93CCC"/>
                </w:txbxContent>
              </v:textbox>
              <w10:wrap anchorx="margin"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96B14"/>
    <w:multiLevelType w:val="hybridMultilevel"/>
    <w:tmpl w:val="542C774E"/>
    <w:lvl w:ilvl="0" w:tplc="B2BAFBE0">
      <w:start w:val="1"/>
      <w:numFmt w:val="decimal"/>
      <w:lvlText w:val="%1"/>
      <w:lvlJc w:val="left"/>
      <w:pPr>
        <w:ind w:left="29115" w:hanging="840"/>
      </w:pPr>
      <w:rPr>
        <w:rFonts w:hint="default"/>
      </w:rPr>
    </w:lvl>
    <w:lvl w:ilvl="1" w:tplc="0C0A0019" w:tentative="1">
      <w:start w:val="1"/>
      <w:numFmt w:val="lowerLetter"/>
      <w:lvlText w:val="%2."/>
      <w:lvlJc w:val="left"/>
      <w:pPr>
        <w:ind w:left="29355" w:hanging="360"/>
      </w:pPr>
    </w:lvl>
    <w:lvl w:ilvl="2" w:tplc="0C0A001B" w:tentative="1">
      <w:start w:val="1"/>
      <w:numFmt w:val="lowerRoman"/>
      <w:lvlText w:val="%3."/>
      <w:lvlJc w:val="right"/>
      <w:pPr>
        <w:ind w:left="30075" w:hanging="180"/>
      </w:pPr>
    </w:lvl>
    <w:lvl w:ilvl="3" w:tplc="0C0A000F" w:tentative="1">
      <w:start w:val="1"/>
      <w:numFmt w:val="decimal"/>
      <w:lvlText w:val="%4."/>
      <w:lvlJc w:val="left"/>
      <w:pPr>
        <w:ind w:left="30795" w:hanging="360"/>
      </w:pPr>
    </w:lvl>
    <w:lvl w:ilvl="4" w:tplc="0C0A0019" w:tentative="1">
      <w:start w:val="1"/>
      <w:numFmt w:val="lowerLetter"/>
      <w:lvlText w:val="%5."/>
      <w:lvlJc w:val="left"/>
      <w:pPr>
        <w:ind w:left="31515" w:hanging="360"/>
      </w:pPr>
    </w:lvl>
    <w:lvl w:ilvl="5" w:tplc="0C0A001B" w:tentative="1">
      <w:start w:val="1"/>
      <w:numFmt w:val="lowerRoman"/>
      <w:lvlText w:val="%6."/>
      <w:lvlJc w:val="right"/>
      <w:pPr>
        <w:ind w:left="32235" w:hanging="180"/>
      </w:pPr>
    </w:lvl>
    <w:lvl w:ilvl="6" w:tplc="0C0A000F" w:tentative="1">
      <w:start w:val="1"/>
      <w:numFmt w:val="decimal"/>
      <w:lvlText w:val="%7."/>
      <w:lvlJc w:val="left"/>
      <w:pPr>
        <w:ind w:left="-32581" w:hanging="360"/>
      </w:pPr>
    </w:lvl>
    <w:lvl w:ilvl="7" w:tplc="0C0A0019" w:tentative="1">
      <w:start w:val="1"/>
      <w:numFmt w:val="lowerLetter"/>
      <w:lvlText w:val="%8."/>
      <w:lvlJc w:val="left"/>
      <w:pPr>
        <w:ind w:left="-31861" w:hanging="360"/>
      </w:pPr>
    </w:lvl>
    <w:lvl w:ilvl="8" w:tplc="0C0A001B" w:tentative="1">
      <w:start w:val="1"/>
      <w:numFmt w:val="lowerRoman"/>
      <w:lvlText w:val="%9."/>
      <w:lvlJc w:val="right"/>
      <w:pPr>
        <w:ind w:left="-31141" w:hanging="180"/>
      </w:pPr>
    </w:lvl>
  </w:abstractNum>
  <w:abstractNum w:abstractNumId="1" w15:restartNumberingAfterBreak="0">
    <w:nsid w:val="037E37B5"/>
    <w:multiLevelType w:val="hybridMultilevel"/>
    <w:tmpl w:val="3EA0DAC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7A45B39"/>
    <w:multiLevelType w:val="hybridMultilevel"/>
    <w:tmpl w:val="C6BEE674"/>
    <w:lvl w:ilvl="0" w:tplc="0C0A0017">
      <w:start w:val="1"/>
      <w:numFmt w:val="lowerLetter"/>
      <w:lvlText w:val="%1)"/>
      <w:lvlJc w:val="left"/>
      <w:pPr>
        <w:ind w:left="1287" w:hanging="360"/>
      </w:p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3" w15:restartNumberingAfterBreak="0">
    <w:nsid w:val="0885190B"/>
    <w:multiLevelType w:val="hybridMultilevel"/>
    <w:tmpl w:val="EDF21534"/>
    <w:lvl w:ilvl="0" w:tplc="0C0A0017">
      <w:start w:val="1"/>
      <w:numFmt w:val="lowerLetter"/>
      <w:lvlText w:val="%1)"/>
      <w:lvlJc w:val="left"/>
      <w:pPr>
        <w:ind w:left="1776" w:hanging="360"/>
      </w:pPr>
    </w:lvl>
    <w:lvl w:ilvl="1" w:tplc="0C0A0019" w:tentative="1">
      <w:start w:val="1"/>
      <w:numFmt w:val="lowerLetter"/>
      <w:lvlText w:val="%2."/>
      <w:lvlJc w:val="left"/>
      <w:pPr>
        <w:ind w:left="2496" w:hanging="360"/>
      </w:pPr>
    </w:lvl>
    <w:lvl w:ilvl="2" w:tplc="0C0A001B" w:tentative="1">
      <w:start w:val="1"/>
      <w:numFmt w:val="lowerRoman"/>
      <w:lvlText w:val="%3."/>
      <w:lvlJc w:val="right"/>
      <w:pPr>
        <w:ind w:left="3216" w:hanging="180"/>
      </w:pPr>
    </w:lvl>
    <w:lvl w:ilvl="3" w:tplc="0C0A000F" w:tentative="1">
      <w:start w:val="1"/>
      <w:numFmt w:val="decimal"/>
      <w:lvlText w:val="%4."/>
      <w:lvlJc w:val="left"/>
      <w:pPr>
        <w:ind w:left="3936" w:hanging="360"/>
      </w:pPr>
    </w:lvl>
    <w:lvl w:ilvl="4" w:tplc="0C0A0019" w:tentative="1">
      <w:start w:val="1"/>
      <w:numFmt w:val="lowerLetter"/>
      <w:lvlText w:val="%5."/>
      <w:lvlJc w:val="left"/>
      <w:pPr>
        <w:ind w:left="4656" w:hanging="360"/>
      </w:pPr>
    </w:lvl>
    <w:lvl w:ilvl="5" w:tplc="0C0A001B" w:tentative="1">
      <w:start w:val="1"/>
      <w:numFmt w:val="lowerRoman"/>
      <w:lvlText w:val="%6."/>
      <w:lvlJc w:val="right"/>
      <w:pPr>
        <w:ind w:left="5376" w:hanging="180"/>
      </w:pPr>
    </w:lvl>
    <w:lvl w:ilvl="6" w:tplc="0C0A000F" w:tentative="1">
      <w:start w:val="1"/>
      <w:numFmt w:val="decimal"/>
      <w:lvlText w:val="%7."/>
      <w:lvlJc w:val="left"/>
      <w:pPr>
        <w:ind w:left="6096" w:hanging="360"/>
      </w:pPr>
    </w:lvl>
    <w:lvl w:ilvl="7" w:tplc="0C0A0019" w:tentative="1">
      <w:start w:val="1"/>
      <w:numFmt w:val="lowerLetter"/>
      <w:lvlText w:val="%8."/>
      <w:lvlJc w:val="left"/>
      <w:pPr>
        <w:ind w:left="6816" w:hanging="360"/>
      </w:pPr>
    </w:lvl>
    <w:lvl w:ilvl="8" w:tplc="0C0A001B" w:tentative="1">
      <w:start w:val="1"/>
      <w:numFmt w:val="lowerRoman"/>
      <w:lvlText w:val="%9."/>
      <w:lvlJc w:val="right"/>
      <w:pPr>
        <w:ind w:left="7536" w:hanging="180"/>
      </w:pPr>
    </w:lvl>
  </w:abstractNum>
  <w:abstractNum w:abstractNumId="4" w15:restartNumberingAfterBreak="0">
    <w:nsid w:val="0E2128D4"/>
    <w:multiLevelType w:val="hybridMultilevel"/>
    <w:tmpl w:val="76C60BD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0106A9D"/>
    <w:multiLevelType w:val="hybridMultilevel"/>
    <w:tmpl w:val="60C833B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1261454"/>
    <w:multiLevelType w:val="hybridMultilevel"/>
    <w:tmpl w:val="131C936C"/>
    <w:lvl w:ilvl="0" w:tplc="2EB8C15A">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27253EF"/>
    <w:multiLevelType w:val="multilevel"/>
    <w:tmpl w:val="666816CA"/>
    <w:lvl w:ilvl="0">
      <w:start w:val="1"/>
      <w:numFmt w:val="bullet"/>
      <w:lvlText w:val=""/>
      <w:lvlJc w:val="left"/>
      <w:pPr>
        <w:ind w:left="1069" w:hanging="360"/>
      </w:pPr>
      <w:rPr>
        <w:rFonts w:ascii="Symbol" w:hAnsi="Symbol" w:cs="Symbol"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cs="Wingdings" w:hint="default"/>
      </w:rPr>
    </w:lvl>
    <w:lvl w:ilvl="3">
      <w:start w:val="1"/>
      <w:numFmt w:val="bullet"/>
      <w:lvlText w:val=""/>
      <w:lvlJc w:val="left"/>
      <w:pPr>
        <w:ind w:left="3229" w:hanging="360"/>
      </w:pPr>
      <w:rPr>
        <w:rFonts w:ascii="Symbol" w:hAnsi="Symbol" w:cs="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cs="Wingdings" w:hint="default"/>
      </w:rPr>
    </w:lvl>
    <w:lvl w:ilvl="6">
      <w:start w:val="1"/>
      <w:numFmt w:val="bullet"/>
      <w:lvlText w:val=""/>
      <w:lvlJc w:val="left"/>
      <w:pPr>
        <w:ind w:left="5389" w:hanging="360"/>
      </w:pPr>
      <w:rPr>
        <w:rFonts w:ascii="Symbol" w:hAnsi="Symbol" w:cs="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cs="Wingdings" w:hint="default"/>
      </w:rPr>
    </w:lvl>
  </w:abstractNum>
  <w:abstractNum w:abstractNumId="8" w15:restartNumberingAfterBreak="0">
    <w:nsid w:val="19FA4502"/>
    <w:multiLevelType w:val="multilevel"/>
    <w:tmpl w:val="F062902C"/>
    <w:lvl w:ilvl="0">
      <w:start w:val="1"/>
      <w:numFmt w:val="lowerLetter"/>
      <w:lvlText w:val="%1)"/>
      <w:lvlJc w:val="left"/>
      <w:pPr>
        <w:ind w:left="644" w:hanging="360"/>
      </w:pPr>
      <w:rPr>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B832F5F"/>
    <w:multiLevelType w:val="hybridMultilevel"/>
    <w:tmpl w:val="C7525166"/>
    <w:lvl w:ilvl="0" w:tplc="9264891E">
      <w:start w:val="1"/>
      <w:numFmt w:val="lowerLetter"/>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10" w15:restartNumberingAfterBreak="0">
    <w:nsid w:val="1DCD7FAC"/>
    <w:multiLevelType w:val="multilevel"/>
    <w:tmpl w:val="768EBD0A"/>
    <w:lvl w:ilvl="0">
      <w:start w:val="15"/>
      <w:numFmt w:val="decimal"/>
      <w:lvlText w:val="%1"/>
      <w:lvlJc w:val="left"/>
      <w:pPr>
        <w:ind w:left="375" w:hanging="375"/>
      </w:pPr>
      <w:rPr>
        <w:rFonts w:hint="default"/>
      </w:rPr>
    </w:lvl>
    <w:lvl w:ilvl="1">
      <w:start w:val="6"/>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1" w15:restartNumberingAfterBreak="0">
    <w:nsid w:val="1FBB6F6B"/>
    <w:multiLevelType w:val="hybridMultilevel"/>
    <w:tmpl w:val="68A05250"/>
    <w:lvl w:ilvl="0" w:tplc="0C0A0017">
      <w:start w:val="1"/>
      <w:numFmt w:val="lowerLetter"/>
      <w:lvlText w:val="%1)"/>
      <w:lvlJc w:val="left"/>
      <w:pPr>
        <w:ind w:left="3337"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3F2211B"/>
    <w:multiLevelType w:val="multilevel"/>
    <w:tmpl w:val="614C401A"/>
    <w:styleLink w:val="WWNum3"/>
    <w:lvl w:ilvl="0">
      <w:start w:val="1"/>
      <w:numFmt w:val="decimal"/>
      <w:lvlText w:val="%1."/>
      <w:lvlJc w:val="left"/>
      <w:pPr>
        <w:ind w:left="360" w:hanging="360"/>
      </w:pPr>
    </w:lvl>
    <w:lvl w:ilvl="1">
      <w:start w:val="1"/>
      <w:numFmt w:val="none"/>
      <w:suff w:val="nothing"/>
      <w:lvlText w:val="%2"/>
      <w:lvlJc w:val="left"/>
      <w:pPr>
        <w:ind w:left="1080" w:hanging="360"/>
      </w:pPr>
    </w:lvl>
    <w:lvl w:ilvl="2">
      <w:start w:val="1"/>
      <w:numFmt w:val="none"/>
      <w:suff w:val="nothing"/>
      <w:lvlText w:val="%3"/>
      <w:lvlJc w:val="left"/>
      <w:pPr>
        <w:ind w:left="1440" w:hanging="360"/>
      </w:pPr>
    </w:lvl>
    <w:lvl w:ilvl="3">
      <w:start w:val="1"/>
      <w:numFmt w:val="none"/>
      <w:suff w:val="nothing"/>
      <w:lvlText w:val="%4"/>
      <w:lvlJc w:val="left"/>
      <w:pPr>
        <w:ind w:left="1800" w:hanging="360"/>
      </w:pPr>
    </w:lvl>
    <w:lvl w:ilvl="4">
      <w:start w:val="1"/>
      <w:numFmt w:val="none"/>
      <w:suff w:val="nothing"/>
      <w:lvlText w:val="%5"/>
      <w:lvlJc w:val="left"/>
      <w:pPr>
        <w:ind w:left="2160" w:hanging="360"/>
      </w:pPr>
    </w:lvl>
    <w:lvl w:ilvl="5">
      <w:start w:val="1"/>
      <w:numFmt w:val="none"/>
      <w:suff w:val="nothing"/>
      <w:lvlText w:val="%6"/>
      <w:lvlJc w:val="left"/>
      <w:pPr>
        <w:ind w:left="2520" w:hanging="360"/>
      </w:pPr>
    </w:lvl>
    <w:lvl w:ilvl="6">
      <w:start w:val="1"/>
      <w:numFmt w:val="none"/>
      <w:suff w:val="nothing"/>
      <w:lvlText w:val="%7"/>
      <w:lvlJc w:val="left"/>
      <w:pPr>
        <w:ind w:left="2880" w:hanging="360"/>
      </w:pPr>
    </w:lvl>
    <w:lvl w:ilvl="7">
      <w:start w:val="1"/>
      <w:numFmt w:val="none"/>
      <w:suff w:val="nothing"/>
      <w:lvlText w:val="%8"/>
      <w:lvlJc w:val="left"/>
      <w:pPr>
        <w:ind w:left="3240" w:hanging="360"/>
      </w:pPr>
    </w:lvl>
    <w:lvl w:ilvl="8">
      <w:start w:val="1"/>
      <w:numFmt w:val="none"/>
      <w:suff w:val="nothing"/>
      <w:lvlText w:val="%9"/>
      <w:lvlJc w:val="left"/>
      <w:pPr>
        <w:ind w:left="3600" w:hanging="360"/>
      </w:pPr>
    </w:lvl>
  </w:abstractNum>
  <w:abstractNum w:abstractNumId="13" w15:restartNumberingAfterBreak="0">
    <w:nsid w:val="26D74DAF"/>
    <w:multiLevelType w:val="hybridMultilevel"/>
    <w:tmpl w:val="CBD8B54E"/>
    <w:lvl w:ilvl="0" w:tplc="0C0A0017">
      <w:start w:val="1"/>
      <w:numFmt w:val="lowerLetter"/>
      <w:lvlText w:val="%1)"/>
      <w:lvlJc w:val="left"/>
      <w:pPr>
        <w:ind w:left="1287" w:hanging="360"/>
      </w:p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14" w15:restartNumberingAfterBreak="0">
    <w:nsid w:val="2D7A4F97"/>
    <w:multiLevelType w:val="hybridMultilevel"/>
    <w:tmpl w:val="CCE87788"/>
    <w:lvl w:ilvl="0" w:tplc="3C366EA8">
      <w:start w:val="1"/>
      <w:numFmt w:val="lowerLetter"/>
      <w:lvlText w:val="%1)"/>
      <w:lvlJc w:val="left"/>
      <w:pPr>
        <w:ind w:left="373" w:hanging="360"/>
      </w:pPr>
      <w:rPr>
        <w:rFonts w:hint="default"/>
      </w:rPr>
    </w:lvl>
    <w:lvl w:ilvl="1" w:tplc="0C0A0019" w:tentative="1">
      <w:start w:val="1"/>
      <w:numFmt w:val="lowerLetter"/>
      <w:lvlText w:val="%2."/>
      <w:lvlJc w:val="left"/>
      <w:pPr>
        <w:ind w:left="1093" w:hanging="360"/>
      </w:pPr>
    </w:lvl>
    <w:lvl w:ilvl="2" w:tplc="0C0A001B" w:tentative="1">
      <w:start w:val="1"/>
      <w:numFmt w:val="lowerRoman"/>
      <w:lvlText w:val="%3."/>
      <w:lvlJc w:val="right"/>
      <w:pPr>
        <w:ind w:left="1813" w:hanging="180"/>
      </w:pPr>
    </w:lvl>
    <w:lvl w:ilvl="3" w:tplc="0C0A000F" w:tentative="1">
      <w:start w:val="1"/>
      <w:numFmt w:val="decimal"/>
      <w:lvlText w:val="%4."/>
      <w:lvlJc w:val="left"/>
      <w:pPr>
        <w:ind w:left="2533" w:hanging="360"/>
      </w:pPr>
    </w:lvl>
    <w:lvl w:ilvl="4" w:tplc="0C0A0019" w:tentative="1">
      <w:start w:val="1"/>
      <w:numFmt w:val="lowerLetter"/>
      <w:lvlText w:val="%5."/>
      <w:lvlJc w:val="left"/>
      <w:pPr>
        <w:ind w:left="3253" w:hanging="360"/>
      </w:pPr>
    </w:lvl>
    <w:lvl w:ilvl="5" w:tplc="0C0A001B" w:tentative="1">
      <w:start w:val="1"/>
      <w:numFmt w:val="lowerRoman"/>
      <w:lvlText w:val="%6."/>
      <w:lvlJc w:val="right"/>
      <w:pPr>
        <w:ind w:left="3973" w:hanging="180"/>
      </w:pPr>
    </w:lvl>
    <w:lvl w:ilvl="6" w:tplc="0C0A000F" w:tentative="1">
      <w:start w:val="1"/>
      <w:numFmt w:val="decimal"/>
      <w:lvlText w:val="%7."/>
      <w:lvlJc w:val="left"/>
      <w:pPr>
        <w:ind w:left="4693" w:hanging="360"/>
      </w:pPr>
    </w:lvl>
    <w:lvl w:ilvl="7" w:tplc="0C0A0019" w:tentative="1">
      <w:start w:val="1"/>
      <w:numFmt w:val="lowerLetter"/>
      <w:lvlText w:val="%8."/>
      <w:lvlJc w:val="left"/>
      <w:pPr>
        <w:ind w:left="5413" w:hanging="360"/>
      </w:pPr>
    </w:lvl>
    <w:lvl w:ilvl="8" w:tplc="0C0A001B" w:tentative="1">
      <w:start w:val="1"/>
      <w:numFmt w:val="lowerRoman"/>
      <w:lvlText w:val="%9."/>
      <w:lvlJc w:val="right"/>
      <w:pPr>
        <w:ind w:left="6133" w:hanging="180"/>
      </w:pPr>
    </w:lvl>
  </w:abstractNum>
  <w:abstractNum w:abstractNumId="15" w15:restartNumberingAfterBreak="0">
    <w:nsid w:val="33EA6229"/>
    <w:multiLevelType w:val="hybridMultilevel"/>
    <w:tmpl w:val="14BCE4D6"/>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6" w15:restartNumberingAfterBreak="0">
    <w:nsid w:val="38E60D7E"/>
    <w:multiLevelType w:val="hybridMultilevel"/>
    <w:tmpl w:val="7400A82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3DD4218E"/>
    <w:multiLevelType w:val="hybridMultilevel"/>
    <w:tmpl w:val="B40A7106"/>
    <w:lvl w:ilvl="0" w:tplc="1EEEEE46">
      <w:start w:val="4"/>
      <w:numFmt w:val="bullet"/>
      <w:lvlText w:val="-"/>
      <w:lvlJc w:val="left"/>
      <w:pPr>
        <w:ind w:left="720" w:hanging="360"/>
      </w:pPr>
      <w:rPr>
        <w:rFonts w:ascii="Calibri" w:eastAsia="Calibr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8" w15:restartNumberingAfterBreak="0">
    <w:nsid w:val="3F1E1148"/>
    <w:multiLevelType w:val="hybridMultilevel"/>
    <w:tmpl w:val="5922E64A"/>
    <w:lvl w:ilvl="0" w:tplc="0C0A0017">
      <w:start w:val="1"/>
      <w:numFmt w:val="lowerLetter"/>
      <w:lvlText w:val="%1)"/>
      <w:lvlJc w:val="left"/>
      <w:pPr>
        <w:ind w:left="1287" w:hanging="360"/>
      </w:p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19" w15:restartNumberingAfterBreak="0">
    <w:nsid w:val="44DF5CF3"/>
    <w:multiLevelType w:val="hybridMultilevel"/>
    <w:tmpl w:val="836675F0"/>
    <w:lvl w:ilvl="0" w:tplc="74E61344">
      <w:start w:val="2"/>
      <w:numFmt w:val="bullet"/>
      <w:lvlText w:val="-"/>
      <w:lvlJc w:val="left"/>
      <w:pPr>
        <w:ind w:left="6456" w:hanging="360"/>
      </w:pPr>
      <w:rPr>
        <w:rFonts w:ascii="Calibri" w:eastAsiaTheme="minorHAns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5324F99"/>
    <w:multiLevelType w:val="hybridMultilevel"/>
    <w:tmpl w:val="0EB6E110"/>
    <w:lvl w:ilvl="0" w:tplc="10388CB2">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1" w15:restartNumberingAfterBreak="0">
    <w:nsid w:val="46AF73D0"/>
    <w:multiLevelType w:val="hybridMultilevel"/>
    <w:tmpl w:val="4B264938"/>
    <w:lvl w:ilvl="0" w:tplc="0C0A0017">
      <w:start w:val="1"/>
      <w:numFmt w:val="lowerLetter"/>
      <w:lvlText w:val="%1)"/>
      <w:lvlJc w:val="left"/>
      <w:pPr>
        <w:ind w:left="704" w:hanging="42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2" w15:restartNumberingAfterBreak="0">
    <w:nsid w:val="48BD3646"/>
    <w:multiLevelType w:val="hybridMultilevel"/>
    <w:tmpl w:val="EB6644F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4AB7108E"/>
    <w:multiLevelType w:val="hybridMultilevel"/>
    <w:tmpl w:val="B512019C"/>
    <w:lvl w:ilvl="0" w:tplc="9F2A7DC0">
      <w:start w:val="2"/>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4B276012"/>
    <w:multiLevelType w:val="hybridMultilevel"/>
    <w:tmpl w:val="264A6ABA"/>
    <w:lvl w:ilvl="0" w:tplc="99B8C12C">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25" w15:restartNumberingAfterBreak="0">
    <w:nsid w:val="54742056"/>
    <w:multiLevelType w:val="hybridMultilevel"/>
    <w:tmpl w:val="E222D0B2"/>
    <w:lvl w:ilvl="0" w:tplc="6FDEFA32">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6" w15:restartNumberingAfterBreak="0">
    <w:nsid w:val="65F81EE4"/>
    <w:multiLevelType w:val="hybridMultilevel"/>
    <w:tmpl w:val="C4CAF34C"/>
    <w:lvl w:ilvl="0" w:tplc="0C0A0017">
      <w:start w:val="1"/>
      <w:numFmt w:val="lowerLetter"/>
      <w:lvlText w:val="%1)"/>
      <w:lvlJc w:val="left"/>
      <w:pPr>
        <w:ind w:left="64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68A1395B"/>
    <w:multiLevelType w:val="hybridMultilevel"/>
    <w:tmpl w:val="670A681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6975788C"/>
    <w:multiLevelType w:val="hybridMultilevel"/>
    <w:tmpl w:val="CAACE7F4"/>
    <w:lvl w:ilvl="0" w:tplc="4CEAFD42">
      <w:start w:val="1"/>
      <w:numFmt w:val="bullet"/>
      <w:lvlText w:val=""/>
      <w:lvlJc w:val="left"/>
      <w:pPr>
        <w:ind w:left="1004" w:hanging="360"/>
      </w:pPr>
      <w:rPr>
        <w:rFonts w:ascii="Symbol" w:hAnsi="Symbol" w:hint="default"/>
      </w:rPr>
    </w:lvl>
    <w:lvl w:ilvl="1" w:tplc="040A0003" w:tentative="1">
      <w:start w:val="1"/>
      <w:numFmt w:val="bullet"/>
      <w:lvlText w:val="o"/>
      <w:lvlJc w:val="left"/>
      <w:pPr>
        <w:ind w:left="1724" w:hanging="360"/>
      </w:pPr>
      <w:rPr>
        <w:rFonts w:ascii="Courier New" w:hAnsi="Courier New" w:cs="Courier New" w:hint="default"/>
      </w:rPr>
    </w:lvl>
    <w:lvl w:ilvl="2" w:tplc="040A0005" w:tentative="1">
      <w:start w:val="1"/>
      <w:numFmt w:val="bullet"/>
      <w:lvlText w:val=""/>
      <w:lvlJc w:val="left"/>
      <w:pPr>
        <w:ind w:left="2444" w:hanging="360"/>
      </w:pPr>
      <w:rPr>
        <w:rFonts w:ascii="Wingdings" w:hAnsi="Wingdings" w:hint="default"/>
      </w:rPr>
    </w:lvl>
    <w:lvl w:ilvl="3" w:tplc="040A0001" w:tentative="1">
      <w:start w:val="1"/>
      <w:numFmt w:val="bullet"/>
      <w:lvlText w:val=""/>
      <w:lvlJc w:val="left"/>
      <w:pPr>
        <w:ind w:left="3164" w:hanging="360"/>
      </w:pPr>
      <w:rPr>
        <w:rFonts w:ascii="Symbol" w:hAnsi="Symbol" w:hint="default"/>
      </w:rPr>
    </w:lvl>
    <w:lvl w:ilvl="4" w:tplc="040A0003" w:tentative="1">
      <w:start w:val="1"/>
      <w:numFmt w:val="bullet"/>
      <w:lvlText w:val="o"/>
      <w:lvlJc w:val="left"/>
      <w:pPr>
        <w:ind w:left="3884" w:hanging="360"/>
      </w:pPr>
      <w:rPr>
        <w:rFonts w:ascii="Courier New" w:hAnsi="Courier New" w:cs="Courier New" w:hint="default"/>
      </w:rPr>
    </w:lvl>
    <w:lvl w:ilvl="5" w:tplc="040A0005" w:tentative="1">
      <w:start w:val="1"/>
      <w:numFmt w:val="bullet"/>
      <w:lvlText w:val=""/>
      <w:lvlJc w:val="left"/>
      <w:pPr>
        <w:ind w:left="4604" w:hanging="360"/>
      </w:pPr>
      <w:rPr>
        <w:rFonts w:ascii="Wingdings" w:hAnsi="Wingdings" w:hint="default"/>
      </w:rPr>
    </w:lvl>
    <w:lvl w:ilvl="6" w:tplc="040A0001" w:tentative="1">
      <w:start w:val="1"/>
      <w:numFmt w:val="bullet"/>
      <w:lvlText w:val=""/>
      <w:lvlJc w:val="left"/>
      <w:pPr>
        <w:ind w:left="5324" w:hanging="360"/>
      </w:pPr>
      <w:rPr>
        <w:rFonts w:ascii="Symbol" w:hAnsi="Symbol" w:hint="default"/>
      </w:rPr>
    </w:lvl>
    <w:lvl w:ilvl="7" w:tplc="040A0003" w:tentative="1">
      <w:start w:val="1"/>
      <w:numFmt w:val="bullet"/>
      <w:lvlText w:val="o"/>
      <w:lvlJc w:val="left"/>
      <w:pPr>
        <w:ind w:left="6044" w:hanging="360"/>
      </w:pPr>
      <w:rPr>
        <w:rFonts w:ascii="Courier New" w:hAnsi="Courier New" w:cs="Courier New" w:hint="default"/>
      </w:rPr>
    </w:lvl>
    <w:lvl w:ilvl="8" w:tplc="040A0005" w:tentative="1">
      <w:start w:val="1"/>
      <w:numFmt w:val="bullet"/>
      <w:lvlText w:val=""/>
      <w:lvlJc w:val="left"/>
      <w:pPr>
        <w:ind w:left="6764" w:hanging="360"/>
      </w:pPr>
      <w:rPr>
        <w:rFonts w:ascii="Wingdings" w:hAnsi="Wingdings" w:hint="default"/>
      </w:rPr>
    </w:lvl>
  </w:abstractNum>
  <w:abstractNum w:abstractNumId="29" w15:restartNumberingAfterBreak="0">
    <w:nsid w:val="69C14C67"/>
    <w:multiLevelType w:val="hybridMultilevel"/>
    <w:tmpl w:val="3EA0DAC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6E93567D"/>
    <w:multiLevelType w:val="hybridMultilevel"/>
    <w:tmpl w:val="76C60BD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732804DE"/>
    <w:multiLevelType w:val="hybridMultilevel"/>
    <w:tmpl w:val="043CBBB6"/>
    <w:lvl w:ilvl="0" w:tplc="DD4072F8">
      <w:start w:val="7"/>
      <w:numFmt w:val="bullet"/>
      <w:lvlText w:val="-"/>
      <w:lvlJc w:val="left"/>
      <w:pPr>
        <w:ind w:left="927" w:hanging="360"/>
      </w:pPr>
      <w:rPr>
        <w:rFonts w:ascii="Arial" w:eastAsiaTheme="minorHAnsi" w:hAnsi="Arial" w:cs="Arial"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32" w15:restartNumberingAfterBreak="0">
    <w:nsid w:val="74CD22FD"/>
    <w:multiLevelType w:val="multilevel"/>
    <w:tmpl w:val="DFA8C284"/>
    <w:lvl w:ilvl="0">
      <w:start w:val="15"/>
      <w:numFmt w:val="decimal"/>
      <w:lvlText w:val="%1"/>
      <w:lvlJc w:val="left"/>
      <w:pPr>
        <w:ind w:left="375" w:hanging="375"/>
      </w:pPr>
      <w:rPr>
        <w:rFonts w:hint="default"/>
      </w:rPr>
    </w:lvl>
    <w:lvl w:ilvl="1">
      <w:start w:val="6"/>
      <w:numFmt w:val="decimal"/>
      <w:lvlText w:val="%1.%2"/>
      <w:lvlJc w:val="left"/>
      <w:pPr>
        <w:ind w:left="1317" w:hanging="375"/>
      </w:pPr>
      <w:rPr>
        <w:rFonts w:hint="default"/>
      </w:rPr>
    </w:lvl>
    <w:lvl w:ilvl="2">
      <w:start w:val="1"/>
      <w:numFmt w:val="decimal"/>
      <w:lvlText w:val="%1.%2.%3"/>
      <w:lvlJc w:val="left"/>
      <w:pPr>
        <w:ind w:left="2604" w:hanging="720"/>
      </w:pPr>
      <w:rPr>
        <w:rFonts w:hint="default"/>
      </w:rPr>
    </w:lvl>
    <w:lvl w:ilvl="3">
      <w:start w:val="1"/>
      <w:numFmt w:val="decimal"/>
      <w:lvlText w:val="%1.%2.%3.%4"/>
      <w:lvlJc w:val="left"/>
      <w:pPr>
        <w:ind w:left="3546" w:hanging="720"/>
      </w:pPr>
      <w:rPr>
        <w:rFonts w:hint="default"/>
      </w:rPr>
    </w:lvl>
    <w:lvl w:ilvl="4">
      <w:start w:val="1"/>
      <w:numFmt w:val="decimal"/>
      <w:lvlText w:val="%1.%2.%3.%4.%5"/>
      <w:lvlJc w:val="left"/>
      <w:pPr>
        <w:ind w:left="4848" w:hanging="1080"/>
      </w:pPr>
      <w:rPr>
        <w:rFonts w:hint="default"/>
      </w:rPr>
    </w:lvl>
    <w:lvl w:ilvl="5">
      <w:start w:val="1"/>
      <w:numFmt w:val="decimal"/>
      <w:lvlText w:val="%1.%2.%3.%4.%5.%6"/>
      <w:lvlJc w:val="left"/>
      <w:pPr>
        <w:ind w:left="5790" w:hanging="1080"/>
      </w:pPr>
      <w:rPr>
        <w:rFonts w:hint="default"/>
      </w:rPr>
    </w:lvl>
    <w:lvl w:ilvl="6">
      <w:start w:val="1"/>
      <w:numFmt w:val="decimal"/>
      <w:lvlText w:val="%1.%2.%3.%4.%5.%6.%7"/>
      <w:lvlJc w:val="left"/>
      <w:pPr>
        <w:ind w:left="7092" w:hanging="1440"/>
      </w:pPr>
      <w:rPr>
        <w:rFonts w:hint="default"/>
      </w:rPr>
    </w:lvl>
    <w:lvl w:ilvl="7">
      <w:start w:val="1"/>
      <w:numFmt w:val="decimal"/>
      <w:lvlText w:val="%1.%2.%3.%4.%5.%6.%7.%8"/>
      <w:lvlJc w:val="left"/>
      <w:pPr>
        <w:ind w:left="8034" w:hanging="1440"/>
      </w:pPr>
      <w:rPr>
        <w:rFonts w:hint="default"/>
      </w:rPr>
    </w:lvl>
    <w:lvl w:ilvl="8">
      <w:start w:val="1"/>
      <w:numFmt w:val="decimal"/>
      <w:lvlText w:val="%1.%2.%3.%4.%5.%6.%7.%8.%9"/>
      <w:lvlJc w:val="left"/>
      <w:pPr>
        <w:ind w:left="8976" w:hanging="1440"/>
      </w:pPr>
      <w:rPr>
        <w:rFonts w:hint="default"/>
      </w:rPr>
    </w:lvl>
  </w:abstractNum>
  <w:abstractNum w:abstractNumId="33" w15:restartNumberingAfterBreak="0">
    <w:nsid w:val="7BBB7816"/>
    <w:multiLevelType w:val="hybridMultilevel"/>
    <w:tmpl w:val="4EE4F858"/>
    <w:lvl w:ilvl="0" w:tplc="0C0A000F">
      <w:start w:val="1"/>
      <w:numFmt w:val="decimal"/>
      <w:lvlText w:val="%1."/>
      <w:lvlJc w:val="left"/>
      <w:pPr>
        <w:ind w:left="1287" w:hanging="360"/>
      </w:p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num w:numId="1" w16cid:durableId="806165444">
    <w:abstractNumId w:val="13"/>
  </w:num>
  <w:num w:numId="2" w16cid:durableId="640647079">
    <w:abstractNumId w:val="3"/>
  </w:num>
  <w:num w:numId="3" w16cid:durableId="776681883">
    <w:abstractNumId w:val="2"/>
  </w:num>
  <w:num w:numId="4" w16cid:durableId="295841785">
    <w:abstractNumId w:val="18"/>
  </w:num>
  <w:num w:numId="5" w16cid:durableId="838276280">
    <w:abstractNumId w:val="28"/>
  </w:num>
  <w:num w:numId="6" w16cid:durableId="571279413">
    <w:abstractNumId w:val="31"/>
  </w:num>
  <w:num w:numId="7" w16cid:durableId="782578975">
    <w:abstractNumId w:val="12"/>
  </w:num>
  <w:num w:numId="8" w16cid:durableId="1270163073">
    <w:abstractNumId w:val="12"/>
    <w:lvlOverride w:ilvl="0">
      <w:startOverride w:val="1"/>
    </w:lvlOverride>
  </w:num>
  <w:num w:numId="9" w16cid:durableId="158887420">
    <w:abstractNumId w:val="1"/>
  </w:num>
  <w:num w:numId="10" w16cid:durableId="1676878742">
    <w:abstractNumId w:val="29"/>
  </w:num>
  <w:num w:numId="11" w16cid:durableId="2055226268">
    <w:abstractNumId w:val="5"/>
  </w:num>
  <w:num w:numId="12" w16cid:durableId="1522432203">
    <w:abstractNumId w:val="20"/>
  </w:num>
  <w:num w:numId="13" w16cid:durableId="291982446">
    <w:abstractNumId w:val="19"/>
  </w:num>
  <w:num w:numId="14" w16cid:durableId="2104302648">
    <w:abstractNumId w:val="0"/>
  </w:num>
  <w:num w:numId="15" w16cid:durableId="594635587">
    <w:abstractNumId w:val="24"/>
  </w:num>
  <w:num w:numId="16" w16cid:durableId="649208695">
    <w:abstractNumId w:val="9"/>
  </w:num>
  <w:num w:numId="17" w16cid:durableId="1010789022">
    <w:abstractNumId w:val="11"/>
  </w:num>
  <w:num w:numId="18" w16cid:durableId="772552138">
    <w:abstractNumId w:val="14"/>
  </w:num>
  <w:num w:numId="19" w16cid:durableId="338392972">
    <w:abstractNumId w:val="16"/>
  </w:num>
  <w:num w:numId="20" w16cid:durableId="677078459">
    <w:abstractNumId w:val="22"/>
  </w:num>
  <w:num w:numId="21" w16cid:durableId="888809413">
    <w:abstractNumId w:val="15"/>
  </w:num>
  <w:num w:numId="22" w16cid:durableId="487944804">
    <w:abstractNumId w:val="10"/>
  </w:num>
  <w:num w:numId="23" w16cid:durableId="1331299523">
    <w:abstractNumId w:val="32"/>
  </w:num>
  <w:num w:numId="24" w16cid:durableId="262542336">
    <w:abstractNumId w:val="6"/>
  </w:num>
  <w:num w:numId="25" w16cid:durableId="669719516">
    <w:abstractNumId w:val="4"/>
  </w:num>
  <w:num w:numId="26" w16cid:durableId="809595804">
    <w:abstractNumId w:val="17"/>
  </w:num>
  <w:num w:numId="27" w16cid:durableId="940382160">
    <w:abstractNumId w:val="30"/>
  </w:num>
  <w:num w:numId="28" w16cid:durableId="644630731">
    <w:abstractNumId w:val="27"/>
  </w:num>
  <w:num w:numId="29" w16cid:durableId="4384505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65157183">
    <w:abstractNumId w:val="26"/>
  </w:num>
  <w:num w:numId="31" w16cid:durableId="681014506">
    <w:abstractNumId w:val="33"/>
  </w:num>
  <w:num w:numId="32" w16cid:durableId="82923998">
    <w:abstractNumId w:val="8"/>
  </w:num>
  <w:num w:numId="33" w16cid:durableId="609434477">
    <w:abstractNumId w:val="7"/>
  </w:num>
  <w:num w:numId="34" w16cid:durableId="1394111462">
    <w:abstractNumId w:val="23"/>
  </w:num>
  <w:num w:numId="35" w16cid:durableId="581530033">
    <w:abstractNumId w:val="25"/>
  </w:num>
  <w:num w:numId="36" w16cid:durableId="98462943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CCC"/>
    <w:rsid w:val="000370F1"/>
    <w:rsid w:val="000760AB"/>
    <w:rsid w:val="000C089F"/>
    <w:rsid w:val="00143A4C"/>
    <w:rsid w:val="001F7365"/>
    <w:rsid w:val="002B64A6"/>
    <w:rsid w:val="004D344F"/>
    <w:rsid w:val="00513973"/>
    <w:rsid w:val="00546D77"/>
    <w:rsid w:val="00717198"/>
    <w:rsid w:val="007C6042"/>
    <w:rsid w:val="008577E8"/>
    <w:rsid w:val="008D3E08"/>
    <w:rsid w:val="00991C0F"/>
    <w:rsid w:val="009B305A"/>
    <w:rsid w:val="00B00277"/>
    <w:rsid w:val="00B369EC"/>
    <w:rsid w:val="00BC3417"/>
    <w:rsid w:val="00C93CCC"/>
    <w:rsid w:val="00CE0018"/>
    <w:rsid w:val="00D60A1D"/>
    <w:rsid w:val="00E379B2"/>
    <w:rsid w:val="00E605F9"/>
    <w:rsid w:val="00EA33B6"/>
    <w:rsid w:val="00EB4797"/>
    <w:rsid w:val="00EC29DF"/>
    <w:rsid w:val="00F00583"/>
    <w:rsid w:val="00F34379"/>
    <w:rsid w:val="00F43C1F"/>
    <w:rsid w:val="00F96586"/>
    <w:rsid w:val="00FD453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DB9D97"/>
  <w15:chartTrackingRefBased/>
  <w15:docId w15:val="{D5C0325E-C9FD-4E76-A1D4-6A1D1B83B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Body Text Indent 2"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rsid w:val="000760AB"/>
    <w:pPr>
      <w:keepNext/>
      <w:spacing w:before="240" w:after="60"/>
      <w:outlineLvl w:val="0"/>
    </w:pPr>
    <w:rPr>
      <w:rFonts w:ascii="Calibri Light" w:hAnsi="Calibri Light"/>
      <w:color w:val="2E74B5"/>
      <w:sz w:val="32"/>
      <w:szCs w:val="32"/>
    </w:rPr>
  </w:style>
  <w:style w:type="paragraph" w:styleId="Heading2">
    <w:name w:val="heading 2"/>
    <w:basedOn w:val="Normal"/>
    <w:next w:val="Normal"/>
    <w:link w:val="Heading2Char"/>
    <w:uiPriority w:val="9"/>
    <w:semiHidden/>
    <w:unhideWhenUsed/>
    <w:qFormat/>
    <w:rsid w:val="000760AB"/>
    <w:pPr>
      <w:keepNext/>
      <w:spacing w:before="240" w:after="60"/>
      <w:outlineLvl w:val="1"/>
    </w:pPr>
    <w:rPr>
      <w:rFonts w:ascii="Calibri Light" w:hAnsi="Calibri Light"/>
      <w:color w:val="2E74B5"/>
      <w:sz w:val="26"/>
      <w:szCs w:val="26"/>
    </w:rPr>
  </w:style>
  <w:style w:type="paragraph" w:styleId="Heading4">
    <w:name w:val="heading 4"/>
    <w:basedOn w:val="Normal"/>
    <w:next w:val="Normal"/>
    <w:link w:val="Heading4Char"/>
    <w:uiPriority w:val="9"/>
    <w:unhideWhenUsed/>
    <w:qFormat/>
    <w:rsid w:val="000760AB"/>
    <w:pPr>
      <w:keepNext/>
      <w:suppressAutoHyphens/>
      <w:spacing w:before="240" w:after="60"/>
      <w:outlineLvl w:val="3"/>
    </w:pPr>
    <w:rPr>
      <w:rFonts w:ascii="Calibri" w:hAnsi="Calibri"/>
      <w:b/>
      <w:bCs/>
      <w:sz w:val="28"/>
      <w:szCs w:val="2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252"/>
        <w:tab w:val="right" w:pos="8504"/>
      </w:tabs>
    </w:pPr>
  </w:style>
  <w:style w:type="paragraph" w:styleId="Footer">
    <w:name w:val="footer"/>
    <w:basedOn w:val="Normal"/>
    <w:link w:val="FooterChar"/>
    <w:uiPriority w:val="99"/>
    <w:pPr>
      <w:tabs>
        <w:tab w:val="center" w:pos="4252"/>
        <w:tab w:val="right" w:pos="8504"/>
      </w:tabs>
    </w:pPr>
  </w:style>
  <w:style w:type="character" w:styleId="PageNumber">
    <w:name w:val="page number"/>
    <w:basedOn w:val="DefaultParagraphFont"/>
  </w:style>
  <w:style w:type="paragraph" w:styleId="BlockText">
    <w:name w:val="Block Text"/>
    <w:basedOn w:val="Normal"/>
    <w:pPr>
      <w:ind w:left="540" w:right="892"/>
      <w:jc w:val="both"/>
    </w:pPr>
    <w:rPr>
      <w:rFonts w:ascii="Arial" w:hAnsi="Arial"/>
      <w:sz w:val="28"/>
    </w:rPr>
  </w:style>
  <w:style w:type="paragraph" w:styleId="FootnoteText">
    <w:name w:val="footnote text"/>
    <w:basedOn w:val="Normal"/>
    <w:link w:val="FootnoteTextChar"/>
    <w:rsid w:val="008577E8"/>
    <w:rPr>
      <w:sz w:val="20"/>
      <w:szCs w:val="20"/>
    </w:rPr>
  </w:style>
  <w:style w:type="character" w:customStyle="1" w:styleId="FootnoteTextChar">
    <w:name w:val="Footnote Text Char"/>
    <w:link w:val="FootnoteText"/>
    <w:rsid w:val="008577E8"/>
    <w:rPr>
      <w:lang w:val="pl-PL" w:eastAsia="es-ES" w:bidi="ar-SA"/>
    </w:rPr>
  </w:style>
  <w:style w:type="paragraph" w:customStyle="1" w:styleId="Ttulo11">
    <w:name w:val="Título 11"/>
    <w:basedOn w:val="Normal"/>
    <w:next w:val="Normal"/>
    <w:uiPriority w:val="9"/>
    <w:qFormat/>
    <w:rsid w:val="000760AB"/>
    <w:pPr>
      <w:keepNext/>
      <w:keepLines/>
      <w:spacing w:before="240" w:line="259" w:lineRule="auto"/>
      <w:outlineLvl w:val="0"/>
    </w:pPr>
    <w:rPr>
      <w:rFonts w:ascii="Calibri Light" w:hAnsi="Calibri Light"/>
      <w:color w:val="2E74B5"/>
      <w:sz w:val="32"/>
      <w:szCs w:val="32"/>
      <w:lang w:eastAsia="en-US"/>
    </w:rPr>
  </w:style>
  <w:style w:type="paragraph" w:customStyle="1" w:styleId="Ttulo21">
    <w:name w:val="Título 21"/>
    <w:basedOn w:val="Normal"/>
    <w:next w:val="Normal"/>
    <w:uiPriority w:val="9"/>
    <w:semiHidden/>
    <w:unhideWhenUsed/>
    <w:qFormat/>
    <w:rsid w:val="000760AB"/>
    <w:pPr>
      <w:keepNext/>
      <w:keepLines/>
      <w:spacing w:before="40" w:line="259" w:lineRule="auto"/>
      <w:outlineLvl w:val="1"/>
    </w:pPr>
    <w:rPr>
      <w:rFonts w:ascii="Calibri Light" w:hAnsi="Calibri Light"/>
      <w:color w:val="2E74B5"/>
      <w:sz w:val="26"/>
      <w:szCs w:val="26"/>
      <w:lang w:eastAsia="en-US"/>
    </w:rPr>
  </w:style>
  <w:style w:type="character" w:customStyle="1" w:styleId="Heading4Char">
    <w:name w:val="Heading 4 Char"/>
    <w:basedOn w:val="DefaultParagraphFont"/>
    <w:link w:val="Heading4"/>
    <w:uiPriority w:val="9"/>
    <w:rsid w:val="000760AB"/>
    <w:rPr>
      <w:rFonts w:ascii="Calibri" w:hAnsi="Calibri"/>
      <w:b/>
      <w:bCs/>
      <w:sz w:val="28"/>
      <w:szCs w:val="28"/>
      <w:lang w:eastAsia="zh-CN"/>
    </w:rPr>
  </w:style>
  <w:style w:type="numbering" w:customStyle="1" w:styleId="Sinlista1">
    <w:name w:val="Sin lista1"/>
    <w:next w:val="NoList"/>
    <w:uiPriority w:val="99"/>
    <w:semiHidden/>
    <w:unhideWhenUsed/>
    <w:rsid w:val="000760AB"/>
  </w:style>
  <w:style w:type="character" w:customStyle="1" w:styleId="Heading1Char">
    <w:name w:val="Heading 1 Char"/>
    <w:link w:val="Heading1"/>
    <w:uiPriority w:val="9"/>
    <w:rsid w:val="000760AB"/>
    <w:rPr>
      <w:rFonts w:ascii="Calibri Light" w:eastAsia="Times New Roman" w:hAnsi="Calibri Light" w:cs="Times New Roman"/>
      <w:color w:val="2E74B5"/>
      <w:sz w:val="32"/>
      <w:szCs w:val="32"/>
    </w:rPr>
  </w:style>
  <w:style w:type="character" w:customStyle="1" w:styleId="Heading2Char">
    <w:name w:val="Heading 2 Char"/>
    <w:link w:val="Heading2"/>
    <w:uiPriority w:val="9"/>
    <w:semiHidden/>
    <w:rsid w:val="000760AB"/>
    <w:rPr>
      <w:rFonts w:ascii="Calibri Light" w:eastAsia="Times New Roman" w:hAnsi="Calibri Light" w:cs="Times New Roman"/>
      <w:color w:val="2E74B5"/>
      <w:sz w:val="26"/>
      <w:szCs w:val="26"/>
    </w:rPr>
  </w:style>
  <w:style w:type="paragraph" w:customStyle="1" w:styleId="Prrafodelista1">
    <w:name w:val="Párrafo de lista1"/>
    <w:basedOn w:val="Normal"/>
    <w:next w:val="ListParagraph"/>
    <w:uiPriority w:val="34"/>
    <w:qFormat/>
    <w:rsid w:val="000760AB"/>
    <w:pPr>
      <w:spacing w:after="160" w:line="259" w:lineRule="auto"/>
      <w:ind w:left="720"/>
      <w:contextualSpacing/>
    </w:pPr>
    <w:rPr>
      <w:rFonts w:ascii="Calibri" w:eastAsia="Calibri" w:hAnsi="Calibri"/>
      <w:sz w:val="22"/>
      <w:szCs w:val="22"/>
      <w:lang w:eastAsia="en-US"/>
    </w:rPr>
  </w:style>
  <w:style w:type="character" w:styleId="CommentReference">
    <w:name w:val="annotation reference"/>
    <w:unhideWhenUsed/>
    <w:rsid w:val="000760AB"/>
    <w:rPr>
      <w:sz w:val="16"/>
      <w:szCs w:val="16"/>
    </w:rPr>
  </w:style>
  <w:style w:type="paragraph" w:customStyle="1" w:styleId="Textocomentario1">
    <w:name w:val="Texto comentario1"/>
    <w:basedOn w:val="Normal"/>
    <w:next w:val="CommentText"/>
    <w:link w:val="TextocomentarioCar"/>
    <w:unhideWhenUsed/>
    <w:qFormat/>
    <w:rsid w:val="000760AB"/>
    <w:pPr>
      <w:spacing w:after="160"/>
    </w:pPr>
    <w:rPr>
      <w:sz w:val="20"/>
      <w:szCs w:val="20"/>
    </w:rPr>
  </w:style>
  <w:style w:type="character" w:customStyle="1" w:styleId="TextocomentarioCar">
    <w:name w:val="Texto comentario Car"/>
    <w:link w:val="Textocomentario1"/>
    <w:rsid w:val="000760AB"/>
    <w:rPr>
      <w:sz w:val="20"/>
      <w:szCs w:val="20"/>
    </w:rPr>
  </w:style>
  <w:style w:type="paragraph" w:customStyle="1" w:styleId="Textodeglobo1">
    <w:name w:val="Texto de globo1"/>
    <w:basedOn w:val="Normal"/>
    <w:next w:val="BalloonText"/>
    <w:link w:val="TextodegloboCar"/>
    <w:uiPriority w:val="99"/>
    <w:semiHidden/>
    <w:unhideWhenUsed/>
    <w:rsid w:val="000760AB"/>
    <w:rPr>
      <w:rFonts w:ascii="Segoe UI" w:hAnsi="Segoe UI" w:cs="Segoe UI"/>
      <w:sz w:val="18"/>
      <w:szCs w:val="18"/>
    </w:rPr>
  </w:style>
  <w:style w:type="character" w:customStyle="1" w:styleId="TextodegloboCar">
    <w:name w:val="Texto de globo Car"/>
    <w:link w:val="Textodeglobo1"/>
    <w:uiPriority w:val="99"/>
    <w:semiHidden/>
    <w:rsid w:val="000760AB"/>
    <w:rPr>
      <w:rFonts w:ascii="Segoe UI" w:hAnsi="Segoe UI" w:cs="Segoe UI"/>
      <w:sz w:val="18"/>
      <w:szCs w:val="18"/>
    </w:rPr>
  </w:style>
  <w:style w:type="paragraph" w:customStyle="1" w:styleId="Asuntodelcomentario1">
    <w:name w:val="Asunto del comentario1"/>
    <w:basedOn w:val="CommentText"/>
    <w:next w:val="CommentText"/>
    <w:uiPriority w:val="99"/>
    <w:semiHidden/>
    <w:unhideWhenUsed/>
    <w:rsid w:val="000760AB"/>
    <w:pPr>
      <w:spacing w:after="160"/>
    </w:pPr>
    <w:rPr>
      <w:rFonts w:ascii="Calibri" w:eastAsia="Calibri" w:hAnsi="Calibri"/>
      <w:b/>
      <w:bCs/>
      <w:lang w:eastAsia="en-US"/>
    </w:rPr>
  </w:style>
  <w:style w:type="character" w:customStyle="1" w:styleId="CommentSubjectChar">
    <w:name w:val="Comment Subject Char"/>
    <w:link w:val="CommentSubject"/>
    <w:uiPriority w:val="99"/>
    <w:semiHidden/>
    <w:rsid w:val="000760AB"/>
    <w:rPr>
      <w:b/>
      <w:bCs/>
      <w:sz w:val="20"/>
      <w:szCs w:val="20"/>
    </w:rPr>
  </w:style>
  <w:style w:type="character" w:customStyle="1" w:styleId="HeaderChar">
    <w:name w:val="Header Char"/>
    <w:basedOn w:val="DefaultParagraphFont"/>
    <w:link w:val="Header"/>
    <w:uiPriority w:val="99"/>
    <w:rsid w:val="000760AB"/>
    <w:rPr>
      <w:sz w:val="24"/>
      <w:szCs w:val="24"/>
    </w:rPr>
  </w:style>
  <w:style w:type="character" w:customStyle="1" w:styleId="FooterChar">
    <w:name w:val="Footer Char"/>
    <w:basedOn w:val="DefaultParagraphFont"/>
    <w:link w:val="Footer"/>
    <w:uiPriority w:val="99"/>
    <w:rsid w:val="000760AB"/>
    <w:rPr>
      <w:sz w:val="24"/>
      <w:szCs w:val="24"/>
    </w:rPr>
  </w:style>
  <w:style w:type="table" w:customStyle="1" w:styleId="Tablaconcuadrcula1">
    <w:name w:val="Tabla con cuadrícula1"/>
    <w:basedOn w:val="TableNormal"/>
    <w:next w:val="TableGrid"/>
    <w:uiPriority w:val="39"/>
    <w:rsid w:val="000760A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760AB"/>
    <w:pPr>
      <w:autoSpaceDE w:val="0"/>
      <w:autoSpaceDN w:val="0"/>
      <w:adjustRightInd w:val="0"/>
    </w:pPr>
    <w:rPr>
      <w:rFonts w:ascii="Arial" w:eastAsia="Calibri" w:hAnsi="Arial" w:cs="Arial"/>
      <w:color w:val="000000"/>
      <w:sz w:val="24"/>
      <w:szCs w:val="24"/>
      <w:lang w:eastAsia="en-US"/>
    </w:rPr>
  </w:style>
  <w:style w:type="character" w:customStyle="1" w:styleId="st1">
    <w:name w:val="st1"/>
    <w:basedOn w:val="DefaultParagraphFont"/>
    <w:rsid w:val="000760AB"/>
  </w:style>
  <w:style w:type="paragraph" w:customStyle="1" w:styleId="CTENumeracion">
    <w:name w:val="CTE_Numeracion"/>
    <w:basedOn w:val="Normal"/>
    <w:qFormat/>
    <w:rsid w:val="000760AB"/>
    <w:pPr>
      <w:spacing w:before="60" w:after="60"/>
      <w:ind w:left="357" w:hanging="357"/>
      <w:jc w:val="both"/>
    </w:pPr>
    <w:rPr>
      <w:rFonts w:ascii="Arial" w:hAnsi="Arial"/>
      <w:sz w:val="20"/>
    </w:rPr>
  </w:style>
  <w:style w:type="character" w:customStyle="1" w:styleId="CTEModTachaprob">
    <w:name w:val="CTE_Mod_Tach_aprob"/>
    <w:rsid w:val="000760AB"/>
    <w:rPr>
      <w:strike w:val="0"/>
      <w:dstrike w:val="0"/>
      <w:shd w:val="clear" w:color="auto" w:fill="FFFF00"/>
    </w:rPr>
  </w:style>
  <w:style w:type="paragraph" w:styleId="BodyTextIndent2">
    <w:name w:val="Body Text Indent 2"/>
    <w:basedOn w:val="Normal"/>
    <w:link w:val="BodyTextIndent2Char"/>
    <w:uiPriority w:val="99"/>
    <w:unhideWhenUsed/>
    <w:rsid w:val="000760AB"/>
    <w:pPr>
      <w:suppressAutoHyphens/>
      <w:spacing w:after="120" w:line="480" w:lineRule="auto"/>
      <w:ind w:left="283"/>
    </w:pPr>
    <w:rPr>
      <w:sz w:val="20"/>
      <w:szCs w:val="20"/>
      <w:lang w:eastAsia="zh-CN"/>
    </w:rPr>
  </w:style>
  <w:style w:type="character" w:customStyle="1" w:styleId="BodyTextIndent2Char">
    <w:name w:val="Body Text Indent 2 Char"/>
    <w:basedOn w:val="DefaultParagraphFont"/>
    <w:link w:val="BodyTextIndent2"/>
    <w:uiPriority w:val="99"/>
    <w:rsid w:val="000760AB"/>
    <w:rPr>
      <w:lang w:eastAsia="zh-CN"/>
    </w:rPr>
  </w:style>
  <w:style w:type="paragraph" w:customStyle="1" w:styleId="CteTtulo3">
    <w:name w:val="CteTítulo3"/>
    <w:basedOn w:val="Normal"/>
    <w:next w:val="Normal"/>
    <w:autoRedefine/>
    <w:rsid w:val="000760AB"/>
    <w:pPr>
      <w:keepNext/>
      <w:numPr>
        <w:ilvl w:val="2"/>
      </w:numPr>
      <w:spacing w:before="60" w:after="120"/>
      <w:ind w:left="851"/>
      <w:jc w:val="both"/>
      <w:outlineLvl w:val="3"/>
    </w:pPr>
    <w:rPr>
      <w:rFonts w:ascii="Arial" w:hAnsi="Arial"/>
      <w:b/>
      <w:bCs/>
      <w:sz w:val="22"/>
      <w:szCs w:val="22"/>
      <w:lang w:eastAsia="zh-CN"/>
    </w:rPr>
  </w:style>
  <w:style w:type="paragraph" w:customStyle="1" w:styleId="CteAnejo-TituloSeccion">
    <w:name w:val="CteAnejo-TituloSeccion"/>
    <w:basedOn w:val="Normal"/>
    <w:rsid w:val="000760AB"/>
    <w:pPr>
      <w:keepNext/>
      <w:spacing w:before="480" w:after="160"/>
      <w:outlineLvl w:val="0"/>
    </w:pPr>
    <w:rPr>
      <w:rFonts w:ascii="Arial" w:hAnsi="Arial"/>
      <w:b/>
      <w:bCs/>
      <w:sz w:val="32"/>
    </w:rPr>
  </w:style>
  <w:style w:type="character" w:customStyle="1" w:styleId="EstiloCTEModTachaprob16ptNegritaSinTachado">
    <w:name w:val="Estilo CTE_Mod_Tach_aprob + 16 pt Negrita Sin Tachado"/>
    <w:rsid w:val="000760AB"/>
    <w:rPr>
      <w:rFonts w:ascii="Arial" w:hAnsi="Arial"/>
      <w:b/>
      <w:bCs/>
      <w:strike/>
      <w:dstrike w:val="0"/>
      <w:sz w:val="32"/>
      <w:bdr w:val="none" w:sz="0" w:space="0" w:color="auto"/>
      <w:shd w:val="clear" w:color="auto" w:fill="auto"/>
    </w:rPr>
  </w:style>
  <w:style w:type="character" w:customStyle="1" w:styleId="EstiloCTEModTachaprobSinTachado">
    <w:name w:val="Estilo CTE_Mod_Tach_aprob + Sin Tachado"/>
    <w:rsid w:val="000760AB"/>
    <w:rPr>
      <w:strike/>
      <w:dstrike w:val="0"/>
      <w:bdr w:val="none" w:sz="0" w:space="0" w:color="auto"/>
      <w:shd w:val="clear" w:color="auto" w:fill="auto"/>
    </w:rPr>
  </w:style>
  <w:style w:type="paragraph" w:customStyle="1" w:styleId="Textoindependiente1">
    <w:name w:val="Texto independiente1"/>
    <w:basedOn w:val="Normal"/>
    <w:next w:val="BodyText"/>
    <w:link w:val="TextoindependienteCar"/>
    <w:uiPriority w:val="99"/>
    <w:semiHidden/>
    <w:unhideWhenUsed/>
    <w:rsid w:val="000760AB"/>
    <w:pPr>
      <w:spacing w:after="120" w:line="259" w:lineRule="auto"/>
    </w:pPr>
    <w:rPr>
      <w:sz w:val="20"/>
      <w:szCs w:val="20"/>
    </w:rPr>
  </w:style>
  <w:style w:type="character" w:customStyle="1" w:styleId="TextoindependienteCar">
    <w:name w:val="Texto independiente Car"/>
    <w:basedOn w:val="DefaultParagraphFont"/>
    <w:link w:val="Textoindependiente1"/>
    <w:uiPriority w:val="99"/>
    <w:semiHidden/>
    <w:rsid w:val="000760AB"/>
  </w:style>
  <w:style w:type="paragraph" w:customStyle="1" w:styleId="nota">
    <w:name w:val="nota"/>
    <w:basedOn w:val="Normal"/>
    <w:rsid w:val="000760AB"/>
    <w:pPr>
      <w:tabs>
        <w:tab w:val="left" w:pos="1122"/>
        <w:tab w:val="left" w:pos="1309"/>
      </w:tabs>
      <w:jc w:val="both"/>
    </w:pPr>
    <w:rPr>
      <w:rFonts w:ascii="Arial" w:hAnsi="Arial" w:cs="Arial"/>
      <w:bCs/>
      <w:sz w:val="20"/>
    </w:rPr>
  </w:style>
  <w:style w:type="paragraph" w:customStyle="1" w:styleId="Ttulo1CTE">
    <w:name w:val="Título1CTE"/>
    <w:basedOn w:val="Heading1"/>
    <w:next w:val="Normal"/>
    <w:autoRedefine/>
    <w:rsid w:val="000760AB"/>
  </w:style>
  <w:style w:type="paragraph" w:customStyle="1" w:styleId="artculo-tex">
    <w:name w:val="artículo-tex"/>
    <w:basedOn w:val="Normal"/>
    <w:rsid w:val="000760AB"/>
    <w:pPr>
      <w:pBdr>
        <w:top w:val="single" w:sz="4" w:space="1" w:color="00000A"/>
        <w:left w:val="single" w:sz="4" w:space="4" w:color="00000A"/>
        <w:bottom w:val="single" w:sz="4" w:space="1" w:color="00000A"/>
        <w:right w:val="single" w:sz="4" w:space="4" w:color="00000A"/>
      </w:pBdr>
      <w:suppressAutoHyphens/>
      <w:autoSpaceDN w:val="0"/>
      <w:spacing w:before="60" w:after="60"/>
      <w:textAlignment w:val="baseline"/>
    </w:pPr>
    <w:rPr>
      <w:rFonts w:ascii="Arial" w:eastAsia="Arial" w:hAnsi="Arial" w:cs="Arial"/>
      <w:kern w:val="3"/>
      <w:sz w:val="22"/>
      <w:lang w:bidi="hi-IN"/>
    </w:rPr>
  </w:style>
  <w:style w:type="numbering" w:customStyle="1" w:styleId="WWNum3">
    <w:name w:val="WWNum3"/>
    <w:basedOn w:val="NoList"/>
    <w:rsid w:val="000760AB"/>
    <w:pPr>
      <w:numPr>
        <w:numId w:val="7"/>
      </w:numPr>
    </w:pPr>
  </w:style>
  <w:style w:type="paragraph" w:customStyle="1" w:styleId="Revisin1">
    <w:name w:val="Revisión1"/>
    <w:next w:val="Revision"/>
    <w:hidden/>
    <w:uiPriority w:val="99"/>
    <w:semiHidden/>
    <w:rsid w:val="000760AB"/>
    <w:rPr>
      <w:rFonts w:ascii="Calibri" w:eastAsia="Calibri" w:hAnsi="Calibri"/>
      <w:sz w:val="22"/>
      <w:szCs w:val="22"/>
      <w:lang w:eastAsia="en-US"/>
    </w:rPr>
  </w:style>
  <w:style w:type="paragraph" w:customStyle="1" w:styleId="NormalWeb1">
    <w:name w:val="Normal (Web)1"/>
    <w:basedOn w:val="Normal"/>
    <w:next w:val="NormalWeb"/>
    <w:uiPriority w:val="99"/>
    <w:semiHidden/>
    <w:unhideWhenUsed/>
    <w:rsid w:val="000760AB"/>
    <w:pPr>
      <w:spacing w:before="100" w:beforeAutospacing="1" w:after="100" w:afterAutospacing="1"/>
    </w:pPr>
    <w:rPr>
      <w:rFonts w:eastAsia="Calibri"/>
    </w:rPr>
  </w:style>
  <w:style w:type="paragraph" w:customStyle="1" w:styleId="CTENormal">
    <w:name w:val="CTE_Normal"/>
    <w:basedOn w:val="Normal"/>
    <w:qFormat/>
    <w:rsid w:val="000760AB"/>
    <w:pPr>
      <w:spacing w:before="200" w:after="100"/>
    </w:pPr>
    <w:rPr>
      <w:rFonts w:ascii="Arial" w:eastAsia="Arial" w:hAnsi="Arial" w:cs="Arial"/>
      <w:kern w:val="2"/>
      <w:sz w:val="22"/>
      <w:lang w:eastAsia="zh-CN" w:bidi="hi-IN"/>
    </w:rPr>
  </w:style>
  <w:style w:type="paragraph" w:customStyle="1" w:styleId="CteTtulo2">
    <w:name w:val="CteTítulo2"/>
    <w:basedOn w:val="Heading2"/>
    <w:qFormat/>
    <w:rsid w:val="000760AB"/>
  </w:style>
  <w:style w:type="character" w:customStyle="1" w:styleId="Ninguno">
    <w:name w:val="Ninguno"/>
    <w:rsid w:val="000760AB"/>
  </w:style>
  <w:style w:type="character" w:customStyle="1" w:styleId="Ttulo1Car1">
    <w:name w:val="Título 1 Car1"/>
    <w:basedOn w:val="DefaultParagraphFont"/>
    <w:rsid w:val="000760AB"/>
    <w:rPr>
      <w:rFonts w:asciiTheme="majorHAnsi" w:eastAsiaTheme="majorEastAsia" w:hAnsiTheme="majorHAnsi" w:cstheme="majorBidi"/>
      <w:b/>
      <w:bCs/>
      <w:kern w:val="32"/>
      <w:sz w:val="32"/>
      <w:szCs w:val="32"/>
    </w:rPr>
  </w:style>
  <w:style w:type="character" w:customStyle="1" w:styleId="Ttulo2Car1">
    <w:name w:val="Título 2 Car1"/>
    <w:basedOn w:val="DefaultParagraphFont"/>
    <w:semiHidden/>
    <w:rsid w:val="000760AB"/>
    <w:rPr>
      <w:rFonts w:asciiTheme="majorHAnsi" w:eastAsiaTheme="majorEastAsia" w:hAnsiTheme="majorHAnsi" w:cstheme="majorBidi"/>
      <w:b/>
      <w:bCs/>
      <w:i/>
      <w:iCs/>
      <w:sz w:val="28"/>
      <w:szCs w:val="28"/>
    </w:rPr>
  </w:style>
  <w:style w:type="paragraph" w:styleId="ListParagraph">
    <w:name w:val="List Paragraph"/>
    <w:basedOn w:val="Normal"/>
    <w:uiPriority w:val="34"/>
    <w:qFormat/>
    <w:rsid w:val="000760AB"/>
    <w:pPr>
      <w:ind w:left="708"/>
    </w:pPr>
  </w:style>
  <w:style w:type="paragraph" w:styleId="CommentText">
    <w:name w:val="annotation text"/>
    <w:basedOn w:val="Normal"/>
    <w:link w:val="CommentTextChar"/>
    <w:rsid w:val="000760AB"/>
    <w:rPr>
      <w:sz w:val="20"/>
      <w:szCs w:val="20"/>
    </w:rPr>
  </w:style>
  <w:style w:type="character" w:customStyle="1" w:styleId="CommentTextChar">
    <w:name w:val="Comment Text Char"/>
    <w:basedOn w:val="DefaultParagraphFont"/>
    <w:link w:val="CommentText"/>
    <w:rsid w:val="000760AB"/>
  </w:style>
  <w:style w:type="paragraph" w:styleId="BalloonText">
    <w:name w:val="Balloon Text"/>
    <w:basedOn w:val="Normal"/>
    <w:link w:val="BalloonTextChar"/>
    <w:semiHidden/>
    <w:unhideWhenUsed/>
    <w:rsid w:val="000760AB"/>
    <w:rPr>
      <w:rFonts w:ascii="Segoe UI" w:hAnsi="Segoe UI" w:cs="Segoe UI"/>
      <w:sz w:val="18"/>
      <w:szCs w:val="18"/>
    </w:rPr>
  </w:style>
  <w:style w:type="character" w:customStyle="1" w:styleId="BalloonTextChar">
    <w:name w:val="Balloon Text Char"/>
    <w:basedOn w:val="DefaultParagraphFont"/>
    <w:link w:val="BalloonText"/>
    <w:semiHidden/>
    <w:rsid w:val="000760AB"/>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0760AB"/>
    <w:rPr>
      <w:b/>
      <w:bCs/>
    </w:rPr>
  </w:style>
  <w:style w:type="character" w:customStyle="1" w:styleId="AsuntodelcomentarioCar1">
    <w:name w:val="Asunto del comentario Car1"/>
    <w:basedOn w:val="CommentTextChar"/>
    <w:semiHidden/>
    <w:rsid w:val="000760AB"/>
    <w:rPr>
      <w:b/>
      <w:bCs/>
    </w:rPr>
  </w:style>
  <w:style w:type="table" w:styleId="TableGrid">
    <w:name w:val="Table Grid"/>
    <w:basedOn w:val="TableNormal"/>
    <w:rsid w:val="000760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0760AB"/>
    <w:pPr>
      <w:spacing w:after="120"/>
    </w:pPr>
  </w:style>
  <w:style w:type="character" w:customStyle="1" w:styleId="BodyTextChar">
    <w:name w:val="Body Text Char"/>
    <w:basedOn w:val="DefaultParagraphFont"/>
    <w:link w:val="BodyText"/>
    <w:rsid w:val="000760AB"/>
    <w:rPr>
      <w:sz w:val="24"/>
      <w:szCs w:val="24"/>
    </w:rPr>
  </w:style>
  <w:style w:type="paragraph" w:styleId="Revision">
    <w:name w:val="Revision"/>
    <w:hidden/>
    <w:uiPriority w:val="99"/>
    <w:semiHidden/>
    <w:rsid w:val="000760AB"/>
    <w:rPr>
      <w:sz w:val="24"/>
      <w:szCs w:val="24"/>
    </w:rPr>
  </w:style>
  <w:style w:type="paragraph" w:styleId="NormalWeb">
    <w:name w:val="Normal (Web)"/>
    <w:basedOn w:val="Normal"/>
    <w:rsid w:val="000760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F:\PLANTILLAS\R.D.%20BLANCA.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R.D. BLANCA</Template>
  <TotalTime>2</TotalTime>
  <Pages>17</Pages>
  <Words>6817</Words>
  <Characters>44727</Characters>
  <Application>Microsoft Office Word</Application>
  <DocSecurity>0</DocSecurity>
  <Lines>648</Lines>
  <Paragraphs>283</Paragraphs>
  <ScaleCrop>false</ScaleCrop>
  <HeadingPairs>
    <vt:vector size="2" baseType="variant">
      <vt:variant>
        <vt:lpstr>Título</vt:lpstr>
      </vt:variant>
      <vt:variant>
        <vt:i4>1</vt:i4>
      </vt:variant>
    </vt:vector>
  </HeadingPairs>
  <TitlesOfParts>
    <vt:vector size="1" baseType="lpstr">
      <vt:lpstr>Se propone al Consejo de Ministros la aprobación del siguiente proyecto de disposición:</vt:lpstr>
    </vt:vector>
  </TitlesOfParts>
  <Company/>
  <LinksUpToDate>false</LinksUpToDate>
  <CharactersWithSpaces>51261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 propone al Consejo de Ministros la aprobación del siguiente proyecto de disposición:</dc:title>
  <dc:subject/>
  <dc:creator>mlasalgado</dc:creator>
  <cp:keywords>class='Internal'</cp:keywords>
  <dc:description/>
  <cp:lastModifiedBy>Ines Varvodic</cp:lastModifiedBy>
  <cp:revision>2</cp:revision>
  <cp:lastPrinted>2002-07-26T08:33:00Z</cp:lastPrinted>
  <dcterms:created xsi:type="dcterms:W3CDTF">2022-09-12T07:37:00Z</dcterms:created>
  <dcterms:modified xsi:type="dcterms:W3CDTF">2022-09-12T07:37:00Z</dcterms:modified>
</cp:coreProperties>
</file>