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820" w:type="dxa"/>
        <w:jc w:val="center"/>
        <w:tblLayout w:type="fixed"/>
        <w:tblCellMar>
          <w:left w:w="70" w:type="dxa"/>
          <w:right w:w="70" w:type="dxa"/>
        </w:tblCellMar>
        <w:tblLook w:val="0000" w:firstRow="0" w:lastRow="0" w:firstColumn="0" w:lastColumn="0" w:noHBand="0" w:noVBand="0"/>
      </w:tblPr>
      <w:tblGrid>
        <w:gridCol w:w="10820"/>
      </w:tblGrid>
      <w:tr w:rsidR="00C93CCC" w14:paraId="38FF51DE" w14:textId="77777777" w:rsidTr="00546D77">
        <w:trPr>
          <w:trHeight w:hRule="exact" w:val="1884"/>
          <w:jc w:val="center"/>
        </w:trPr>
        <w:tc>
          <w:tcPr>
            <w:tcW w:w="10820" w:type="dxa"/>
            <w:vAlign w:val="center"/>
          </w:tcPr>
          <w:p w14:paraId="4EB9625C" w14:textId="77777777" w:rsidR="00C93CCC" w:rsidRDefault="00C93CCC">
            <w:pPr>
              <w:pStyle w:val="Header"/>
              <w:tabs>
                <w:tab w:val="clear" w:pos="4252"/>
                <w:tab w:val="clear" w:pos="8504"/>
              </w:tabs>
              <w:ind w:left="360" w:right="172"/>
              <w:jc w:val="center"/>
              <w:rPr>
                <w:rFonts w:ascii="Arial" w:hAnsi="Arial"/>
                <w:sz w:val="20"/>
              </w:rPr>
            </w:pPr>
            <w:r>
              <w:rPr>
                <w:rFonts w:ascii="Arial" w:hAnsi="Arial"/>
                <w:sz w:val="20"/>
              </w:rPr>
              <w:t>Se propune Consiliului de Miniștri aprobarea următorului proiect de dispoziție:</w:t>
            </w:r>
          </w:p>
        </w:tc>
      </w:tr>
    </w:tbl>
    <w:p w14:paraId="35F48173" w14:textId="77777777" w:rsidR="00C93CCC" w:rsidRDefault="00C93CCC">
      <w:pPr>
        <w:pStyle w:val="Header"/>
        <w:tabs>
          <w:tab w:val="clear" w:pos="4252"/>
          <w:tab w:val="clear" w:pos="8504"/>
        </w:tabs>
        <w:ind w:left="360" w:right="172"/>
        <w:rPr>
          <w:rFonts w:ascii="Arial" w:hAnsi="Arial"/>
          <w:spacing w:val="40"/>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773"/>
      </w:tblGrid>
      <w:tr w:rsidR="00C93CCC" w14:paraId="0FABBEB3" w14:textId="77777777" w:rsidTr="00546D77">
        <w:trPr>
          <w:trHeight w:hRule="exact" w:val="2220"/>
          <w:jc w:val="center"/>
        </w:trPr>
        <w:tc>
          <w:tcPr>
            <w:tcW w:w="10773" w:type="dxa"/>
            <w:tcBorders>
              <w:bottom w:val="single" w:sz="4" w:space="0" w:color="auto"/>
            </w:tcBorders>
          </w:tcPr>
          <w:p w14:paraId="0016DD6A" w14:textId="77777777" w:rsidR="00C93CCC" w:rsidRPr="00546D77" w:rsidRDefault="00C93CCC">
            <w:pPr>
              <w:pStyle w:val="Header"/>
              <w:tabs>
                <w:tab w:val="clear" w:pos="4252"/>
                <w:tab w:val="clear" w:pos="8504"/>
              </w:tabs>
              <w:ind w:left="461" w:right="172"/>
              <w:jc w:val="both"/>
              <w:rPr>
                <w:rFonts w:ascii="Arial" w:hAnsi="Arial"/>
              </w:rPr>
            </w:pPr>
          </w:p>
          <w:p w14:paraId="0838EDAC" w14:textId="77777777" w:rsidR="00C93CCC" w:rsidRPr="008577E8" w:rsidRDefault="00C93CCC">
            <w:pPr>
              <w:tabs>
                <w:tab w:val="left" w:pos="1080"/>
              </w:tabs>
              <w:spacing w:line="360" w:lineRule="atLeast"/>
              <w:ind w:left="461" w:right="170"/>
              <w:jc w:val="both"/>
              <w:rPr>
                <w:rFonts w:ascii="Arial" w:hAnsi="Arial"/>
              </w:rPr>
            </w:pPr>
          </w:p>
          <w:p w14:paraId="2F91487E" w14:textId="724261EC" w:rsidR="00FD453F" w:rsidRPr="00FD453F" w:rsidRDefault="00FD453F" w:rsidP="00FD453F">
            <w:pPr>
              <w:ind w:left="247" w:right="183"/>
              <w:jc w:val="both"/>
              <w:rPr>
                <w:rFonts w:cs="Calibri"/>
                <w:b/>
              </w:rPr>
            </w:pPr>
            <w:r>
              <w:rPr>
                <w:b/>
              </w:rPr>
              <w:t>Proiect de decret regal de modificare a Codului tehnic al construcțiilor, aprobat prin Decretul regal 314/2006 din 17 martie 2006.</w:t>
            </w:r>
          </w:p>
          <w:p w14:paraId="0B02A1E0" w14:textId="77777777" w:rsidR="00C93CCC" w:rsidRDefault="00C93CCC">
            <w:pPr>
              <w:tabs>
                <w:tab w:val="left" w:pos="1080"/>
              </w:tabs>
              <w:spacing w:line="360" w:lineRule="atLeast"/>
              <w:ind w:left="461" w:right="170"/>
              <w:jc w:val="both"/>
              <w:rPr>
                <w:rFonts w:ascii="Arial" w:hAnsi="Arial"/>
              </w:rPr>
            </w:pPr>
          </w:p>
          <w:p w14:paraId="7F08CCF5" w14:textId="77777777" w:rsidR="00C93CCC" w:rsidRDefault="00C93CCC">
            <w:pPr>
              <w:tabs>
                <w:tab w:val="left" w:pos="1080"/>
              </w:tabs>
              <w:spacing w:line="360" w:lineRule="atLeast"/>
              <w:ind w:left="357" w:right="170"/>
              <w:jc w:val="both"/>
              <w:rPr>
                <w:rFonts w:ascii="Arial" w:hAnsi="Arial"/>
                <w:b/>
                <w:sz w:val="28"/>
                <w:lang w:val="es-ES_tradnl"/>
              </w:rPr>
            </w:pPr>
          </w:p>
        </w:tc>
      </w:tr>
    </w:tbl>
    <w:p w14:paraId="4ABF8576" w14:textId="77777777" w:rsidR="00C93CCC" w:rsidRDefault="00C93CCC">
      <w:pPr>
        <w:ind w:left="360" w:right="172"/>
        <w:jc w:val="both"/>
      </w:pPr>
    </w:p>
    <w:p w14:paraId="306FCEB1" w14:textId="77777777" w:rsidR="00C93CCC" w:rsidRDefault="00C93CCC">
      <w:pPr>
        <w:spacing w:line="360" w:lineRule="atLeast"/>
        <w:ind w:left="357" w:right="170"/>
        <w:jc w:val="both"/>
      </w:pPr>
    </w:p>
    <w:p w14:paraId="4C593970" w14:textId="77777777" w:rsidR="008577E8" w:rsidRDefault="008577E8" w:rsidP="008577E8">
      <w:pPr>
        <w:pStyle w:val="FootnoteText"/>
        <w:tabs>
          <w:tab w:val="left" w:pos="-3969"/>
        </w:tabs>
        <w:spacing w:after="120"/>
        <w:ind w:left="567" w:right="55" w:firstLine="533"/>
        <w:jc w:val="both"/>
        <w:rPr>
          <w:rFonts w:ascii="Arial" w:hAnsi="Arial" w:cs="Arial"/>
          <w:sz w:val="24"/>
          <w:szCs w:val="24"/>
          <w:lang w:val="es-ES"/>
        </w:rPr>
      </w:pPr>
    </w:p>
    <w:p w14:paraId="59E0450F" w14:textId="63AAAB00" w:rsidR="000760AB" w:rsidRPr="00CE0018" w:rsidRDefault="000760AB" w:rsidP="000760AB">
      <w:pPr>
        <w:spacing w:after="160" w:line="259" w:lineRule="auto"/>
        <w:jc w:val="both"/>
        <w:rPr>
          <w:rFonts w:ascii="Calibri" w:eastAsia="Calibri" w:hAnsi="Calibri" w:cs="Calibri"/>
          <w:sz w:val="22"/>
          <w:szCs w:val="22"/>
        </w:rPr>
      </w:pPr>
      <w:r>
        <w:rPr>
          <w:rFonts w:ascii="Calibri" w:hAnsi="Calibri"/>
          <w:sz w:val="22"/>
        </w:rPr>
        <w:t>Legea 38/1999 din 5 noiembrie 1999 privind reglementările în domeniul construcțiilor definește Codul tehnic al construcțiilor (CTE) ca fiind cadrul de reglementare care stabilește cerințele de calitate de bază pentru clădiri și instalațiile acestora și care permite respectarea cerințelor de bază stabilite la articolul 3. Codul tehnic al construcțiilor (CTE) prevăzut de această lege a fost aprobat prin Decretul regal 314/2006 din 17 martie 2006. Documentele de bază care alcătuiesc partea a II-a a CTE stabilesc și, după caz, cuantifică cerințele de bază prevăzute în partea I prin stabilirea unor niveluri-țintă de performanță sau a unor limite sau a altor parametri. În special, documentul de bază DB-HE „Economii de energie” specifică și cuantifică cerințele de eficiență energetică care trebuie îndeplinite de clădirile nou construite, precum și intervențiile asupra clădirilor existente.</w:t>
      </w:r>
    </w:p>
    <w:p w14:paraId="0BC63921"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La 30 mai 2018, a fost adoptată Directiva (UE) 2018/844 a Parlamentului European și a Consiliului de modificare a Directivei 2010/31/UE privind performanța energetică a clădirilor și a Directivei 2012/27/UE privind eficiența energetică.</w:t>
      </w:r>
    </w:p>
    <w:p w14:paraId="4E8A50F3"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Prezenta directivă încurajează introducerea de cerințe specifice pentru implementarea infrastructurilor de încărcare a vehiculelor electrice în parcările din clădiri. Astfel, atât sectorul construcțiilor, cât și cel al mobilității sunt domenii strategice pentru decarbonizarea generală a economiei, cu un cadru de reglementare care vizează stimularea inovării, a durabilității și a eficienței energetice în aceste sectoare.</w:t>
      </w:r>
    </w:p>
    <w:p w14:paraId="2B504954"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La rândul său, dezvoltarea infrastructurii pentru încărcarea inteligentă a vehiculelor electrice va contribui la gestionarea și flexibilitatea energetică, la utilizarea energiilor din surse regenerabile și la îmbunătățirea calității aerului, iar performanța sa energetică va fi optimizată prin digitalizarea clădirilor și prin încorporarea noilor tehnologii în acest domeniu.</w:t>
      </w:r>
    </w:p>
    <w:p w14:paraId="4219E732"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 xml:space="preserve">În ceea ce îl privește, Planul național integrat privind energia și clima 2021-2030 (PNIEC) prezentat de Spania Comisiei Europene prevede promovarea mobilității electrice ca măsură de reducere a consumului de energie și a emisiilor vehiculelor prin adaptarea normativă și încorporarea dreptului Uniunii Europene care să permită instalarea infrastructurii de încărcare a vehiculelor electrice în conformitate cu dezvoltarea electrificării parcului de vehicule, precum și prin alte mecanisme de încurajare și sprijin. </w:t>
      </w:r>
    </w:p>
    <w:p w14:paraId="76C72E2C"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lastRenderedPageBreak/>
        <w:t xml:space="preserve">Pentru a atinge aceste obiective și pentru a transpune parțial directiva în acest sens, prezentul decret regal introduce în Codul tehnic al construcțiilor o nouă cerință de bază privind economiile de energie referitoare la alocările minime pentru infrastructura de încărcare a vehiculelor electrice, care este în curs de elaborare în noua secțiune HE 6 „Dotări minime pentru infrastructura de încărcare a vehiculelor electrice” din documentul de bază DB-HE „Economii de energie”. </w:t>
      </w:r>
    </w:p>
    <w:p w14:paraId="524332FD"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 xml:space="preserve">Pe de altă parte, trebuie menționat faptul că Legea 7/2021 din 20 mai 2021 privind schimbările climatice și tranziția energetică, la articolul 15 alineatul (10), face trimitere la CTE pentru ca acest regulament să stabilească prevederile minime privind infrastructura de încărcare a vehiculelor electrice pentru clădirile existente pentru o altă utilizare decât cea rezidențială privată care au o zonă de parcare cu mai mult de douăzeci de locuri, fie în interior, fie într-un spațiu exterior alocat, dispoziții care ar trebui sa fie intre în vigoare înainte de 1 ianuarie 2023. Cu toate acestea, aceste alocări minime au fost stabilite în cele din urmă prin Decretul-lege regal 29/2021 din 21 decembrie 2021, care adoptă măsuri urgente în domeniul energiei pentru a promova mobilitatea electrică, autoconsumul și utilizarea energiei din surse regenerabile, care include această cerință la articolul 4. </w:t>
      </w:r>
    </w:p>
    <w:p w14:paraId="7707E80D" w14:textId="77777777" w:rsidR="000760AB" w:rsidRPr="000760AB" w:rsidRDefault="000760AB" w:rsidP="000760AB">
      <w:pPr>
        <w:spacing w:after="160" w:line="259" w:lineRule="auto"/>
        <w:jc w:val="both"/>
        <w:rPr>
          <w:rFonts w:ascii="Calibri" w:eastAsia="Calibri" w:hAnsi="Calibri" w:cs="Calibri"/>
          <w:bCs/>
          <w:sz w:val="22"/>
          <w:szCs w:val="22"/>
        </w:rPr>
      </w:pPr>
      <w:r>
        <w:rPr>
          <w:rFonts w:ascii="Calibri" w:hAnsi="Calibri"/>
          <w:sz w:val="22"/>
        </w:rPr>
        <w:t>Pentru a finaliza reglementarea infrastructurilor de încărcare a vehiculelor electrice, se modifică și Decretul regal nr. 1053/2014 din 12 decembrie 2014, prin care se aprobă o nouă Instrucțiune tehnică complementară (ITC) BT 52 „Instalații cu destinație specială. Infrastructura de reîncărcare a vehiculelor electrice”, din Regulamentul electrotehnic pentru joasă tensiune, aprobat prin Decretul regal nr. 842/2002 din 2 august 2002, și alte instrucțiuni tehnice complementare ale acestuia.</w:t>
      </w:r>
    </w:p>
    <w:p w14:paraId="055E3A41"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 xml:space="preserve">În plus, ca măsură de promovare a energiilor din surse regenerabile, de îmbunătățire a competitivității sectoarelor de producție și de stimulare a implicării consumatorilor în gestionarea energiei lor, PNIEC prevede dezvoltarea autoconsumului cu energii din surse regenerabile și producția distribuită în zonele rezidențiale și de afaceri. </w:t>
      </w:r>
    </w:p>
    <w:p w14:paraId="0AED8916"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 xml:space="preserve">În acest sens, aprobarea Decretului regal 244/2019 din 5 aprilie 2019, care reglementează condițiile administrative, tehnice și economice pentru autoconsumul de energie electrică, a permis, printre altele, autoconsumul colectiv și, în același timp, a redus procedurile administrative de punere în aplicare a autoconsumului. Prin urmare, se consideră că actualul cadru juridic permite extinderea domeniului de aplicare al cerinței de bază HE 5 referitoare la producția minimă de energie electrică din surse regenerabile de energie, atât prin aplicarea acesteia în clădirile destinate uzului rezidențial privat, cât și prin reducerea pragului suprafeței construite în clădiri pentru toate utilizările începând de la care se aplică cerința. </w:t>
      </w:r>
    </w:p>
    <w:p w14:paraId="55B0D0AE"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În plus, se consideră necesară modificarea unor secțiuni din Documentele de bază DB-HE „Economii de energie”</w:t>
      </w:r>
      <w:bookmarkStart w:id="0" w:name="_Hlk92819359"/>
      <w:bookmarkEnd w:id="0"/>
      <w:r>
        <w:rPr>
          <w:rFonts w:ascii="Calibri" w:hAnsi="Calibri"/>
          <w:sz w:val="22"/>
        </w:rPr>
        <w:t xml:space="preserve"> și DB-HS „Sănătate” pentru a facilita aplicarea acestora, precum și modificarea promptă a documentului de bază DB-SUA „Siguranța utilizării și accesibilitatea” pentru a încorpora criteriile de accesibilitate pentru stațiile de reîncărcare în spațiile de parcare accesibile.  </w:t>
      </w:r>
    </w:p>
    <w:p w14:paraId="7B428C2F" w14:textId="1C0D714C" w:rsidR="000760AB" w:rsidRPr="000760AB" w:rsidRDefault="000760AB" w:rsidP="000760AB">
      <w:pPr>
        <w:spacing w:after="160" w:line="259" w:lineRule="auto"/>
        <w:jc w:val="both"/>
        <w:rPr>
          <w:rFonts w:ascii="Calibri" w:eastAsia="Calibri" w:hAnsi="Calibri" w:cs="Calibri"/>
          <w:bCs/>
          <w:sz w:val="22"/>
          <w:szCs w:val="22"/>
        </w:rPr>
      </w:pPr>
      <w:r>
        <w:rPr>
          <w:rFonts w:ascii="Calibri" w:hAnsi="Calibri"/>
          <w:sz w:val="22"/>
        </w:rPr>
        <w:t xml:space="preserve">Modificarea CTE cu privire la încorporarea noii secțiuni HE 6 „Dotări minime pentru infrastructura de încărcare a vehiculelor electrice” din documentul de bază DB-HE privind economiile de energie, precum și modificarea Decretului regal nr. 1053/2014 din 12 decembrie 2014, care aprobă o nouă Instrucțiune tehnică complementară (ITC) BT 52 inclusă în prima dispoziție finală, fac parte din reformele de reglementare prevăzute în planul de redresare, transformare și reziliență (PRTR). În mod specific, componenta 1 a PRTR privind „Planul de șoc al mobilității durabile, sigure și conectate în medii urbane și metropolitane” angajează aprobarea prezentului decret regal de punere în aplicare a reformelor de reglementare menționate anterior în cadrul reformei C1.R1, intitulată „Plan pentru instalarea infrastructurii de încărcare și promovarea vehiculelor electrice”.  Reforma C1.R1 este concepută ca un cadru statutar, de reglementare și strategic pentru a facilita implementarea infrastructurii de încărcare pentru promovarea vehiculelor electrice în Spania și are două etape. Prima dintre acestea este constituită prin Ordinul TMA/178/2020 din 19 februarie 2020 de modificare a Ordinului din 16 decembrie 1997, care reglementează căile de acces la drumurile </w:t>
      </w:r>
      <w:r>
        <w:rPr>
          <w:rFonts w:ascii="Calibri" w:hAnsi="Calibri"/>
          <w:sz w:val="22"/>
        </w:rPr>
        <w:lastRenderedPageBreak/>
        <w:t xml:space="preserve">de stat, drumurile de serviciu și construcția de infrastructuri de servicii, și prin Decretul-lege regal 23/2020 din 23 iunie 2020, care aprobă măsuri în domeniul energiei și în alte domenii de reactivare economică. A doua etapă a reformei C1.R1 include aprobarea prezentului decret regal de modificare a Codului tehnic al construcțiilor și a Decretului regal 1053/2014 din 12 decembrie 2014, de aprobare a unei noi instrucțiuni tehnice complementare (ITC) BT 52.  Etapa de referință a angajamentului temporal pentru această reformă este intrarea în vigoare a decretului regal care o reglementează înainte de 30 iunie 2022. Reforma C1.R1. este legată de investiția C1.I2 „Planul de stimulare a instalării punctelor de încărcare, achiziționarea de vehicule electrice și de pile de combustie și inovarea în domeniul electromobilității, al încărcării și al hidrogenului verde”. Această investiție include liniile de ajutor pentru instalarea stațiilor de încărcare specificate în Decretul regal 266/2021 din 13 aprilie 2021 de aprobare a acordării directe a ajutorului pentru comunitățile autonome și orașele Ceuta și Melilla pentru punerea în aplicare a programelor de stimulare legate de mobilitatea electrică (MOVES III) în cadrul PRTR. </w:t>
      </w:r>
    </w:p>
    <w:p w14:paraId="4308D345" w14:textId="77777777" w:rsidR="000760AB" w:rsidRPr="000760AB" w:rsidRDefault="000760AB" w:rsidP="000760AB">
      <w:pPr>
        <w:spacing w:after="160" w:line="259" w:lineRule="auto"/>
        <w:jc w:val="both"/>
        <w:rPr>
          <w:rFonts w:ascii="Calibri" w:eastAsia="Calibri" w:hAnsi="Calibri" w:cs="Calibri"/>
          <w:bCs/>
          <w:i/>
          <w:iCs/>
          <w:sz w:val="22"/>
          <w:szCs w:val="22"/>
        </w:rPr>
      </w:pPr>
      <w:r>
        <w:rPr>
          <w:rFonts w:ascii="Calibri" w:hAnsi="Calibri"/>
          <w:sz w:val="22"/>
        </w:rPr>
        <w:t xml:space="preserve">Prezentul decret regal respectă [principiul de a nu prejudicia în mod semnificativ mediul (DNSH) și condițiile pentru etichetarea climatică și digitală, în conformitate cu dispozițiile PRTR, ale Regulamentului (UE) 2021/241 al Parlamentului European și al Consiliului din 12 februarie 2021 de instituire a mecanismului de reziliență și redresare, precum și ale legislației sale de punere în aplicare, în special Comunicarea Comisiei intitulată „Orientări tehnice privind aplicarea principiului de «a nu prejudicia în mod semnificativ» în temeiul Regulamentului privind Mecanismul de redresare și reziliență”, precum și cerințele Deciziei de punere în aplicare a Consiliului privind aprobarea evaluării planului de redresare, transformare și reziliență al Spaniei. Aceasta include respectarea condițiilor specifice prevăzute în componenta 1, precum și în reforma 1 în care este încadrat prezentul decret regal, atât în ceea ce privește principiul DNSH, cât și etichetarea climatică și digitală, în special cele prevăzute în secțiunile 3, 6 și 8 din documentul privind componenta PRTR. Investițiile PRTR C1.I2, asociate cu reforma C1.R1, respectă, de asemenea, principiul de a nu prejudicia în mod semnificativ mediul și condițiile climatice și etichetarea digitală. </w:t>
      </w:r>
    </w:p>
    <w:p w14:paraId="449DE2FF" w14:textId="77777777" w:rsidR="000760AB" w:rsidRPr="000760AB" w:rsidRDefault="000760AB" w:rsidP="000760AB">
      <w:pPr>
        <w:spacing w:after="160" w:line="259" w:lineRule="auto"/>
        <w:ind w:left="13"/>
        <w:jc w:val="both"/>
        <w:rPr>
          <w:rFonts w:ascii="Calibri" w:eastAsia="Calibri" w:hAnsi="Calibri" w:cs="Calibri"/>
          <w:sz w:val="22"/>
          <w:szCs w:val="22"/>
        </w:rPr>
      </w:pPr>
      <w:r>
        <w:rPr>
          <w:rFonts w:ascii="Calibri" w:hAnsi="Calibri"/>
          <w:sz w:val="22"/>
        </w:rPr>
        <w:t>Prezentul decret regal respectă principiile necesității, eficacității, proporționalității, securității juridice, transparenței și eficienței stabilite la articolul 129 din Legea nr. 39/2015 din 1 octombrie 2015 privind procedura administrativă comună a administrațiilor publice. În ceea ce privește principiile necesității și eficacității, legea răspunde obligației de transpunere a directivelor europene în legislația națională și este în concordanță cu obiectivele de interes general, cum ar fi adaptarea infrastructurii de construcție pentru a promova mobilitatea durabilă și utilizarea energiei din surse regenerabile. Acest lucru va duce la bunăstare în societate și la protejarea mediului. Prezentul decret regal este, de asemenea, în conformitate cu principiul proporționalității, întrucât oferă mijloacele necesare și suficiente pentru punerea în aplicare a mandatului juridic prevăzut de directivă, dar nu impune o inovație care poate fi inutilă sau poate depăși cerințele legale și nici nu implică o restrângere a drepturilor cetățenilor. Prezentul regulament respectă principiul securității juridice, deoarece a fost elaborat în conformitate cu procedurile definite în Legea guvernamentală nr. 50/1997 din 27 noiembrie 1997 și cu principiul transparenței, deoarece identifică în mod clar scopul său, iar expunerea sa de motive accesibilă publicului explică integral conținutul său. În cele din urmă, acesta respectă, de asemenea, principiul eficienței, deoarece nu impune nicio sarcină administrativă.</w:t>
      </w:r>
    </w:p>
    <w:p w14:paraId="781A1DCF"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Această dispoziție generală a făcut obiectul procedurilor de consultare publică prealabilă și audiere și informare publică prevăzute la articolul 26 din Legea 50/1997 din 27 noiembrie 1997 a Guvernului, precum și procedurii de informare în domeniul reglementărilor tehnice și al normelor privind serviciile societății informaționale, prevăzută în Directiva (UE) 2015/1535 a Parlamentului European și a Consiliului din 9 septembrie 2015 și în Decretul regal 1337/1999 din 31 iulie 1999.</w:t>
      </w:r>
    </w:p>
    <w:p w14:paraId="1CF691DA" w14:textId="0555DF60"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În acest sens, la propunerea ministrului transporturilor, mobilității și agendei urbane și a ministrului tranziției ecologice și provocării demografice, în acord cu Consiliul de Stat și după deliberările Consiliului de Miniștri în cadrul reuniunii sale din data</w:t>
      </w:r>
    </w:p>
    <w:p w14:paraId="3A461137" w14:textId="77777777" w:rsidR="000760AB" w:rsidRPr="000760AB" w:rsidRDefault="000760AB" w:rsidP="000760AB">
      <w:pPr>
        <w:spacing w:after="160" w:line="259" w:lineRule="auto"/>
        <w:jc w:val="both"/>
        <w:rPr>
          <w:rFonts w:ascii="Calibri" w:eastAsia="Calibri" w:hAnsi="Calibri" w:cs="Calibri"/>
          <w:sz w:val="22"/>
          <w:szCs w:val="22"/>
          <w:lang w:eastAsia="en-US"/>
        </w:rPr>
      </w:pPr>
    </w:p>
    <w:p w14:paraId="2D0F4D96" w14:textId="77777777" w:rsidR="000760AB" w:rsidRPr="000760AB" w:rsidRDefault="000760AB" w:rsidP="000760AB">
      <w:pPr>
        <w:spacing w:after="160" w:line="259" w:lineRule="auto"/>
        <w:jc w:val="center"/>
        <w:rPr>
          <w:rFonts w:ascii="Calibri" w:eastAsia="Calibri" w:hAnsi="Calibri" w:cs="Calibri"/>
          <w:sz w:val="22"/>
          <w:szCs w:val="22"/>
        </w:rPr>
      </w:pPr>
      <w:r>
        <w:rPr>
          <w:rFonts w:ascii="Calibri" w:hAnsi="Calibri"/>
          <w:sz w:val="22"/>
        </w:rPr>
        <w:lastRenderedPageBreak/>
        <w:t>SE DISPUN URMĂTOARELE:</w:t>
      </w:r>
    </w:p>
    <w:p w14:paraId="3F204ED5" w14:textId="77777777" w:rsidR="000760AB" w:rsidRPr="000760AB" w:rsidRDefault="000760AB" w:rsidP="000760AB">
      <w:pPr>
        <w:spacing w:after="160" w:line="259" w:lineRule="auto"/>
        <w:jc w:val="both"/>
        <w:rPr>
          <w:rFonts w:ascii="Calibri" w:eastAsia="Calibri" w:hAnsi="Calibri" w:cs="Calibri"/>
          <w:bCs/>
          <w:i/>
          <w:iCs/>
          <w:sz w:val="22"/>
          <w:szCs w:val="22"/>
        </w:rPr>
      </w:pPr>
      <w:r>
        <w:rPr>
          <w:rFonts w:ascii="Calibri" w:hAnsi="Calibri"/>
          <w:sz w:val="22"/>
        </w:rPr>
        <w:t xml:space="preserve">Articol unic. </w:t>
      </w:r>
      <w:r>
        <w:rPr>
          <w:rFonts w:ascii="Calibri" w:hAnsi="Calibri"/>
          <w:i/>
          <w:sz w:val="22"/>
        </w:rPr>
        <w:t>Modificarea Codului tehnic al construcțiilor (CTC), aprobat prin Decretul regal 314/2006 din 17 martie 2006.</w:t>
      </w:r>
    </w:p>
    <w:p w14:paraId="557D04F7"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Codul tehnic al construcțiilor (CTE), aprobat prin Decretul regal nr. 314/2006 din 17 martie 2006, se modifică după cum urmează:</w:t>
      </w:r>
    </w:p>
    <w:p w14:paraId="38344B6D" w14:textId="77777777" w:rsidR="000760AB" w:rsidRPr="000760AB" w:rsidRDefault="000760AB" w:rsidP="000760AB">
      <w:pPr>
        <w:spacing w:after="160" w:line="259" w:lineRule="auto"/>
        <w:ind w:left="567" w:hanging="567"/>
        <w:jc w:val="both"/>
        <w:rPr>
          <w:rFonts w:ascii="Calibri" w:eastAsia="Calibri" w:hAnsi="Calibri" w:cs="Calibri"/>
          <w:sz w:val="22"/>
          <w:szCs w:val="22"/>
        </w:rPr>
      </w:pPr>
      <w:r>
        <w:rPr>
          <w:rFonts w:ascii="Calibri" w:hAnsi="Calibri"/>
          <w:sz w:val="22"/>
        </w:rPr>
        <w:t>1. Indicele din partea I se modifică după cum urmează:</w:t>
      </w:r>
    </w:p>
    <w:p w14:paraId="493E6A51"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Formularea „15.6. Cerința de bază HE 5: Producția minimă de energie electrică” are următoarea formulare:</w:t>
      </w:r>
    </w:p>
    <w:p w14:paraId="7A817778"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„15.6. Cerința de bază HE 5: Producția minimă de energie electrică din surse regenerabile”</w:t>
      </w:r>
    </w:p>
    <w:p w14:paraId="53D132D3"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În trimiterea la articolul 15 se introduce un punct suplimentar cu următorul text:</w:t>
      </w:r>
    </w:p>
    <w:p w14:paraId="1B97A8CA"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„15.7. Cerința de bază HE6: Dotări minime pentru infrastructura de încărcare a vehiculelor electrice.”</w:t>
      </w:r>
    </w:p>
    <w:p w14:paraId="24330295" w14:textId="77777777" w:rsidR="000760AB" w:rsidRPr="000760AB" w:rsidRDefault="000760AB" w:rsidP="000760AB">
      <w:pPr>
        <w:spacing w:after="160" w:line="259" w:lineRule="auto"/>
        <w:ind w:left="567" w:hanging="567"/>
        <w:jc w:val="both"/>
        <w:rPr>
          <w:rFonts w:ascii="Calibri" w:eastAsia="Calibri" w:hAnsi="Calibri" w:cs="Calibri"/>
          <w:sz w:val="22"/>
          <w:szCs w:val="22"/>
        </w:rPr>
      </w:pPr>
      <w:r>
        <w:rPr>
          <w:rFonts w:ascii="Calibri" w:hAnsi="Calibri"/>
          <w:sz w:val="22"/>
        </w:rPr>
        <w:t>2. Articolul 15 din partea I se modifică după cum urmează:</w:t>
      </w:r>
    </w:p>
    <w:p w14:paraId="53F6E69E"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Punctul 15.6 se modifică și are următoarea formulare:</w:t>
      </w:r>
    </w:p>
    <w:p w14:paraId="41FA2918"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„15.6 Cerința de bază HE 5: Producția minimă de energie electrică din surse regenerabile.</w:t>
      </w:r>
    </w:p>
    <w:p w14:paraId="35075490"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Clădirile trebuie să dispună de sisteme de producție a energiei electrice din surse regenerabile pentru uz propriu sau pentru alimentarea rețelei.”</w:t>
      </w:r>
    </w:p>
    <w:p w14:paraId="7543DFCB"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Se adaugă un punct nou 15.7 cu următoarea formulare:</w:t>
      </w:r>
    </w:p>
    <w:p w14:paraId="47ED5386"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„15.7 Cerința de bază HE 6: Dotări minime pentru infrastructura de încărcare a vehiculelor electrice.</w:t>
      </w:r>
    </w:p>
    <w:p w14:paraId="76AA215B"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Clădirile trebuie să dispună de o infrastructură minimă care să permită încărcarea vehiculelor electrice.”</w:t>
      </w:r>
    </w:p>
    <w:p w14:paraId="77CE8C8D"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3. În documentul de bază DB-HE „Economii de energie” se introduc următoarele modificări, incluse în partea II:</w:t>
      </w:r>
    </w:p>
    <w:p w14:paraId="49F2FE06" w14:textId="77777777" w:rsidR="000760AB" w:rsidRPr="000760AB" w:rsidRDefault="000760AB" w:rsidP="000760AB">
      <w:pPr>
        <w:numPr>
          <w:ilvl w:val="0"/>
          <w:numId w:val="17"/>
        </w:numPr>
        <w:spacing w:after="162" w:line="259" w:lineRule="auto"/>
        <w:ind w:left="284" w:firstLine="0"/>
        <w:jc w:val="both"/>
        <w:rPr>
          <w:rFonts w:ascii="Calibri" w:eastAsia="Calibri" w:hAnsi="Calibri" w:cs="Calibri"/>
          <w:sz w:val="22"/>
          <w:szCs w:val="22"/>
        </w:rPr>
      </w:pPr>
      <w:r>
        <w:rPr>
          <w:rFonts w:ascii="Calibri" w:hAnsi="Calibri"/>
          <w:sz w:val="22"/>
        </w:rPr>
        <w:t>La primul paragraf din secțiunea „I Obiectul” din „Introducere”, în teza „Secțiunile din prezentul DB corespund cerințelor de bază HE 0-HE 5”, în loc de „HE 5” trebuie să figureze „HE 6”.</w:t>
      </w:r>
    </w:p>
    <w:p w14:paraId="0A080F50" w14:textId="77777777" w:rsidR="000760AB" w:rsidRPr="000760AB" w:rsidRDefault="000760AB" w:rsidP="000760AB">
      <w:pPr>
        <w:numPr>
          <w:ilvl w:val="0"/>
          <w:numId w:val="17"/>
        </w:numPr>
        <w:spacing w:after="162" w:line="259" w:lineRule="auto"/>
        <w:ind w:left="284" w:firstLine="0"/>
        <w:jc w:val="both"/>
        <w:rPr>
          <w:rFonts w:ascii="Calibri" w:eastAsia="Calibri" w:hAnsi="Calibri" w:cs="Calibri"/>
          <w:sz w:val="22"/>
          <w:szCs w:val="22"/>
        </w:rPr>
      </w:pPr>
      <w:r>
        <w:rPr>
          <w:rFonts w:ascii="Calibri" w:hAnsi="Calibri"/>
          <w:sz w:val="22"/>
        </w:rPr>
        <w:t>În secțiunea I „Obiectul” din „Introducere”, trimiterea la articolul 15.6 din partea I a CTE se modifică după cum urmează:</w:t>
      </w:r>
    </w:p>
    <w:p w14:paraId="72402F73"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„15.6 Cerința de bază HE 5: Producția minimă de energie electrică din surse regenerabile.</w:t>
      </w:r>
    </w:p>
    <w:p w14:paraId="2369423E" w14:textId="77777777" w:rsidR="000760AB" w:rsidRPr="000760AB" w:rsidRDefault="000760AB" w:rsidP="000760AB">
      <w:pPr>
        <w:spacing w:after="162" w:line="259" w:lineRule="auto"/>
        <w:ind w:left="284"/>
        <w:jc w:val="both"/>
        <w:rPr>
          <w:rFonts w:ascii="Calibri" w:eastAsia="Calibri" w:hAnsi="Calibri" w:cs="Calibri"/>
          <w:sz w:val="22"/>
          <w:szCs w:val="22"/>
        </w:rPr>
      </w:pPr>
      <w:r>
        <w:rPr>
          <w:rFonts w:ascii="Calibri" w:hAnsi="Calibri"/>
          <w:sz w:val="22"/>
        </w:rPr>
        <w:t>Clădirile trebuie să dispună de sisteme de producție a energiei electrice din surse regenerabile pentru uz propriu sau pentru alimentarea rețelei.”</w:t>
      </w:r>
    </w:p>
    <w:p w14:paraId="181F1AEB" w14:textId="77777777" w:rsidR="000760AB" w:rsidRPr="000760AB" w:rsidRDefault="000760AB" w:rsidP="000760AB">
      <w:pPr>
        <w:numPr>
          <w:ilvl w:val="0"/>
          <w:numId w:val="17"/>
        </w:numPr>
        <w:spacing w:after="162" w:line="259" w:lineRule="auto"/>
        <w:ind w:left="284" w:firstLine="0"/>
        <w:jc w:val="both"/>
        <w:rPr>
          <w:rFonts w:ascii="Calibri" w:eastAsia="Calibri" w:hAnsi="Calibri" w:cs="Calibri"/>
          <w:sz w:val="22"/>
          <w:szCs w:val="22"/>
        </w:rPr>
      </w:pPr>
      <w:r>
        <w:rPr>
          <w:rFonts w:ascii="Calibri" w:hAnsi="Calibri"/>
          <w:sz w:val="22"/>
        </w:rPr>
        <w:t>În secțiunea I „Obiectul” din „Introducere”, se introduce un punct suplimentar în trimiterea la articolul 15 din partea I a CTE de la sfârșitul CTE, cu următoarea formulare:</w:t>
      </w:r>
    </w:p>
    <w:p w14:paraId="7C586D67"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„15.7. Cerința de bază HE 6: Dotări minime pentru infrastructura de încărcare a vehiculelor electrice.</w:t>
      </w:r>
    </w:p>
    <w:p w14:paraId="676A05EC"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 xml:space="preserve">Clădirile trebuie să dispună de o infrastructură minimă care să permită încărcarea </w:t>
      </w:r>
      <w:r>
        <w:rPr>
          <w:rFonts w:ascii="Calibri" w:hAnsi="Calibri"/>
          <w:i/>
          <w:sz w:val="22"/>
        </w:rPr>
        <w:t>vehiculelor electrice</w:t>
      </w:r>
      <w:r>
        <w:rPr>
          <w:rFonts w:ascii="Calibri" w:hAnsi="Calibri"/>
          <w:sz w:val="22"/>
        </w:rPr>
        <w:t>.”</w:t>
      </w:r>
    </w:p>
    <w:p w14:paraId="69721229" w14:textId="77777777" w:rsidR="000760AB" w:rsidRPr="000760AB" w:rsidRDefault="000760AB" w:rsidP="000760AB">
      <w:pPr>
        <w:numPr>
          <w:ilvl w:val="0"/>
          <w:numId w:val="17"/>
        </w:numPr>
        <w:spacing w:after="160" w:line="259" w:lineRule="auto"/>
        <w:ind w:left="284" w:firstLine="0"/>
        <w:jc w:val="both"/>
        <w:rPr>
          <w:rFonts w:ascii="Calibri" w:eastAsia="Calibri" w:hAnsi="Calibri" w:cs="Calibri"/>
          <w:sz w:val="22"/>
          <w:szCs w:val="22"/>
        </w:rPr>
      </w:pPr>
      <w:r>
        <w:rPr>
          <w:rFonts w:ascii="Calibri" w:hAnsi="Calibri"/>
          <w:sz w:val="22"/>
        </w:rPr>
        <w:t>În cuprins, titlul secțiunii HE 5 se modifică după cum urmează:</w:t>
      </w:r>
    </w:p>
    <w:p w14:paraId="582FB085" w14:textId="6A9EA674" w:rsidR="000760AB" w:rsidRDefault="000760AB" w:rsidP="000760AB">
      <w:pPr>
        <w:spacing w:after="160" w:line="259" w:lineRule="auto"/>
        <w:ind w:left="284"/>
        <w:contextualSpacing/>
        <w:jc w:val="both"/>
        <w:rPr>
          <w:rFonts w:ascii="Calibri" w:eastAsia="Calibri" w:hAnsi="Calibri" w:cs="Calibri"/>
          <w:sz w:val="22"/>
          <w:szCs w:val="22"/>
        </w:rPr>
      </w:pPr>
      <w:r>
        <w:rPr>
          <w:rFonts w:ascii="Calibri" w:hAnsi="Calibri"/>
          <w:sz w:val="22"/>
        </w:rPr>
        <w:t>„Secțiunea HE 5 Producția minimă de energie electrică din surse regenerabile.”</w:t>
      </w:r>
    </w:p>
    <w:p w14:paraId="6364AA7F" w14:textId="77777777" w:rsidR="000760AB" w:rsidRPr="000760AB" w:rsidRDefault="000760AB" w:rsidP="000760AB">
      <w:pPr>
        <w:spacing w:after="160" w:line="259" w:lineRule="auto"/>
        <w:ind w:left="284"/>
        <w:contextualSpacing/>
        <w:jc w:val="both"/>
        <w:rPr>
          <w:rFonts w:ascii="Calibri" w:eastAsia="Calibri" w:hAnsi="Calibri" w:cs="Calibri"/>
          <w:sz w:val="22"/>
          <w:szCs w:val="22"/>
          <w:lang w:eastAsia="en-US"/>
        </w:rPr>
      </w:pPr>
    </w:p>
    <w:p w14:paraId="3893C14C" w14:textId="77777777" w:rsidR="000760AB" w:rsidRPr="000760AB" w:rsidRDefault="000760AB" w:rsidP="000760AB">
      <w:pPr>
        <w:numPr>
          <w:ilvl w:val="0"/>
          <w:numId w:val="17"/>
        </w:numPr>
        <w:spacing w:after="160" w:line="259" w:lineRule="auto"/>
        <w:ind w:left="284" w:firstLine="0"/>
        <w:jc w:val="both"/>
        <w:rPr>
          <w:rFonts w:ascii="Calibri" w:eastAsia="Calibri" w:hAnsi="Calibri" w:cs="Calibri"/>
          <w:sz w:val="22"/>
          <w:szCs w:val="22"/>
        </w:rPr>
      </w:pPr>
      <w:r>
        <w:rPr>
          <w:rFonts w:ascii="Calibri" w:hAnsi="Calibri"/>
          <w:sz w:val="22"/>
        </w:rPr>
        <w:lastRenderedPageBreak/>
        <w:t>La trimiterea la articolul 15 din cuprins se introduce un punct suplimentar cu următoarea formulare:</w:t>
      </w:r>
    </w:p>
    <w:p w14:paraId="176B586E" w14:textId="77777777" w:rsidR="000760AB" w:rsidRPr="000760AB" w:rsidRDefault="000760AB" w:rsidP="000760AB">
      <w:pPr>
        <w:tabs>
          <w:tab w:val="left" w:pos="7938"/>
        </w:tabs>
        <w:spacing w:after="160" w:line="259" w:lineRule="auto"/>
        <w:ind w:left="284"/>
        <w:contextualSpacing/>
        <w:jc w:val="both"/>
        <w:rPr>
          <w:rFonts w:ascii="Calibri" w:eastAsia="Calibri" w:hAnsi="Calibri" w:cs="Calibri"/>
          <w:sz w:val="22"/>
          <w:szCs w:val="22"/>
        </w:rPr>
      </w:pPr>
      <w:r>
        <w:rPr>
          <w:rFonts w:ascii="Calibri" w:hAnsi="Calibri"/>
          <w:sz w:val="22"/>
        </w:rPr>
        <w:t>„Secțiunea HE 6 Dotări minime pentru infrastructura de încărcare a vehiculelor electrice</w:t>
      </w:r>
    </w:p>
    <w:p w14:paraId="0C2C22F2" w14:textId="77777777" w:rsidR="000760AB" w:rsidRPr="000760AB" w:rsidRDefault="000760AB" w:rsidP="000760AB">
      <w:pPr>
        <w:numPr>
          <w:ilvl w:val="0"/>
          <w:numId w:val="14"/>
        </w:numPr>
        <w:tabs>
          <w:tab w:val="left" w:pos="567"/>
        </w:tabs>
        <w:spacing w:after="160" w:line="259" w:lineRule="auto"/>
        <w:ind w:left="284" w:firstLine="0"/>
        <w:contextualSpacing/>
        <w:jc w:val="both"/>
        <w:rPr>
          <w:rFonts w:ascii="Calibri" w:eastAsia="Calibri" w:hAnsi="Calibri" w:cs="Calibri"/>
          <w:sz w:val="22"/>
          <w:szCs w:val="22"/>
        </w:rPr>
      </w:pPr>
      <w:r>
        <w:rPr>
          <w:rFonts w:ascii="Calibri" w:hAnsi="Calibri"/>
          <w:sz w:val="22"/>
        </w:rPr>
        <w:t>Domeniul de aplicare</w:t>
      </w:r>
    </w:p>
    <w:p w14:paraId="14454D1F" w14:textId="77777777" w:rsidR="000760AB" w:rsidRPr="000760AB" w:rsidRDefault="000760AB" w:rsidP="000760AB">
      <w:pPr>
        <w:numPr>
          <w:ilvl w:val="0"/>
          <w:numId w:val="14"/>
        </w:numPr>
        <w:tabs>
          <w:tab w:val="left" w:pos="567"/>
        </w:tabs>
        <w:spacing w:after="160" w:line="259" w:lineRule="auto"/>
        <w:ind w:left="284" w:firstLine="0"/>
        <w:contextualSpacing/>
        <w:jc w:val="both"/>
        <w:rPr>
          <w:rFonts w:ascii="Calibri" w:eastAsia="Calibri" w:hAnsi="Calibri" w:cs="Calibri"/>
          <w:sz w:val="22"/>
          <w:szCs w:val="22"/>
        </w:rPr>
      </w:pPr>
      <w:r>
        <w:rPr>
          <w:rFonts w:ascii="Calibri" w:hAnsi="Calibri"/>
          <w:sz w:val="22"/>
        </w:rPr>
        <w:t>Descrierea cerinței</w:t>
      </w:r>
    </w:p>
    <w:p w14:paraId="41AC625F" w14:textId="77777777" w:rsidR="000760AB" w:rsidRPr="000760AB" w:rsidRDefault="000760AB" w:rsidP="000760AB">
      <w:pPr>
        <w:numPr>
          <w:ilvl w:val="0"/>
          <w:numId w:val="14"/>
        </w:numPr>
        <w:tabs>
          <w:tab w:val="left" w:pos="567"/>
        </w:tabs>
        <w:spacing w:after="160" w:line="259" w:lineRule="auto"/>
        <w:ind w:left="284" w:firstLine="0"/>
        <w:contextualSpacing/>
        <w:jc w:val="both"/>
        <w:rPr>
          <w:rFonts w:ascii="Calibri" w:eastAsia="Calibri" w:hAnsi="Calibri" w:cs="Calibri"/>
          <w:sz w:val="22"/>
          <w:szCs w:val="22"/>
        </w:rPr>
      </w:pPr>
      <w:r>
        <w:rPr>
          <w:rFonts w:ascii="Calibri" w:hAnsi="Calibri"/>
          <w:sz w:val="22"/>
        </w:rPr>
        <w:t>Cuantificarea cerinței</w:t>
      </w:r>
    </w:p>
    <w:p w14:paraId="0D46B4A0" w14:textId="77777777" w:rsidR="000760AB" w:rsidRPr="000760AB" w:rsidRDefault="000760AB" w:rsidP="000760AB">
      <w:pPr>
        <w:numPr>
          <w:ilvl w:val="0"/>
          <w:numId w:val="14"/>
        </w:numPr>
        <w:tabs>
          <w:tab w:val="left" w:pos="567"/>
        </w:tabs>
        <w:spacing w:after="160" w:line="259" w:lineRule="auto"/>
        <w:ind w:left="284" w:firstLine="0"/>
        <w:contextualSpacing/>
        <w:jc w:val="both"/>
        <w:rPr>
          <w:rFonts w:ascii="Calibri" w:eastAsia="Calibri" w:hAnsi="Calibri" w:cs="Calibri"/>
          <w:sz w:val="22"/>
          <w:szCs w:val="22"/>
        </w:rPr>
      </w:pPr>
      <w:r>
        <w:rPr>
          <w:rFonts w:ascii="Calibri" w:hAnsi="Calibri"/>
          <w:sz w:val="22"/>
        </w:rPr>
        <w:t>Justificarea cerinței</w:t>
      </w:r>
    </w:p>
    <w:p w14:paraId="6C8C16FE" w14:textId="77777777" w:rsidR="000760AB" w:rsidRPr="000760AB" w:rsidRDefault="000760AB" w:rsidP="000760AB">
      <w:pPr>
        <w:numPr>
          <w:ilvl w:val="0"/>
          <w:numId w:val="14"/>
        </w:numPr>
        <w:tabs>
          <w:tab w:val="left" w:pos="567"/>
        </w:tabs>
        <w:spacing w:after="160" w:line="259" w:lineRule="auto"/>
        <w:ind w:left="284" w:firstLine="0"/>
        <w:contextualSpacing/>
        <w:jc w:val="both"/>
        <w:rPr>
          <w:rFonts w:ascii="Calibri" w:eastAsia="Calibri" w:hAnsi="Calibri" w:cs="Calibri"/>
          <w:sz w:val="22"/>
          <w:szCs w:val="22"/>
        </w:rPr>
      </w:pPr>
      <w:r>
        <w:rPr>
          <w:rFonts w:ascii="Calibri" w:hAnsi="Calibri"/>
          <w:sz w:val="22"/>
        </w:rPr>
        <w:t>Construcție, întreținere și conservare</w:t>
      </w:r>
    </w:p>
    <w:p w14:paraId="555B094E" w14:textId="77777777" w:rsidR="000760AB" w:rsidRPr="000760AB" w:rsidRDefault="000760AB" w:rsidP="000760AB">
      <w:pPr>
        <w:tabs>
          <w:tab w:val="left" w:pos="993"/>
        </w:tabs>
        <w:spacing w:after="160" w:line="259" w:lineRule="auto"/>
        <w:ind w:left="284"/>
        <w:contextualSpacing/>
        <w:jc w:val="both"/>
        <w:rPr>
          <w:rFonts w:ascii="Calibri" w:eastAsia="Calibri" w:hAnsi="Calibri" w:cs="Calibri"/>
          <w:sz w:val="22"/>
          <w:szCs w:val="22"/>
        </w:rPr>
      </w:pPr>
      <w:r>
        <w:rPr>
          <w:rFonts w:ascii="Calibri" w:hAnsi="Calibri"/>
          <w:sz w:val="22"/>
        </w:rPr>
        <w:t>5.1</w:t>
      </w:r>
      <w:r>
        <w:rPr>
          <w:rFonts w:ascii="Calibri" w:hAnsi="Calibri"/>
          <w:sz w:val="22"/>
        </w:rPr>
        <w:tab/>
        <w:t>Executare</w:t>
      </w:r>
    </w:p>
    <w:p w14:paraId="2080D911" w14:textId="77777777" w:rsidR="000760AB" w:rsidRPr="000760AB" w:rsidRDefault="000760AB" w:rsidP="000760AB">
      <w:pPr>
        <w:tabs>
          <w:tab w:val="left" w:pos="993"/>
        </w:tabs>
        <w:spacing w:after="160" w:line="259" w:lineRule="auto"/>
        <w:ind w:left="284"/>
        <w:contextualSpacing/>
        <w:jc w:val="both"/>
        <w:rPr>
          <w:rFonts w:ascii="Calibri" w:eastAsia="Calibri" w:hAnsi="Calibri" w:cs="Calibri"/>
          <w:sz w:val="22"/>
          <w:szCs w:val="22"/>
        </w:rPr>
      </w:pPr>
      <w:r>
        <w:rPr>
          <w:rFonts w:ascii="Calibri" w:hAnsi="Calibri"/>
          <w:sz w:val="22"/>
        </w:rPr>
        <w:t>5.2</w:t>
      </w:r>
      <w:r>
        <w:rPr>
          <w:rFonts w:ascii="Calibri" w:hAnsi="Calibri"/>
          <w:sz w:val="22"/>
        </w:rPr>
        <w:tab/>
        <w:t>Monitorizarea executării lucrărilor</w:t>
      </w:r>
    </w:p>
    <w:p w14:paraId="0A1431F4" w14:textId="77777777" w:rsidR="000760AB" w:rsidRPr="000760AB" w:rsidRDefault="000760AB" w:rsidP="000760AB">
      <w:pPr>
        <w:tabs>
          <w:tab w:val="left" w:pos="993"/>
        </w:tabs>
        <w:spacing w:after="160" w:line="259" w:lineRule="auto"/>
        <w:ind w:left="284"/>
        <w:contextualSpacing/>
        <w:jc w:val="both"/>
        <w:rPr>
          <w:rFonts w:ascii="Calibri" w:eastAsia="Calibri" w:hAnsi="Calibri" w:cs="Calibri"/>
          <w:sz w:val="22"/>
          <w:szCs w:val="22"/>
        </w:rPr>
      </w:pPr>
      <w:r>
        <w:rPr>
          <w:rFonts w:ascii="Calibri" w:hAnsi="Calibri"/>
          <w:sz w:val="22"/>
        </w:rPr>
        <w:t>5.3</w:t>
      </w:r>
      <w:r>
        <w:rPr>
          <w:rFonts w:ascii="Calibri" w:hAnsi="Calibri"/>
          <w:sz w:val="22"/>
        </w:rPr>
        <w:tab/>
        <w:t>Verificarea lucrărilor finalizate</w:t>
      </w:r>
    </w:p>
    <w:p w14:paraId="43CD09C6" w14:textId="77777777" w:rsidR="000760AB" w:rsidRPr="000760AB" w:rsidRDefault="000760AB" w:rsidP="000760AB">
      <w:pPr>
        <w:tabs>
          <w:tab w:val="left" w:pos="993"/>
        </w:tabs>
        <w:spacing w:after="160" w:line="259" w:lineRule="auto"/>
        <w:ind w:left="284"/>
        <w:contextualSpacing/>
        <w:jc w:val="both"/>
        <w:rPr>
          <w:rFonts w:ascii="Calibri" w:eastAsia="Calibri" w:hAnsi="Calibri" w:cs="Calibri"/>
          <w:sz w:val="22"/>
          <w:szCs w:val="22"/>
        </w:rPr>
      </w:pPr>
      <w:r>
        <w:rPr>
          <w:rFonts w:ascii="Calibri" w:hAnsi="Calibri"/>
          <w:sz w:val="22"/>
        </w:rPr>
        <w:t>5.4</w:t>
      </w:r>
      <w:r>
        <w:rPr>
          <w:rFonts w:ascii="Calibri" w:hAnsi="Calibri"/>
          <w:sz w:val="22"/>
        </w:rPr>
        <w:tab/>
        <w:t>Întreținerea și conservarea clădirii”</w:t>
      </w:r>
    </w:p>
    <w:p w14:paraId="2BFCCA3F" w14:textId="77777777" w:rsidR="000760AB" w:rsidRPr="000760AB" w:rsidRDefault="000760AB" w:rsidP="000760AB">
      <w:pPr>
        <w:numPr>
          <w:ilvl w:val="0"/>
          <w:numId w:val="17"/>
        </w:numPr>
        <w:spacing w:before="200" w:after="100" w:line="259" w:lineRule="auto"/>
        <w:ind w:left="284" w:firstLine="0"/>
        <w:jc w:val="both"/>
        <w:rPr>
          <w:rFonts w:ascii="Calibri" w:eastAsia="Arial" w:hAnsi="Calibri" w:cs="Calibri"/>
          <w:kern w:val="2"/>
          <w:sz w:val="22"/>
          <w:szCs w:val="22"/>
        </w:rPr>
      </w:pPr>
      <w:r>
        <w:rPr>
          <w:rFonts w:ascii="Calibri" w:hAnsi="Calibri"/>
          <w:sz w:val="22"/>
        </w:rPr>
        <w:t>În secțiunea HE 0, articolul 1 Domeniul de aplicare, alineatul (1) , textul: „...în cazul în care suprafața utilă extinsă totală depășește 50 m</w:t>
      </w:r>
      <w:r>
        <w:rPr>
          <w:rFonts w:ascii="Calibri" w:hAnsi="Calibri"/>
          <w:sz w:val="22"/>
          <w:vertAlign w:val="superscript"/>
        </w:rPr>
        <w:t>2</w:t>
      </w:r>
      <w:r>
        <w:rPr>
          <w:rFonts w:ascii="Calibri" w:hAnsi="Calibri"/>
          <w:sz w:val="22"/>
        </w:rPr>
        <w:t>;”, se înlocuiește cu textul „...în cazul în care suprafața utilă extinsă depășește 50 m</w:t>
      </w:r>
      <w:r>
        <w:rPr>
          <w:rFonts w:ascii="Calibri" w:hAnsi="Calibri"/>
          <w:sz w:val="22"/>
          <w:vertAlign w:val="superscript"/>
        </w:rPr>
        <w:t>2</w:t>
      </w:r>
      <w:r>
        <w:rPr>
          <w:rFonts w:ascii="Calibri" w:hAnsi="Calibri"/>
          <w:sz w:val="22"/>
        </w:rPr>
        <w:t>;”.</w:t>
      </w:r>
    </w:p>
    <w:p w14:paraId="1BE79A25" w14:textId="77777777" w:rsidR="000760AB" w:rsidRPr="000760AB" w:rsidRDefault="000760AB" w:rsidP="000760AB">
      <w:pPr>
        <w:numPr>
          <w:ilvl w:val="0"/>
          <w:numId w:val="17"/>
        </w:numPr>
        <w:spacing w:before="200" w:after="100" w:line="259" w:lineRule="auto"/>
        <w:ind w:left="284" w:firstLine="0"/>
        <w:jc w:val="both"/>
        <w:rPr>
          <w:rFonts w:ascii="Calibri" w:eastAsia="Arial" w:hAnsi="Calibri" w:cs="Calibri"/>
          <w:kern w:val="2"/>
          <w:sz w:val="22"/>
          <w:szCs w:val="22"/>
        </w:rPr>
      </w:pPr>
      <w:r>
        <w:rPr>
          <w:rFonts w:ascii="Calibri" w:hAnsi="Calibri"/>
          <w:sz w:val="22"/>
        </w:rPr>
        <w:t>În secțiunea HE 0, articolul 3 Cuantificarea cerinței, articolul 3.1 Consumul de energie primară din surse neregenerabile</w:t>
      </w:r>
      <w:bookmarkStart w:id="1" w:name="_Hlk96944651"/>
      <w:r>
        <w:rPr>
          <w:rFonts w:ascii="Calibri" w:hAnsi="Calibri"/>
          <w:sz w:val="22"/>
        </w:rPr>
        <w:t>,</w:t>
      </w:r>
      <w:bookmarkEnd w:id="1"/>
      <w:r>
        <w:rPr>
          <w:rFonts w:ascii="Calibri" w:hAnsi="Calibri"/>
          <w:sz w:val="22"/>
        </w:rPr>
        <w:t xml:space="preserve"> alineatul (1),</w:t>
      </w:r>
      <w:bookmarkStart w:id="2" w:name="_Hlk96943118"/>
      <w:r>
        <w:rPr>
          <w:rFonts w:ascii="Calibri" w:hAnsi="Calibri"/>
          <w:sz w:val="22"/>
        </w:rPr>
        <w:t>termenul „Cep,nren” se înlocuiește cu „</w:t>
      </w:r>
      <w:r>
        <w:rPr>
          <w:rFonts w:ascii="Calibri" w:hAnsi="Calibri"/>
          <w:sz w:val="22"/>
          <w:vertAlign w:val="subscript"/>
        </w:rPr>
        <w:t>ep,nren</w:t>
      </w:r>
      <w:r>
        <w:rPr>
          <w:rFonts w:ascii="Calibri" w:hAnsi="Calibri"/>
          <w:sz w:val="22"/>
        </w:rPr>
        <w:t>”, iar termenul „Cep,nren,lim” se înlocuiește cu „C</w:t>
      </w:r>
      <w:r>
        <w:rPr>
          <w:rFonts w:ascii="Calibri" w:hAnsi="Calibri"/>
          <w:sz w:val="22"/>
          <w:vertAlign w:val="subscript"/>
        </w:rPr>
        <w:t>ep,nren,lim</w:t>
      </w:r>
      <w:r>
        <w:rPr>
          <w:rFonts w:ascii="Calibri" w:hAnsi="Calibri"/>
          <w:sz w:val="22"/>
        </w:rPr>
        <w:t>”.</w:t>
      </w:r>
      <w:bookmarkEnd w:id="2"/>
    </w:p>
    <w:p w14:paraId="1F114D51" w14:textId="77777777" w:rsidR="000760AB" w:rsidRPr="000760AB" w:rsidRDefault="000760AB" w:rsidP="000760AB">
      <w:pPr>
        <w:numPr>
          <w:ilvl w:val="0"/>
          <w:numId w:val="17"/>
        </w:numPr>
        <w:spacing w:before="200" w:after="100" w:line="259" w:lineRule="auto"/>
        <w:ind w:left="284" w:firstLine="0"/>
        <w:jc w:val="both"/>
        <w:rPr>
          <w:rFonts w:ascii="Calibri" w:eastAsia="Arial" w:hAnsi="Calibri" w:cs="Calibri"/>
          <w:kern w:val="2"/>
          <w:sz w:val="22"/>
          <w:szCs w:val="22"/>
        </w:rPr>
      </w:pPr>
      <w:r>
        <w:rPr>
          <w:rFonts w:ascii="Calibri" w:hAnsi="Calibri"/>
          <w:sz w:val="22"/>
        </w:rPr>
        <w:t>În secțiunea HE 0, articolul 3 Cuantificarea cerinței, articolul 3.1 Consumul de energie primară din surse neregenerabile, alineatul (2), termenul „Cep,nren,lim” se înlocuiește cu „C</w:t>
      </w:r>
      <w:r>
        <w:rPr>
          <w:rFonts w:ascii="Calibri" w:hAnsi="Calibri"/>
          <w:sz w:val="22"/>
          <w:vertAlign w:val="subscript"/>
        </w:rPr>
        <w:t>ep,nren,lim;</w:t>
      </w:r>
      <w:r>
        <w:rPr>
          <w:rFonts w:ascii="Calibri" w:hAnsi="Calibri"/>
          <w:sz w:val="22"/>
        </w:rPr>
        <w:t>”.</w:t>
      </w:r>
    </w:p>
    <w:p w14:paraId="75CFE807" w14:textId="616002F6" w:rsidR="000760AB" w:rsidRPr="000760AB" w:rsidRDefault="000760AB" w:rsidP="000760AB">
      <w:pPr>
        <w:numPr>
          <w:ilvl w:val="0"/>
          <w:numId w:val="17"/>
        </w:numPr>
        <w:spacing w:before="200" w:after="100" w:line="259" w:lineRule="auto"/>
        <w:ind w:left="284" w:firstLine="0"/>
        <w:jc w:val="both"/>
        <w:rPr>
          <w:rFonts w:ascii="Calibri" w:eastAsia="Arial" w:hAnsi="Calibri" w:cs="Calibri"/>
          <w:kern w:val="2"/>
          <w:sz w:val="22"/>
          <w:szCs w:val="22"/>
        </w:rPr>
      </w:pPr>
      <w:r>
        <w:rPr>
          <w:rFonts w:ascii="Calibri" w:hAnsi="Calibri"/>
          <w:sz w:val="22"/>
        </w:rPr>
        <w:t>În secțiunea HE 0, articolul 3 Cuantificarea cerinței, articolul 3.2. Consumul de energie primară totală, alineatul (1), termenul „Cep,tot” se înlocuiește cu „C</w:t>
      </w:r>
      <w:r>
        <w:rPr>
          <w:rFonts w:ascii="Calibri" w:hAnsi="Calibri"/>
          <w:sz w:val="22"/>
          <w:vertAlign w:val="subscript"/>
        </w:rPr>
        <w:t>ep,tot</w:t>
      </w:r>
      <w:r>
        <w:rPr>
          <w:rFonts w:ascii="Calibri" w:hAnsi="Calibri"/>
          <w:sz w:val="22"/>
        </w:rPr>
        <w:t>”.</w:t>
      </w:r>
    </w:p>
    <w:p w14:paraId="440538F2" w14:textId="77777777" w:rsidR="000760AB" w:rsidRPr="000760AB" w:rsidRDefault="000760AB" w:rsidP="000760AB">
      <w:pPr>
        <w:numPr>
          <w:ilvl w:val="0"/>
          <w:numId w:val="17"/>
        </w:numPr>
        <w:spacing w:before="200" w:after="100" w:line="259" w:lineRule="auto"/>
        <w:ind w:left="284" w:firstLine="0"/>
        <w:jc w:val="both"/>
        <w:rPr>
          <w:rFonts w:ascii="Calibri" w:eastAsia="Arial" w:hAnsi="Calibri" w:cs="Calibri"/>
          <w:kern w:val="2"/>
          <w:sz w:val="22"/>
          <w:szCs w:val="22"/>
        </w:rPr>
      </w:pPr>
      <w:r>
        <w:rPr>
          <w:rFonts w:ascii="Calibri" w:hAnsi="Calibri"/>
          <w:sz w:val="22"/>
        </w:rPr>
        <w:t>În secțiunea HE 0, articolul 3 Cuantificarea cerinței, articolul 3.2 Consumul de energie primară totală, alineatul (2), termenul „Cep,tot,lim” se înlocuiește cu „C</w:t>
      </w:r>
      <w:r>
        <w:rPr>
          <w:rFonts w:ascii="Calibri" w:hAnsi="Calibri"/>
          <w:sz w:val="22"/>
          <w:vertAlign w:val="subscript"/>
        </w:rPr>
        <w:t>ep,tot,lim</w:t>
      </w:r>
      <w:r>
        <w:rPr>
          <w:rFonts w:ascii="Calibri" w:hAnsi="Calibri"/>
          <w:sz w:val="22"/>
        </w:rPr>
        <w:t>”.</w:t>
      </w:r>
    </w:p>
    <w:p w14:paraId="1766850B" w14:textId="77777777" w:rsidR="000760AB" w:rsidRPr="000760AB" w:rsidRDefault="000760AB" w:rsidP="000760AB">
      <w:pPr>
        <w:numPr>
          <w:ilvl w:val="0"/>
          <w:numId w:val="17"/>
        </w:numPr>
        <w:spacing w:before="200" w:after="100" w:line="259" w:lineRule="auto"/>
        <w:ind w:left="284" w:firstLine="0"/>
        <w:jc w:val="both"/>
        <w:rPr>
          <w:rFonts w:ascii="Calibri" w:eastAsia="Arial" w:hAnsi="Calibri" w:cs="Calibri"/>
          <w:kern w:val="2"/>
          <w:sz w:val="22"/>
          <w:szCs w:val="22"/>
        </w:rPr>
      </w:pPr>
      <w:r>
        <w:rPr>
          <w:rFonts w:ascii="Calibri" w:hAnsi="Calibri"/>
          <w:sz w:val="22"/>
        </w:rPr>
        <w:t xml:space="preserve">În secțiunea HE 0, articolul 3 Cuantificarea cerinței, termenul </w:t>
      </w:r>
      <w:r>
        <w:rPr>
          <w:rFonts w:ascii="Calibri" w:hAnsi="Calibri"/>
          <w:i/>
          <w:sz w:val="22"/>
        </w:rPr>
        <w:t>utilizare rezidențială privată</w:t>
      </w:r>
      <w:r>
        <w:rPr>
          <w:rFonts w:ascii="Calibri" w:hAnsi="Calibri"/>
          <w:sz w:val="22"/>
        </w:rPr>
        <w:t xml:space="preserve"> ar trebui să fie redactat cu caractere cursive.</w:t>
      </w:r>
    </w:p>
    <w:p w14:paraId="530AA467" w14:textId="77777777" w:rsidR="000760AB" w:rsidRPr="000760AB" w:rsidRDefault="000760AB" w:rsidP="000760AB">
      <w:pPr>
        <w:numPr>
          <w:ilvl w:val="0"/>
          <w:numId w:val="17"/>
        </w:numPr>
        <w:spacing w:before="200" w:after="100" w:line="259" w:lineRule="auto"/>
        <w:ind w:left="284" w:firstLine="0"/>
        <w:jc w:val="both"/>
        <w:rPr>
          <w:rFonts w:ascii="Calibri" w:eastAsia="Arial" w:hAnsi="Calibri" w:cs="Calibri"/>
          <w:kern w:val="2"/>
          <w:sz w:val="22"/>
          <w:szCs w:val="22"/>
        </w:rPr>
      </w:pPr>
      <w:r>
        <w:rPr>
          <w:rFonts w:ascii="Calibri" w:hAnsi="Calibri"/>
          <w:sz w:val="22"/>
        </w:rPr>
        <w:t>În secțiunea HE 0, la articolul 4.1 „Procedura de calcul”, la alineatul (9), cuvintele „document recunoscut” se înlocuiesc cu „Document de certificare energetică recunoscută pentru clădiri”.</w:t>
      </w:r>
    </w:p>
    <w:p w14:paraId="5A51E01A" w14:textId="77777777" w:rsidR="000760AB" w:rsidRPr="000760AB" w:rsidRDefault="000760AB" w:rsidP="000760AB">
      <w:pPr>
        <w:numPr>
          <w:ilvl w:val="0"/>
          <w:numId w:val="17"/>
        </w:numPr>
        <w:spacing w:after="160" w:line="259" w:lineRule="auto"/>
        <w:ind w:left="284" w:hanging="11"/>
        <w:jc w:val="both"/>
        <w:rPr>
          <w:rFonts w:ascii="Calibri" w:eastAsia="Calibri" w:hAnsi="Calibri" w:cs="Calibri"/>
          <w:sz w:val="22"/>
          <w:szCs w:val="22"/>
        </w:rPr>
      </w:pPr>
      <w:r>
        <w:rPr>
          <w:rFonts w:ascii="Calibri" w:hAnsi="Calibri"/>
          <w:sz w:val="22"/>
        </w:rPr>
        <w:t>În secțiunea HE 0, la articolul 4.1 „Procedura de calcul”, alineatul (9) devine alineatul (11) și se adaugă următoarele alineate:</w:t>
      </w:r>
    </w:p>
    <w:p w14:paraId="120F39BD" w14:textId="77777777" w:rsidR="000760AB" w:rsidRPr="000760AB" w:rsidRDefault="000760AB" w:rsidP="000760AB">
      <w:pPr>
        <w:spacing w:after="160" w:line="259" w:lineRule="auto"/>
        <w:ind w:left="284"/>
        <w:contextualSpacing/>
        <w:jc w:val="both"/>
        <w:rPr>
          <w:rFonts w:ascii="Calibri" w:eastAsia="Calibri" w:hAnsi="Calibri" w:cs="Calibri"/>
          <w:sz w:val="22"/>
          <w:szCs w:val="22"/>
        </w:rPr>
      </w:pPr>
      <w:r>
        <w:rPr>
          <w:rFonts w:ascii="Calibri" w:hAnsi="Calibri"/>
          <w:sz w:val="22"/>
        </w:rPr>
        <w:t>„(9)</w:t>
      </w:r>
      <w:r>
        <w:rPr>
          <w:rFonts w:ascii="Calibri" w:hAnsi="Calibri"/>
          <w:sz w:val="22"/>
        </w:rPr>
        <w:tab/>
        <w:t xml:space="preserve">Calculul bilanțului energetic necesar pentru verificarea cerințelor prezentei BD se efectuează în conformitate cu standardul UNE-EN ISO 52000-1:2019: </w:t>
      </w:r>
      <w:r>
        <w:rPr>
          <w:rFonts w:ascii="Calibri" w:hAnsi="Calibri"/>
          <w:i/>
          <w:sz w:val="22"/>
        </w:rPr>
        <w:t>Evaluarea globală a performanței energetice a clădirilor. Partea 1: cadrul general și procedurile</w:t>
      </w:r>
      <w:r>
        <w:rPr>
          <w:rFonts w:ascii="Calibri" w:hAnsi="Calibri"/>
          <w:sz w:val="22"/>
        </w:rPr>
        <w:t>, utilizând un factor de export K</w:t>
      </w:r>
      <w:r>
        <w:rPr>
          <w:rFonts w:ascii="Calibri" w:hAnsi="Calibri"/>
          <w:sz w:val="22"/>
          <w:vertAlign w:val="subscript"/>
        </w:rPr>
        <w:t>exp</w:t>
      </w:r>
      <w:r>
        <w:rPr>
          <w:rFonts w:ascii="Calibri" w:hAnsi="Calibri"/>
          <w:sz w:val="22"/>
        </w:rPr>
        <w:t xml:space="preserve"> = 0.”</w:t>
      </w:r>
    </w:p>
    <w:p w14:paraId="6D26B789" w14:textId="3B1081FB"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„(10)</w:t>
      </w:r>
      <w:r>
        <w:rPr>
          <w:rFonts w:ascii="Calibri" w:hAnsi="Calibri"/>
          <w:sz w:val="22"/>
        </w:rPr>
        <w:tab/>
        <w:t>În scopul repartizării diferitelor servicii, distribuția energiei electrice produse la fața locului, în fiecare interval de timp, se calculează proporțional cu consumul de energie electrică al consumului în cauză (încălzire, răcire, ventilație, ACS și în uz terțiar, în plus, iluminat).”</w:t>
      </w:r>
    </w:p>
    <w:p w14:paraId="015C0599" w14:textId="77777777" w:rsidR="000760AB" w:rsidRPr="000760AB" w:rsidRDefault="000760AB" w:rsidP="000760AB">
      <w:pPr>
        <w:numPr>
          <w:ilvl w:val="0"/>
          <w:numId w:val="17"/>
        </w:numPr>
        <w:spacing w:before="200" w:after="100" w:line="259" w:lineRule="auto"/>
        <w:ind w:left="284" w:firstLine="0"/>
        <w:jc w:val="both"/>
        <w:rPr>
          <w:rFonts w:ascii="Calibri" w:eastAsia="Arial" w:hAnsi="Calibri" w:cs="Calibri"/>
          <w:kern w:val="2"/>
          <w:sz w:val="22"/>
          <w:szCs w:val="22"/>
        </w:rPr>
      </w:pPr>
      <w:r>
        <w:rPr>
          <w:rFonts w:ascii="Calibri" w:hAnsi="Calibri"/>
          <w:sz w:val="22"/>
        </w:rPr>
        <w:t>În secțiunea HE 0, articolul 4.3 Cereri interne și condiții operaționale, alineatul (2), termenul „utilizare rezidențială privată” ar trebui să fie redactat cu caractere cursive.</w:t>
      </w:r>
    </w:p>
    <w:p w14:paraId="424F77C1" w14:textId="77777777" w:rsidR="000760AB" w:rsidRPr="000760AB" w:rsidRDefault="000760AB" w:rsidP="000760AB">
      <w:pPr>
        <w:spacing w:before="200" w:after="100"/>
        <w:ind w:left="284"/>
        <w:jc w:val="both"/>
        <w:rPr>
          <w:rFonts w:ascii="Calibri" w:eastAsia="Arial" w:hAnsi="Calibri" w:cs="Calibri"/>
          <w:kern w:val="2"/>
          <w:sz w:val="22"/>
          <w:szCs w:val="22"/>
        </w:rPr>
      </w:pPr>
      <w:r>
        <w:rPr>
          <w:rFonts w:ascii="Calibri" w:hAnsi="Calibri"/>
          <w:sz w:val="22"/>
        </w:rPr>
        <w:lastRenderedPageBreak/>
        <w:t>(ñ) În secțiunea HE 0, articolul 4.5 Sisteme de referință pentru uz rezidențial privat, termenul „utilizare rezidențială privată” ar trebui să fie redactat cu litere cursive atât în titlu, cât și la alineatul (1).</w:t>
      </w:r>
    </w:p>
    <w:p w14:paraId="7DB1F14A" w14:textId="77777777" w:rsidR="000760AB" w:rsidRPr="000760AB" w:rsidRDefault="000760AB" w:rsidP="000760AB">
      <w:pPr>
        <w:numPr>
          <w:ilvl w:val="0"/>
          <w:numId w:val="17"/>
        </w:numPr>
        <w:spacing w:after="160" w:line="259" w:lineRule="auto"/>
        <w:ind w:left="284" w:firstLine="0"/>
        <w:jc w:val="both"/>
        <w:rPr>
          <w:rFonts w:ascii="Calibri" w:eastAsia="Arial" w:hAnsi="Calibri" w:cs="Calibri"/>
          <w:kern w:val="2"/>
          <w:sz w:val="22"/>
          <w:szCs w:val="22"/>
        </w:rPr>
      </w:pPr>
      <w:r>
        <w:rPr>
          <w:rFonts w:ascii="Calibri" w:hAnsi="Calibri"/>
          <w:sz w:val="22"/>
        </w:rPr>
        <w:t xml:space="preserve">În secțiunea HE 1, articolul 3 Cuantificarea cerinței, articolul 3.1.1. Transmitanța </w:t>
      </w:r>
      <w:r>
        <w:rPr>
          <w:rFonts w:ascii="Calibri" w:hAnsi="Calibri"/>
          <w:i/>
          <w:sz w:val="22"/>
        </w:rPr>
        <w:t>anvelopei termice</w:t>
      </w:r>
      <w:r>
        <w:rPr>
          <w:rFonts w:ascii="Calibri" w:hAnsi="Calibri"/>
          <w:sz w:val="22"/>
        </w:rPr>
        <w:t>, termenul „densitate” din tabelele 3.1.1.b-HE1 și tabelele 3.1.1.c-HE1 ar trebui să fie redactat cu caractere cursive.</w:t>
      </w:r>
    </w:p>
    <w:p w14:paraId="2E82A8CF" w14:textId="77777777" w:rsidR="000760AB" w:rsidRPr="000760AB" w:rsidRDefault="000760AB" w:rsidP="000760AB">
      <w:pPr>
        <w:numPr>
          <w:ilvl w:val="0"/>
          <w:numId w:val="17"/>
        </w:numPr>
        <w:spacing w:after="160" w:line="259" w:lineRule="auto"/>
        <w:ind w:left="284" w:firstLine="0"/>
        <w:jc w:val="both"/>
        <w:rPr>
          <w:rFonts w:ascii="Calibri" w:eastAsia="Arial" w:hAnsi="Calibri" w:cs="Calibri"/>
          <w:kern w:val="2"/>
          <w:sz w:val="22"/>
          <w:szCs w:val="22"/>
        </w:rPr>
      </w:pPr>
      <w:r>
        <w:rPr>
          <w:rFonts w:ascii="Calibri" w:hAnsi="Calibri"/>
          <w:sz w:val="22"/>
        </w:rPr>
        <w:t xml:space="preserve">În secțiunea HE 1, articolul 3 Cuantificarea cerinței, articolul 3.1.1. Transmitanța </w:t>
      </w:r>
      <w:r>
        <w:rPr>
          <w:rFonts w:ascii="Calibri" w:hAnsi="Calibri"/>
          <w:i/>
          <w:sz w:val="22"/>
        </w:rPr>
        <w:t>anvelopei termice</w:t>
      </w:r>
      <w:r>
        <w:rPr>
          <w:rFonts w:ascii="Calibri" w:hAnsi="Calibri"/>
          <w:sz w:val="22"/>
        </w:rPr>
        <w:t>, termenul „densitate” din notele de subsol ale tabelelor 3.1.1.b-HE1 și tabelele 3.1.1.c-HE1, precum și termenul „densitate” din nota de subsol din tabelul 3.1.1.c-HE1 ar trebui să fie redactate cu caractere cursive.</w:t>
      </w:r>
    </w:p>
    <w:p w14:paraId="6592C9AA" w14:textId="77777777" w:rsidR="000760AB" w:rsidRPr="000760AB" w:rsidRDefault="000760AB" w:rsidP="000760AB">
      <w:pPr>
        <w:numPr>
          <w:ilvl w:val="0"/>
          <w:numId w:val="17"/>
        </w:numPr>
        <w:spacing w:after="160" w:line="259" w:lineRule="auto"/>
        <w:ind w:left="284" w:firstLine="0"/>
        <w:jc w:val="both"/>
        <w:rPr>
          <w:rFonts w:ascii="Calibri" w:eastAsia="Arial" w:hAnsi="Calibri" w:cs="Calibri"/>
          <w:kern w:val="2"/>
          <w:sz w:val="22"/>
          <w:szCs w:val="22"/>
        </w:rPr>
      </w:pPr>
      <w:r>
        <w:rPr>
          <w:rFonts w:ascii="Calibri" w:hAnsi="Calibri"/>
          <w:sz w:val="22"/>
        </w:rPr>
        <w:t xml:space="preserve">În secțiunea HE 1, articolul 3 Cuantificarea cerinței, articolul 3.1.1. Transmitanța </w:t>
      </w:r>
      <w:r>
        <w:rPr>
          <w:rFonts w:ascii="Calibri" w:hAnsi="Calibri"/>
          <w:i/>
          <w:sz w:val="22"/>
        </w:rPr>
        <w:t>anvelopei termice</w:t>
      </w:r>
      <w:r>
        <w:rPr>
          <w:rFonts w:ascii="Calibri" w:hAnsi="Calibri"/>
          <w:sz w:val="22"/>
        </w:rPr>
        <w:t>, articolul 3, termenul „utilizare rezidențială privată” ar trebui să fie redactat cu caractere cursive atât la alineatul (3), cât și în tabelul 3.1.1.b-HE1.</w:t>
      </w:r>
    </w:p>
    <w:p w14:paraId="4B4F6F00" w14:textId="77777777" w:rsidR="000760AB" w:rsidRPr="000760AB" w:rsidRDefault="000760AB" w:rsidP="000760AB">
      <w:pPr>
        <w:numPr>
          <w:ilvl w:val="0"/>
          <w:numId w:val="17"/>
        </w:numPr>
        <w:spacing w:after="160" w:line="259" w:lineRule="auto"/>
        <w:ind w:left="284" w:firstLine="0"/>
        <w:jc w:val="both"/>
        <w:rPr>
          <w:rFonts w:ascii="Calibri" w:eastAsia="Arial" w:hAnsi="Calibri" w:cs="Calibri"/>
          <w:kern w:val="2"/>
          <w:sz w:val="22"/>
          <w:szCs w:val="22"/>
        </w:rPr>
      </w:pPr>
      <w:r>
        <w:rPr>
          <w:rFonts w:ascii="Calibri" w:hAnsi="Calibri"/>
          <w:sz w:val="22"/>
        </w:rPr>
        <w:t xml:space="preserve">În secțiunea HE 1, articolul 3 Cuantificarea cerinței, articolul 3.1.1. Transmitanța </w:t>
      </w:r>
      <w:r>
        <w:rPr>
          <w:rFonts w:ascii="Calibri" w:hAnsi="Calibri"/>
          <w:i/>
          <w:sz w:val="22"/>
        </w:rPr>
        <w:t>anvelopei termice</w:t>
      </w:r>
      <w:r>
        <w:rPr>
          <w:rFonts w:ascii="Calibri" w:hAnsi="Calibri"/>
          <w:sz w:val="22"/>
        </w:rPr>
        <w:t>, termenul „anvelopă termică” din tabelele 3.1.1.b-HE1 și 3.1.1.c-HE1 ar trebui să fie redactat cu caractere cursive.</w:t>
      </w:r>
    </w:p>
    <w:p w14:paraId="41623096" w14:textId="77777777" w:rsidR="000760AB" w:rsidRPr="000760AB" w:rsidRDefault="000760AB" w:rsidP="000760AB">
      <w:pPr>
        <w:numPr>
          <w:ilvl w:val="0"/>
          <w:numId w:val="17"/>
        </w:numPr>
        <w:spacing w:after="160" w:line="259" w:lineRule="auto"/>
        <w:ind w:left="284" w:firstLine="0"/>
        <w:jc w:val="both"/>
        <w:rPr>
          <w:rFonts w:ascii="Calibri" w:eastAsia="Calibri" w:hAnsi="Calibri" w:cs="Calibri"/>
          <w:sz w:val="22"/>
          <w:szCs w:val="22"/>
        </w:rPr>
      </w:pPr>
      <w:r>
        <w:rPr>
          <w:rFonts w:ascii="Calibri" w:hAnsi="Calibri"/>
          <w:sz w:val="22"/>
        </w:rPr>
        <w:t>În secțiunea HE 1, articolul 3 Cuantificarea cerinței, articolul 3.1.1 „Transmitanța anvelopei termice”, se adaugă următorul punct:</w:t>
      </w:r>
    </w:p>
    <w:p w14:paraId="6EEEBF4F"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„6. Alternativ, clădirile sau, în cazul intervențiilor parțiale asupra clădirilor existente, părțile clădirilor pe care se efectuează intervenții, ale căror cerințe de încălzire și răcire sunt mai mici, în ambele cazuri, de 15 kWh/m</w:t>
      </w:r>
      <w:r>
        <w:rPr>
          <w:rFonts w:ascii="Calibri" w:hAnsi="Calibri"/>
          <w:sz w:val="22"/>
          <w:vertAlign w:val="superscript"/>
        </w:rPr>
        <w:t>2</w:t>
      </w:r>
      <w:r>
        <w:rPr>
          <w:rFonts w:ascii="Calibri" w:hAnsi="Calibri"/>
          <w:sz w:val="22"/>
        </w:rPr>
        <w:t xml:space="preserve"> pot fi excluse de la respectarea </w:t>
      </w:r>
      <w:r>
        <w:rPr>
          <w:rFonts w:ascii="Calibri" w:hAnsi="Calibri"/>
          <w:i/>
          <w:sz w:val="22"/>
        </w:rPr>
        <w:t>coeficientului global de transfer de căldură prin anvelopa termică</w:t>
      </w:r>
      <w:r>
        <w:rPr>
          <w:rFonts w:ascii="Calibri" w:hAnsi="Calibri"/>
          <w:sz w:val="22"/>
        </w:rPr>
        <w:t xml:space="preserve"> (K).”</w:t>
      </w:r>
    </w:p>
    <w:p w14:paraId="582E2B37" w14:textId="77777777" w:rsidR="000760AB" w:rsidRPr="000760AB" w:rsidRDefault="000760AB" w:rsidP="000760AB">
      <w:pPr>
        <w:numPr>
          <w:ilvl w:val="0"/>
          <w:numId w:val="17"/>
        </w:numPr>
        <w:spacing w:after="160" w:line="259" w:lineRule="auto"/>
        <w:ind w:left="284" w:firstLine="0"/>
        <w:jc w:val="both"/>
        <w:rPr>
          <w:rFonts w:ascii="Calibri" w:eastAsia="Arial" w:hAnsi="Calibri" w:cs="Calibri"/>
          <w:kern w:val="2"/>
          <w:sz w:val="22"/>
          <w:szCs w:val="22"/>
        </w:rPr>
      </w:pPr>
      <w:r>
        <w:rPr>
          <w:rFonts w:ascii="Calibri" w:hAnsi="Calibri"/>
          <w:sz w:val="22"/>
        </w:rPr>
        <w:t>În secțiunea HE 1, articolul 3, Cuantificarea cerinței, articolul 3.1.2 Controlul solar al anvelopei termice, textul: „Tabelul 3.1.2-HE1 Valoarea-limită a parametrului de control solar qsol;jul,lim [kWh/m</w:t>
      </w:r>
      <w:r>
        <w:rPr>
          <w:rFonts w:ascii="Calibri" w:hAnsi="Calibri"/>
          <w:sz w:val="22"/>
          <w:vertAlign w:val="superscript"/>
        </w:rPr>
        <w:t>2</w:t>
      </w:r>
      <w:r>
        <w:rPr>
          <w:rFonts w:ascii="Calibri" w:hAnsi="Calibri"/>
          <w:sz w:val="22"/>
        </w:rPr>
        <w:t>mes]” se înlocuiește cu: „Tabelul 3.1.2-HE1 Valoarea-limită a parametrului de control solar q</w:t>
      </w:r>
      <w:r>
        <w:rPr>
          <w:rFonts w:ascii="Calibri" w:hAnsi="Calibri"/>
          <w:sz w:val="22"/>
          <w:vertAlign w:val="subscript"/>
        </w:rPr>
        <w:t>sol;jul,lim</w:t>
      </w:r>
      <w:r>
        <w:rPr>
          <w:rFonts w:ascii="Calibri" w:hAnsi="Calibri"/>
          <w:sz w:val="22"/>
        </w:rPr>
        <w:t xml:space="preserve"> [kWh/m</w:t>
      </w:r>
      <w:r>
        <w:rPr>
          <w:rFonts w:ascii="Calibri" w:hAnsi="Calibri"/>
          <w:sz w:val="22"/>
          <w:vertAlign w:val="superscript"/>
        </w:rPr>
        <w:t>2</w:t>
      </w:r>
      <w:r>
        <w:rPr>
          <w:rFonts w:ascii="Calibri" w:hAnsi="Calibri"/>
          <w:sz w:val="22"/>
        </w:rPr>
        <w:t>·mes]”.</w:t>
      </w:r>
    </w:p>
    <w:p w14:paraId="7E3CBE02" w14:textId="77777777" w:rsidR="000760AB" w:rsidRPr="000760AB" w:rsidRDefault="000760AB" w:rsidP="000760AB">
      <w:pPr>
        <w:numPr>
          <w:ilvl w:val="0"/>
          <w:numId w:val="17"/>
        </w:numPr>
        <w:spacing w:after="160" w:line="259" w:lineRule="auto"/>
        <w:ind w:left="284" w:firstLine="0"/>
        <w:jc w:val="both"/>
        <w:rPr>
          <w:rFonts w:ascii="Calibri" w:eastAsia="Arial" w:hAnsi="Calibri" w:cs="Calibri"/>
          <w:kern w:val="2"/>
          <w:sz w:val="22"/>
          <w:szCs w:val="22"/>
        </w:rPr>
      </w:pPr>
      <w:r>
        <w:rPr>
          <w:rFonts w:ascii="Calibri" w:hAnsi="Calibri"/>
          <w:sz w:val="22"/>
        </w:rPr>
        <w:t>În secțiunea HE 1, articolul 3 Cuantificarea cerinței, articolul 3.1.3 Permeabilitatea la aer a anvelopei termice, termenul „anvelopă termică” trebuie să fie redactat cu caractere cursive atât în titlul secțiunii, cât și în titlul tabelului 3.1.3.a-HE1.</w:t>
      </w:r>
    </w:p>
    <w:p w14:paraId="7B525B8B" w14:textId="77777777" w:rsidR="000760AB" w:rsidRPr="000760AB" w:rsidRDefault="000760AB" w:rsidP="000760AB">
      <w:pPr>
        <w:numPr>
          <w:ilvl w:val="0"/>
          <w:numId w:val="17"/>
        </w:numPr>
        <w:spacing w:after="160" w:line="259" w:lineRule="auto"/>
        <w:ind w:left="284" w:firstLine="0"/>
        <w:contextualSpacing/>
        <w:jc w:val="both"/>
        <w:rPr>
          <w:rFonts w:ascii="Calibri" w:eastAsia="Calibri" w:hAnsi="Calibri" w:cs="Calibri"/>
          <w:sz w:val="22"/>
          <w:szCs w:val="22"/>
        </w:rPr>
      </w:pPr>
      <w:r>
        <w:rPr>
          <w:rFonts w:ascii="Calibri" w:hAnsi="Calibri"/>
          <w:sz w:val="22"/>
        </w:rPr>
        <w:t xml:space="preserve">În secțiunea HE 1, articolul 3 Cuantificarea cerinței, articolul 3.1.3 „Permeabilitatea la aer a </w:t>
      </w:r>
      <w:r>
        <w:rPr>
          <w:rFonts w:ascii="Calibri" w:hAnsi="Calibri"/>
          <w:i/>
          <w:sz w:val="22"/>
        </w:rPr>
        <w:t>anvelopei termice</w:t>
      </w:r>
      <w:r>
        <w:rPr>
          <w:rFonts w:ascii="Calibri" w:hAnsi="Calibri"/>
          <w:sz w:val="22"/>
        </w:rPr>
        <w:t>”, se adaugă următorul alineat (3) nou:</w:t>
      </w:r>
    </w:p>
    <w:p w14:paraId="218ED76A" w14:textId="77777777" w:rsidR="000760AB" w:rsidRPr="000760AB" w:rsidRDefault="000760AB" w:rsidP="000760AB">
      <w:pPr>
        <w:spacing w:after="160" w:line="259" w:lineRule="auto"/>
        <w:ind w:left="284"/>
        <w:contextualSpacing/>
        <w:jc w:val="both"/>
        <w:rPr>
          <w:rFonts w:ascii="Calibri" w:eastAsia="Calibri" w:hAnsi="Calibri" w:cs="Calibri"/>
          <w:sz w:val="22"/>
          <w:szCs w:val="22"/>
          <w:lang w:eastAsia="en-US"/>
        </w:rPr>
      </w:pPr>
    </w:p>
    <w:p w14:paraId="7FEAB0FB" w14:textId="77777777" w:rsidR="000760AB" w:rsidRPr="000760AB" w:rsidRDefault="000760AB" w:rsidP="000760AB">
      <w:pPr>
        <w:spacing w:after="160" w:line="259" w:lineRule="auto"/>
        <w:ind w:left="284"/>
        <w:contextualSpacing/>
        <w:jc w:val="both"/>
        <w:rPr>
          <w:rFonts w:ascii="Calibri" w:eastAsia="Calibri" w:hAnsi="Calibri" w:cs="Calibri"/>
          <w:sz w:val="22"/>
          <w:szCs w:val="22"/>
        </w:rPr>
      </w:pPr>
      <w:r>
        <w:rPr>
          <w:rFonts w:ascii="Calibri" w:hAnsi="Calibri"/>
          <w:sz w:val="22"/>
        </w:rPr>
        <w:t xml:space="preserve">„(3) În cazul modificărilor, tabelul 3.1.3.a-HE1 de mai sus se aplică numai acelor elemente ale </w:t>
      </w:r>
      <w:r>
        <w:rPr>
          <w:rFonts w:ascii="Calibri" w:hAnsi="Calibri"/>
          <w:i/>
          <w:sz w:val="22"/>
        </w:rPr>
        <w:t>anvelopei termice</w:t>
      </w:r>
      <w:r>
        <w:rPr>
          <w:rFonts w:ascii="Calibri" w:hAnsi="Calibri"/>
          <w:sz w:val="22"/>
        </w:rPr>
        <w:t xml:space="preserve"> care sunt înlocuite, încorporate sau modificate substanțial;”</w:t>
      </w:r>
    </w:p>
    <w:p w14:paraId="69948537" w14:textId="77777777" w:rsidR="000760AB" w:rsidRPr="000760AB" w:rsidRDefault="000760AB" w:rsidP="000760AB">
      <w:pPr>
        <w:spacing w:after="160" w:line="259" w:lineRule="auto"/>
        <w:ind w:left="567"/>
        <w:contextualSpacing/>
        <w:jc w:val="both"/>
        <w:rPr>
          <w:rFonts w:ascii="Calibri" w:eastAsia="Calibri" w:hAnsi="Calibri" w:cs="Calibri"/>
          <w:sz w:val="22"/>
          <w:szCs w:val="22"/>
          <w:lang w:eastAsia="en-US"/>
        </w:rPr>
      </w:pPr>
    </w:p>
    <w:p w14:paraId="01C78EE3"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Numerotarea alineatelor (3) și (4) actuale din articolul 3.1.3 „Permeabilitatea la aer a anvelopei termice” se înlocuiește cu (4) și, respectiv, (5).</w:t>
      </w:r>
    </w:p>
    <w:p w14:paraId="5FC15043" w14:textId="77777777" w:rsidR="000760AB" w:rsidRPr="000760AB" w:rsidRDefault="000760AB" w:rsidP="000760AB">
      <w:pPr>
        <w:numPr>
          <w:ilvl w:val="0"/>
          <w:numId w:val="17"/>
        </w:numPr>
        <w:spacing w:after="160" w:line="259" w:lineRule="auto"/>
        <w:ind w:left="284" w:firstLine="0"/>
        <w:jc w:val="both"/>
        <w:rPr>
          <w:rFonts w:ascii="Calibri" w:eastAsia="Arial" w:hAnsi="Calibri" w:cs="Calibri"/>
          <w:kern w:val="2"/>
          <w:sz w:val="22"/>
          <w:szCs w:val="22"/>
        </w:rPr>
      </w:pPr>
      <w:r>
        <w:rPr>
          <w:rFonts w:ascii="Calibri" w:hAnsi="Calibri"/>
          <w:sz w:val="22"/>
        </w:rPr>
        <w:t xml:space="preserve">În secțiunea HE 1, articolul 3 Cuantificarea cerinței, articolul 3.1.3 Permeabilitatea la aer a </w:t>
      </w:r>
      <w:r>
        <w:rPr>
          <w:rFonts w:ascii="Calibri" w:hAnsi="Calibri"/>
          <w:i/>
          <w:sz w:val="22"/>
        </w:rPr>
        <w:t>anvelopei termice</w:t>
      </w:r>
      <w:r>
        <w:rPr>
          <w:rFonts w:ascii="Calibri" w:hAnsi="Calibri"/>
          <w:sz w:val="22"/>
        </w:rPr>
        <w:t>, termenul „densitate” din tabelul 3.1.3.b-HE1, termenul „densitate” din tabelul 3.1.3.b-HE1 și termenul „utilizare rezidențială privată” de la alineatul (3) ar trebui să fie redactați cu caractere cursive.</w:t>
      </w:r>
    </w:p>
    <w:p w14:paraId="16310438" w14:textId="77777777" w:rsidR="000760AB" w:rsidRPr="000760AB" w:rsidRDefault="000760AB" w:rsidP="000760AB">
      <w:pPr>
        <w:numPr>
          <w:ilvl w:val="0"/>
          <w:numId w:val="17"/>
        </w:numPr>
        <w:spacing w:after="160" w:line="259" w:lineRule="auto"/>
        <w:ind w:left="284" w:firstLine="0"/>
        <w:jc w:val="both"/>
        <w:rPr>
          <w:rFonts w:ascii="Calibri" w:eastAsia="Arial" w:hAnsi="Calibri" w:cs="Calibri"/>
          <w:kern w:val="2"/>
          <w:sz w:val="22"/>
          <w:szCs w:val="22"/>
        </w:rPr>
      </w:pPr>
      <w:r>
        <w:rPr>
          <w:rFonts w:ascii="Calibri" w:hAnsi="Calibri"/>
          <w:sz w:val="22"/>
        </w:rPr>
        <w:t xml:space="preserve">În secțiunea HE 1, articolul 3 Cuantificarea cerinței, articolul 3.1.3 Permeabilitatea la aer a </w:t>
      </w:r>
      <w:r>
        <w:rPr>
          <w:rFonts w:ascii="Calibri" w:hAnsi="Calibri"/>
          <w:i/>
          <w:sz w:val="22"/>
        </w:rPr>
        <w:t>anvelopei termice,</w:t>
      </w:r>
      <w:r>
        <w:rPr>
          <w:rFonts w:ascii="Calibri" w:hAnsi="Calibri"/>
          <w:sz w:val="22"/>
        </w:rPr>
        <w:t xml:space="preserve"> tabelul 3.1.3.b-HE1, fiecare ocurență a „m</w:t>
      </w:r>
      <w:r>
        <w:rPr>
          <w:rFonts w:ascii="Calibri" w:hAnsi="Calibri"/>
          <w:sz w:val="22"/>
          <w:vertAlign w:val="superscript"/>
        </w:rPr>
        <w:t>3</w:t>
      </w:r>
      <w:r>
        <w:rPr>
          <w:rFonts w:ascii="Calibri" w:hAnsi="Calibri"/>
          <w:sz w:val="22"/>
        </w:rPr>
        <w:t>/m2” se înlocuiește cu „m</w:t>
      </w:r>
      <w:r>
        <w:rPr>
          <w:rFonts w:ascii="Calibri" w:hAnsi="Calibri"/>
          <w:sz w:val="22"/>
          <w:vertAlign w:val="superscript"/>
        </w:rPr>
        <w:t>3</w:t>
      </w:r>
      <w:r>
        <w:rPr>
          <w:rFonts w:ascii="Calibri" w:hAnsi="Calibri"/>
          <w:sz w:val="22"/>
        </w:rPr>
        <w:t>/m</w:t>
      </w:r>
      <w:r>
        <w:rPr>
          <w:rFonts w:ascii="Calibri" w:hAnsi="Calibri"/>
          <w:sz w:val="22"/>
          <w:vertAlign w:val="superscript"/>
        </w:rPr>
        <w:t>2</w:t>
      </w:r>
      <w:r>
        <w:rPr>
          <w:rFonts w:ascii="Calibri" w:hAnsi="Calibri"/>
          <w:sz w:val="22"/>
        </w:rPr>
        <w:t xml:space="preserve">” cu 2 ca scriere la exponent. </w:t>
      </w:r>
    </w:p>
    <w:p w14:paraId="717B95B5" w14:textId="77777777" w:rsidR="000760AB" w:rsidRPr="000760AB" w:rsidRDefault="000760AB" w:rsidP="000760AB">
      <w:pPr>
        <w:numPr>
          <w:ilvl w:val="0"/>
          <w:numId w:val="17"/>
        </w:numPr>
        <w:spacing w:after="160" w:line="259" w:lineRule="auto"/>
        <w:ind w:left="284" w:firstLine="0"/>
        <w:jc w:val="both"/>
        <w:rPr>
          <w:rFonts w:ascii="Calibri" w:eastAsia="Arial" w:hAnsi="Calibri" w:cs="Calibri"/>
          <w:kern w:val="2"/>
          <w:sz w:val="22"/>
          <w:szCs w:val="22"/>
        </w:rPr>
      </w:pPr>
      <w:r>
        <w:rPr>
          <w:rFonts w:ascii="Calibri" w:hAnsi="Calibri"/>
          <w:sz w:val="22"/>
        </w:rPr>
        <w:t>În secțiunea HE 1, articolul 4 Justificarea cerinței, termenul „densitate” de la articolul 4.1.b) și termenul „utilizare rezidențială privată” de la articolul 4.1.g) ar trebui să fie redactați cu caractere cursive.</w:t>
      </w:r>
    </w:p>
    <w:p w14:paraId="2D2B37E4" w14:textId="77777777" w:rsidR="000760AB" w:rsidRPr="000760AB" w:rsidRDefault="000760AB" w:rsidP="000760AB">
      <w:pPr>
        <w:numPr>
          <w:ilvl w:val="0"/>
          <w:numId w:val="17"/>
        </w:numPr>
        <w:spacing w:after="160" w:line="257" w:lineRule="auto"/>
        <w:ind w:left="284" w:firstLine="0"/>
        <w:jc w:val="both"/>
        <w:rPr>
          <w:rFonts w:ascii="Calibri" w:eastAsia="Calibri" w:hAnsi="Calibri" w:cs="Calibri"/>
          <w:sz w:val="22"/>
          <w:szCs w:val="22"/>
        </w:rPr>
      </w:pPr>
      <w:r>
        <w:rPr>
          <w:rFonts w:ascii="Calibri" w:hAnsi="Calibri"/>
          <w:sz w:val="22"/>
        </w:rPr>
        <w:t>În secțiunea HE 3, în tabelul 3.1-HE3 Valoarea-limită a eficienței instalării (VEEI</w:t>
      </w:r>
      <w:r>
        <w:rPr>
          <w:rFonts w:ascii="Calibri" w:hAnsi="Calibri"/>
          <w:sz w:val="22"/>
          <w:vertAlign w:val="subscript"/>
        </w:rPr>
        <w:t>lim</w:t>
      </w:r>
      <w:r>
        <w:rPr>
          <w:rFonts w:ascii="Calibri" w:hAnsi="Calibri"/>
          <w:sz w:val="22"/>
        </w:rPr>
        <w:t>), cuvintele „Antrepozite și magazine mici” se înlocuiesc cu „Antrepozite și magazine mici</w:t>
      </w:r>
      <w:r>
        <w:rPr>
          <w:rFonts w:ascii="Calibri" w:hAnsi="Calibri"/>
          <w:sz w:val="22"/>
          <w:vertAlign w:val="superscript"/>
        </w:rPr>
        <w:t>(10)</w:t>
      </w:r>
      <w:r>
        <w:rPr>
          <w:rFonts w:ascii="Calibri" w:hAnsi="Calibri"/>
          <w:sz w:val="22"/>
        </w:rPr>
        <w:t>” și se adaugă următoarea notă de subsol:</w:t>
      </w:r>
    </w:p>
    <w:p w14:paraId="6E0BF879" w14:textId="77777777" w:rsidR="000760AB" w:rsidRPr="000760AB" w:rsidRDefault="000760AB" w:rsidP="000760AB">
      <w:pPr>
        <w:spacing w:after="160" w:line="257" w:lineRule="auto"/>
        <w:ind w:left="284"/>
        <w:jc w:val="both"/>
        <w:rPr>
          <w:rFonts w:ascii="Calibri" w:eastAsia="Arial" w:hAnsi="Calibri" w:cs="Calibri"/>
          <w:kern w:val="2"/>
          <w:sz w:val="22"/>
        </w:rPr>
      </w:pPr>
      <w:r>
        <w:rPr>
          <w:rFonts w:ascii="Calibri" w:hAnsi="Calibri"/>
          <w:sz w:val="22"/>
        </w:rPr>
        <w:lastRenderedPageBreak/>
        <w:t>„</w:t>
      </w:r>
      <w:r>
        <w:rPr>
          <w:rFonts w:ascii="Calibri" w:hAnsi="Calibri"/>
          <w:sz w:val="22"/>
          <w:vertAlign w:val="superscript"/>
        </w:rPr>
        <w:t>(10)</w:t>
      </w:r>
      <w:r>
        <w:rPr>
          <w:rFonts w:ascii="Calibri" w:hAnsi="Calibri"/>
          <w:sz w:val="22"/>
        </w:rPr>
        <w:t xml:space="preserve"> Termenul «antrepozit» se referă atât la mici magazine independente, cât și la partea pentru uz comercial care nu este utilizată în mod obișnuit în centrele comerciale.”</w:t>
      </w:r>
    </w:p>
    <w:p w14:paraId="5C482135" w14:textId="77777777" w:rsidR="000760AB" w:rsidRPr="000760AB" w:rsidRDefault="000760AB" w:rsidP="000760AB">
      <w:pPr>
        <w:numPr>
          <w:ilvl w:val="0"/>
          <w:numId w:val="17"/>
        </w:numPr>
        <w:spacing w:after="160" w:line="257" w:lineRule="auto"/>
        <w:ind w:left="284" w:firstLine="0"/>
        <w:contextualSpacing/>
        <w:jc w:val="both"/>
        <w:rPr>
          <w:rFonts w:ascii="Calibri" w:eastAsia="Arial" w:hAnsi="Calibri" w:cs="Calibri"/>
          <w:kern w:val="2"/>
          <w:sz w:val="22"/>
        </w:rPr>
      </w:pPr>
      <w:r>
        <w:rPr>
          <w:rFonts w:ascii="Calibri" w:hAnsi="Calibri"/>
          <w:sz w:val="22"/>
        </w:rPr>
        <w:t xml:space="preserve">În secțiunea HE 3, articolul 3.3 Sisteme de control și reglementare, alineatul (2), textul „... poate fi înlocuit cu una dintre următoarele două opțiuni: </w:t>
      </w:r>
    </w:p>
    <w:p w14:paraId="562ED3C8" w14:textId="77777777" w:rsidR="000760AB" w:rsidRPr="000760AB" w:rsidRDefault="000760AB" w:rsidP="000760AB">
      <w:pPr>
        <w:spacing w:after="160" w:line="257" w:lineRule="auto"/>
        <w:ind w:left="284"/>
        <w:contextualSpacing/>
        <w:jc w:val="both"/>
        <w:rPr>
          <w:rFonts w:ascii="Calibri" w:eastAsia="Arial" w:hAnsi="Calibri" w:cs="Calibri"/>
          <w:kern w:val="2"/>
          <w:sz w:val="22"/>
        </w:rPr>
      </w:pPr>
      <w:r>
        <w:rPr>
          <w:rFonts w:ascii="Calibri" w:hAnsi="Calibri"/>
          <w:sz w:val="22"/>
        </w:rPr>
        <w:t xml:space="preserve">— controlul activării și dezactivării printr-un sistem de detectare a prezenței temporizat; sau </w:t>
      </w:r>
    </w:p>
    <w:p w14:paraId="5D7F7E37" w14:textId="77777777" w:rsidR="000760AB" w:rsidRPr="000760AB" w:rsidRDefault="000760AB" w:rsidP="000760AB">
      <w:pPr>
        <w:spacing w:line="257" w:lineRule="auto"/>
        <w:ind w:left="284"/>
        <w:contextualSpacing/>
        <w:jc w:val="both"/>
        <w:rPr>
          <w:rFonts w:ascii="Calibri" w:eastAsia="Arial" w:hAnsi="Calibri" w:cs="Calibri"/>
          <w:kern w:val="2"/>
          <w:sz w:val="22"/>
        </w:rPr>
      </w:pPr>
      <w:r>
        <w:rPr>
          <w:rFonts w:ascii="Calibri" w:hAnsi="Calibri"/>
          <w:sz w:val="22"/>
        </w:rPr>
        <w:t>— un sistem cu buton temporizat.”</w:t>
      </w:r>
    </w:p>
    <w:p w14:paraId="7F19E6A8" w14:textId="77777777" w:rsidR="000760AB" w:rsidRPr="000760AB" w:rsidRDefault="000760AB" w:rsidP="000760AB">
      <w:pPr>
        <w:spacing w:line="257" w:lineRule="auto"/>
        <w:ind w:left="284"/>
        <w:jc w:val="both"/>
        <w:rPr>
          <w:rFonts w:ascii="Calibri" w:eastAsia="Arial" w:hAnsi="Calibri" w:cs="Calibri"/>
          <w:kern w:val="2"/>
          <w:sz w:val="22"/>
        </w:rPr>
      </w:pPr>
      <w:r>
        <w:rPr>
          <w:rFonts w:ascii="Calibri" w:hAnsi="Calibri"/>
          <w:sz w:val="22"/>
        </w:rPr>
        <w:t xml:space="preserve">se înlocuiește cu „...poate fi înlocuit cu una dintre următoarele două opțiuni: </w:t>
      </w:r>
    </w:p>
    <w:p w14:paraId="1FB2C3B4" w14:textId="77777777" w:rsidR="000760AB" w:rsidRPr="000760AB" w:rsidRDefault="000760AB" w:rsidP="000760AB">
      <w:pPr>
        <w:spacing w:line="257" w:lineRule="auto"/>
        <w:ind w:left="284"/>
        <w:jc w:val="both"/>
        <w:rPr>
          <w:rFonts w:ascii="Calibri" w:eastAsia="Arial" w:hAnsi="Calibri" w:cs="Calibri"/>
          <w:kern w:val="2"/>
          <w:sz w:val="22"/>
        </w:rPr>
      </w:pPr>
      <w:r>
        <w:rPr>
          <w:rFonts w:ascii="Calibri" w:hAnsi="Calibri"/>
          <w:sz w:val="22"/>
        </w:rPr>
        <w:t xml:space="preserve">— controlul activării și dezactivării de către un </w:t>
      </w:r>
      <w:r>
        <w:rPr>
          <w:rFonts w:ascii="Calibri" w:hAnsi="Calibri"/>
          <w:i/>
          <w:sz w:val="22"/>
        </w:rPr>
        <w:t>sistem de detectare a prezenței temporizat</w:t>
      </w:r>
      <w:r>
        <w:rPr>
          <w:rFonts w:ascii="Calibri" w:hAnsi="Calibri"/>
          <w:sz w:val="22"/>
        </w:rPr>
        <w:t xml:space="preserve">, sau </w:t>
      </w:r>
    </w:p>
    <w:p w14:paraId="280A8FDB" w14:textId="77777777" w:rsidR="000760AB" w:rsidRPr="000760AB" w:rsidRDefault="000760AB" w:rsidP="000760AB">
      <w:pPr>
        <w:spacing w:line="257" w:lineRule="auto"/>
        <w:ind w:left="284"/>
        <w:jc w:val="both"/>
        <w:rPr>
          <w:rFonts w:ascii="Calibri" w:eastAsia="Arial" w:hAnsi="Calibri" w:cs="Calibri"/>
          <w:kern w:val="2"/>
          <w:sz w:val="22"/>
        </w:rPr>
      </w:pPr>
      <w:r>
        <w:rPr>
          <w:rFonts w:ascii="Calibri" w:hAnsi="Calibri"/>
          <w:sz w:val="22"/>
        </w:rPr>
        <w:t xml:space="preserve">— un </w:t>
      </w:r>
      <w:r>
        <w:rPr>
          <w:rFonts w:ascii="Calibri" w:hAnsi="Calibri"/>
          <w:i/>
          <w:sz w:val="22"/>
        </w:rPr>
        <w:t>sistem de temporizare</w:t>
      </w:r>
      <w:r>
        <w:rPr>
          <w:rFonts w:ascii="Calibri" w:hAnsi="Calibri"/>
          <w:sz w:val="22"/>
        </w:rPr>
        <w:t xml:space="preserve"> cu ajutorul unui buton.”</w:t>
      </w:r>
    </w:p>
    <w:p w14:paraId="383D98A1" w14:textId="77777777" w:rsidR="000760AB" w:rsidRPr="000760AB" w:rsidRDefault="000760AB" w:rsidP="000760AB">
      <w:pPr>
        <w:spacing w:line="257" w:lineRule="auto"/>
        <w:ind w:left="284"/>
        <w:jc w:val="both"/>
        <w:rPr>
          <w:rFonts w:ascii="Calibri" w:eastAsia="Arial" w:hAnsi="Calibri" w:cs="Calibri"/>
          <w:kern w:val="2"/>
          <w:sz w:val="22"/>
          <w:lang w:eastAsia="zh-CN" w:bidi="hi-IN"/>
        </w:rPr>
      </w:pPr>
    </w:p>
    <w:p w14:paraId="2E152AB0" w14:textId="77777777" w:rsidR="000760AB" w:rsidRPr="000760AB" w:rsidRDefault="000760AB" w:rsidP="000760AB">
      <w:pPr>
        <w:numPr>
          <w:ilvl w:val="0"/>
          <w:numId w:val="17"/>
        </w:numPr>
        <w:spacing w:after="160" w:line="257" w:lineRule="auto"/>
        <w:ind w:left="284" w:firstLine="0"/>
        <w:contextualSpacing/>
        <w:jc w:val="both"/>
        <w:rPr>
          <w:rFonts w:ascii="Calibri" w:eastAsia="Arial" w:hAnsi="Calibri" w:cs="Calibri"/>
          <w:kern w:val="2"/>
          <w:sz w:val="22"/>
        </w:rPr>
      </w:pPr>
      <w:r>
        <w:rPr>
          <w:rFonts w:ascii="Calibri" w:hAnsi="Calibri"/>
          <w:sz w:val="22"/>
        </w:rPr>
        <w:t xml:space="preserve">În secțiunea HE 3, articolul 4 Justificarea cerinței, alineatul (1) litera (b), textul „... randamentul </w:t>
      </w:r>
      <w:r>
        <w:rPr>
          <w:rFonts w:ascii="Calibri" w:hAnsi="Calibri"/>
          <w:i/>
          <w:sz w:val="22"/>
        </w:rPr>
        <w:t>lămpilor</w:t>
      </w:r>
      <w:r>
        <w:rPr>
          <w:rFonts w:ascii="Calibri" w:hAnsi="Calibri"/>
          <w:sz w:val="22"/>
        </w:rPr>
        <w:t xml:space="preserve"> utilizate (în termeni de lum/W)” se înlocuiește cu „... eficiența </w:t>
      </w:r>
      <w:r>
        <w:rPr>
          <w:rFonts w:ascii="Calibri" w:hAnsi="Calibri"/>
          <w:i/>
          <w:sz w:val="22"/>
        </w:rPr>
        <w:t>lămpilor</w:t>
      </w:r>
      <w:r>
        <w:rPr>
          <w:rFonts w:ascii="Calibri" w:hAnsi="Calibri"/>
          <w:sz w:val="22"/>
        </w:rPr>
        <w:t xml:space="preserve"> utilizate (în termeni de lm/W)”</w:t>
      </w:r>
    </w:p>
    <w:p w14:paraId="7D135F60" w14:textId="77777777" w:rsidR="000760AB" w:rsidRPr="000760AB" w:rsidRDefault="000760AB" w:rsidP="000760AB">
      <w:pPr>
        <w:spacing w:after="160" w:line="257" w:lineRule="auto"/>
        <w:ind w:left="284"/>
        <w:contextualSpacing/>
        <w:jc w:val="both"/>
        <w:rPr>
          <w:rFonts w:ascii="Calibri" w:eastAsia="Arial" w:hAnsi="Calibri" w:cs="Calibri"/>
          <w:kern w:val="2"/>
          <w:sz w:val="22"/>
          <w:lang w:eastAsia="zh-CN" w:bidi="hi-IN"/>
        </w:rPr>
      </w:pPr>
    </w:p>
    <w:p w14:paraId="6B3EE3FA" w14:textId="77777777" w:rsidR="000760AB" w:rsidRPr="000760AB" w:rsidRDefault="000760AB" w:rsidP="000760AB">
      <w:pPr>
        <w:numPr>
          <w:ilvl w:val="0"/>
          <w:numId w:val="17"/>
        </w:numPr>
        <w:spacing w:after="160" w:line="257" w:lineRule="auto"/>
        <w:ind w:left="284" w:firstLine="0"/>
        <w:contextualSpacing/>
        <w:jc w:val="both"/>
        <w:rPr>
          <w:rFonts w:ascii="Calibri" w:eastAsia="Arial" w:hAnsi="Calibri" w:cs="Calibri"/>
          <w:kern w:val="2"/>
          <w:sz w:val="22"/>
        </w:rPr>
      </w:pPr>
      <w:r>
        <w:rPr>
          <w:rFonts w:ascii="Calibri" w:hAnsi="Calibri"/>
          <w:sz w:val="22"/>
        </w:rPr>
        <w:t>În secțiunea HE 4, articolul 2 Descrierea cerinței, alineatul (1) are următoarea formulare:</w:t>
      </w:r>
    </w:p>
    <w:p w14:paraId="66BCE2A2" w14:textId="77777777" w:rsidR="000760AB" w:rsidRPr="000760AB" w:rsidRDefault="000760AB" w:rsidP="000760AB">
      <w:pPr>
        <w:spacing w:after="160" w:line="257" w:lineRule="auto"/>
        <w:ind w:left="709"/>
        <w:contextualSpacing/>
        <w:jc w:val="both"/>
        <w:rPr>
          <w:rFonts w:ascii="Calibri" w:eastAsia="Arial" w:hAnsi="Calibri" w:cs="Calibri"/>
          <w:kern w:val="2"/>
          <w:sz w:val="22"/>
          <w:lang w:eastAsia="zh-CN" w:bidi="hi-IN"/>
        </w:rPr>
      </w:pPr>
    </w:p>
    <w:p w14:paraId="774F4195" w14:textId="77777777" w:rsidR="000760AB" w:rsidRPr="000760AB" w:rsidRDefault="000760AB" w:rsidP="000760AB">
      <w:pPr>
        <w:spacing w:after="160" w:line="257" w:lineRule="auto"/>
        <w:ind w:left="284"/>
        <w:jc w:val="both"/>
        <w:rPr>
          <w:rFonts w:ascii="Calibri" w:eastAsia="Arial" w:hAnsi="Calibri" w:cs="Calibri"/>
          <w:kern w:val="2"/>
          <w:sz w:val="22"/>
        </w:rPr>
      </w:pPr>
      <w:r>
        <w:rPr>
          <w:rFonts w:ascii="Calibri" w:hAnsi="Calibri"/>
          <w:sz w:val="22"/>
        </w:rPr>
        <w:t xml:space="preserve">„1. În mare măsură, clădirile trebuie să își satisfacă nevoile de încălzire a apei calde menajere și a apei pentru piscinele interioare încălzite prin utilizarea </w:t>
      </w:r>
      <w:r>
        <w:rPr>
          <w:rFonts w:ascii="Calibri" w:hAnsi="Calibri"/>
          <w:i/>
          <w:sz w:val="22"/>
        </w:rPr>
        <w:t>energiei din surse regenerabile</w:t>
      </w:r>
      <w:r>
        <w:rPr>
          <w:rFonts w:ascii="Calibri" w:hAnsi="Calibri"/>
          <w:sz w:val="22"/>
        </w:rPr>
        <w:t xml:space="preserve"> sau a proceselor de cogenerare din surse regenerabile; fie generate în clădirea propriu-zisă, fie prin conectarea la un </w:t>
      </w:r>
      <w:r>
        <w:rPr>
          <w:rFonts w:ascii="Calibri" w:hAnsi="Calibri"/>
          <w:i/>
          <w:sz w:val="22"/>
        </w:rPr>
        <w:t>sistem de termoficare</w:t>
      </w:r>
      <w:r>
        <w:rPr>
          <w:rFonts w:ascii="Calibri" w:hAnsi="Calibri"/>
          <w:sz w:val="22"/>
        </w:rPr>
        <w:t>.”</w:t>
      </w:r>
    </w:p>
    <w:p w14:paraId="3693DE13" w14:textId="77777777" w:rsidR="000760AB" w:rsidRPr="000760AB" w:rsidRDefault="000760AB" w:rsidP="000760AB">
      <w:pPr>
        <w:numPr>
          <w:ilvl w:val="0"/>
          <w:numId w:val="17"/>
        </w:numPr>
        <w:spacing w:before="200" w:after="100" w:line="259" w:lineRule="auto"/>
        <w:ind w:left="284" w:firstLine="0"/>
        <w:jc w:val="both"/>
        <w:rPr>
          <w:rFonts w:ascii="Calibri" w:eastAsia="Arial" w:hAnsi="Calibri" w:cs="Calibri"/>
          <w:kern w:val="2"/>
          <w:sz w:val="22"/>
          <w:szCs w:val="22"/>
        </w:rPr>
      </w:pPr>
      <w:r>
        <w:rPr>
          <w:rFonts w:ascii="Calibri" w:hAnsi="Calibri"/>
          <w:sz w:val="22"/>
        </w:rPr>
        <w:t xml:space="preserve"> În secțiunea HE 4, articolul 3 Cuantificarea cerinței, articolul 3.1 Contribuția minimă din surse regenerabile pentru DHW și/sau încălzirea pentru piscină, alineatul (4), textul: </w:t>
      </w:r>
      <w:bookmarkStart w:id="3" w:name="_Hlk96945986"/>
      <w:r>
        <w:rPr>
          <w:rFonts w:ascii="Calibri" w:hAnsi="Calibri"/>
          <w:sz w:val="22"/>
        </w:rPr>
        <w:t xml:space="preserve">„... </w:t>
      </w:r>
      <w:bookmarkEnd w:id="3"/>
      <w:r>
        <w:rPr>
          <w:rFonts w:ascii="Calibri" w:hAnsi="Calibri"/>
          <w:sz w:val="22"/>
        </w:rPr>
        <w:t>mai mare de 2,5 atunci când este acționat electric și mai mare de 1,15 atunci când funcționează cu energie termică...” se înlocuiește cu textul „... egal sau mai mare de 2,5 atunci când este acționat electric și mai mare sau egal cu 1,15 atunci când este acționat cu energie termică...”.</w:t>
      </w:r>
    </w:p>
    <w:p w14:paraId="61BB5CF0" w14:textId="77777777" w:rsidR="000760AB" w:rsidRPr="000760AB" w:rsidRDefault="000760AB" w:rsidP="000760AB">
      <w:pPr>
        <w:numPr>
          <w:ilvl w:val="0"/>
          <w:numId w:val="17"/>
        </w:numPr>
        <w:spacing w:before="200" w:after="100" w:line="259" w:lineRule="auto"/>
        <w:ind w:left="284" w:firstLine="0"/>
        <w:jc w:val="both"/>
        <w:rPr>
          <w:rFonts w:ascii="Calibri" w:eastAsia="Arial" w:hAnsi="Calibri" w:cs="Calibri"/>
          <w:kern w:val="2"/>
          <w:sz w:val="22"/>
          <w:szCs w:val="22"/>
        </w:rPr>
      </w:pPr>
      <w:r>
        <w:rPr>
          <w:rFonts w:ascii="Calibri" w:hAnsi="Calibri"/>
          <w:sz w:val="22"/>
        </w:rPr>
        <w:t>În secțiunea HE 4, articolul 3 Cuantificarea cerinței, articolul 3.1 Contribuția minimă din surse regenerabile pentru DHW și/sau încălzirea pentru piscine, alineatul (5), textul: „... clădiri rezidențiale...” se înlocuiește cu textul „... clădiri de uz rezidențial privat...”.</w:t>
      </w:r>
    </w:p>
    <w:p w14:paraId="6BE93B73" w14:textId="77777777" w:rsidR="000760AB" w:rsidRPr="000760AB" w:rsidRDefault="000760AB" w:rsidP="000760AB">
      <w:pPr>
        <w:numPr>
          <w:ilvl w:val="0"/>
          <w:numId w:val="17"/>
        </w:numPr>
        <w:spacing w:after="160" w:line="259" w:lineRule="auto"/>
        <w:ind w:left="284" w:firstLine="0"/>
        <w:jc w:val="both"/>
        <w:rPr>
          <w:rFonts w:ascii="Calibri" w:eastAsia="Calibri" w:hAnsi="Calibri" w:cs="Calibri"/>
          <w:sz w:val="22"/>
          <w:szCs w:val="22"/>
        </w:rPr>
      </w:pPr>
      <w:r>
        <w:rPr>
          <w:rFonts w:ascii="Calibri" w:hAnsi="Calibri"/>
          <w:sz w:val="22"/>
        </w:rPr>
        <w:t xml:space="preserve">În secțiunea HE 4, înainte de articolul „5.1. Executare” se introduce fraza: „5. Construcție, întreținere și conservare” ca titlu. </w:t>
      </w:r>
    </w:p>
    <w:p w14:paraId="6D9AA9EE" w14:textId="77777777" w:rsidR="000760AB" w:rsidRPr="000760AB" w:rsidRDefault="000760AB" w:rsidP="000760AB">
      <w:pPr>
        <w:numPr>
          <w:ilvl w:val="0"/>
          <w:numId w:val="17"/>
        </w:numPr>
        <w:spacing w:after="160" w:line="259" w:lineRule="auto"/>
        <w:ind w:left="284" w:firstLine="0"/>
        <w:jc w:val="both"/>
        <w:rPr>
          <w:rFonts w:ascii="Calibri" w:eastAsia="Calibri" w:hAnsi="Calibri" w:cs="Calibri"/>
          <w:sz w:val="22"/>
          <w:szCs w:val="22"/>
        </w:rPr>
      </w:pPr>
      <w:r>
        <w:rPr>
          <w:rFonts w:ascii="Calibri" w:hAnsi="Calibri"/>
          <w:sz w:val="22"/>
        </w:rPr>
        <w:t>În secțiunea HE 5, titlul „Secțiunea HE 5 Producția minimă de energie electrică” se înlocuiește cu „Secțiunea HE 5</w:t>
      </w:r>
      <w:bookmarkStart w:id="4" w:name="_Hlk92123384"/>
      <w:r>
        <w:rPr>
          <w:rFonts w:ascii="Calibri" w:hAnsi="Calibri"/>
          <w:sz w:val="22"/>
        </w:rPr>
        <w:t>Producția minimă de energie electrică</w:t>
      </w:r>
      <w:bookmarkEnd w:id="4"/>
      <w:r>
        <w:t xml:space="preserve"> </w:t>
      </w:r>
      <w:r>
        <w:rPr>
          <w:rFonts w:ascii="Calibri" w:hAnsi="Calibri"/>
          <w:sz w:val="22"/>
        </w:rPr>
        <w:t>din surse regenerabile”.</w:t>
      </w:r>
    </w:p>
    <w:p w14:paraId="6175F2BD" w14:textId="77777777" w:rsidR="000760AB" w:rsidRPr="000760AB" w:rsidRDefault="000760AB" w:rsidP="000760AB">
      <w:pPr>
        <w:numPr>
          <w:ilvl w:val="0"/>
          <w:numId w:val="17"/>
        </w:numPr>
        <w:spacing w:after="160" w:line="259" w:lineRule="auto"/>
        <w:ind w:left="284" w:firstLine="0"/>
        <w:jc w:val="both"/>
        <w:rPr>
          <w:rFonts w:ascii="Calibri" w:eastAsia="Calibri" w:hAnsi="Calibri" w:cs="Calibri"/>
          <w:sz w:val="22"/>
          <w:szCs w:val="22"/>
        </w:rPr>
      </w:pPr>
      <w:r>
        <w:rPr>
          <w:rFonts w:ascii="Calibri" w:hAnsi="Calibri"/>
          <w:sz w:val="22"/>
        </w:rPr>
        <w:t xml:space="preserve">În secțiunea HE 5, articolul 1 „Domeniul de aplicare” are următoarea formulare: </w:t>
      </w:r>
    </w:p>
    <w:p w14:paraId="04EE306E"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 xml:space="preserve">1. Prezenta secțiune se aplică în următoarele cazuri: </w:t>
      </w:r>
    </w:p>
    <w:p w14:paraId="40C4916D" w14:textId="77777777" w:rsidR="000760AB" w:rsidRPr="000760AB" w:rsidRDefault="000760AB" w:rsidP="000760AB">
      <w:pPr>
        <w:spacing w:after="160" w:line="259" w:lineRule="auto"/>
        <w:ind w:left="284"/>
        <w:contextualSpacing/>
        <w:jc w:val="both"/>
        <w:rPr>
          <w:rFonts w:ascii="Calibri" w:eastAsia="Calibri" w:hAnsi="Calibri" w:cs="Calibri"/>
          <w:sz w:val="22"/>
          <w:szCs w:val="22"/>
        </w:rPr>
      </w:pPr>
      <w:r>
        <w:rPr>
          <w:rFonts w:ascii="Calibri" w:hAnsi="Calibri"/>
          <w:sz w:val="22"/>
        </w:rPr>
        <w:t>(a) clădiri nou construite atunci când acestea depășesc 1 000 m</w:t>
      </w:r>
      <w:r>
        <w:rPr>
          <w:rFonts w:ascii="Calibri" w:hAnsi="Calibri"/>
          <w:sz w:val="22"/>
          <w:vertAlign w:val="superscript"/>
        </w:rPr>
        <w:t xml:space="preserve">2 </w:t>
      </w:r>
      <w:r>
        <w:rPr>
          <w:rFonts w:ascii="Calibri" w:hAnsi="Calibri"/>
          <w:sz w:val="22"/>
        </w:rPr>
        <w:t xml:space="preserve"> construiți;</w:t>
      </w:r>
    </w:p>
    <w:p w14:paraId="500BD58B" w14:textId="77777777" w:rsidR="000760AB" w:rsidRPr="000760AB" w:rsidRDefault="000760AB" w:rsidP="000760AB">
      <w:pPr>
        <w:spacing w:after="160" w:line="259" w:lineRule="auto"/>
        <w:ind w:left="284"/>
        <w:contextualSpacing/>
        <w:jc w:val="both"/>
        <w:rPr>
          <w:rFonts w:ascii="Calibri" w:eastAsia="Calibri" w:hAnsi="Calibri" w:cs="Calibri"/>
          <w:sz w:val="22"/>
          <w:szCs w:val="22"/>
        </w:rPr>
      </w:pPr>
      <w:r>
        <w:rPr>
          <w:rFonts w:ascii="Calibri" w:hAnsi="Calibri"/>
          <w:sz w:val="22"/>
        </w:rPr>
        <w:t>(b) extinderi ale clădirilor existente, atunci când suprafața construită este mărită cu mai mult de 1 000 m</w:t>
      </w:r>
      <w:r>
        <w:rPr>
          <w:rFonts w:ascii="Calibri" w:hAnsi="Calibri"/>
          <w:sz w:val="22"/>
          <w:vertAlign w:val="superscript"/>
        </w:rPr>
        <w:t>2</w:t>
      </w:r>
      <w:r>
        <w:rPr>
          <w:rFonts w:ascii="Calibri" w:hAnsi="Calibri"/>
          <w:sz w:val="22"/>
        </w:rPr>
        <w:t>.</w:t>
      </w:r>
    </w:p>
    <w:p w14:paraId="710C1241" w14:textId="77777777" w:rsidR="000760AB" w:rsidRPr="000760AB" w:rsidRDefault="000760AB" w:rsidP="000760AB">
      <w:pPr>
        <w:spacing w:after="160" w:line="259" w:lineRule="auto"/>
        <w:ind w:left="284"/>
        <w:contextualSpacing/>
        <w:jc w:val="both"/>
        <w:rPr>
          <w:rFonts w:ascii="Calibri" w:eastAsia="Calibri" w:hAnsi="Calibri" w:cs="Calibri"/>
          <w:sz w:val="22"/>
          <w:szCs w:val="22"/>
        </w:rPr>
      </w:pPr>
      <w:r>
        <w:rPr>
          <w:rFonts w:ascii="Calibri" w:hAnsi="Calibri"/>
          <w:sz w:val="22"/>
        </w:rPr>
        <w:t>(c) clădiri existente care sunt complet renovate sau, în cazul în care există o schimbare de utilizare caracteristică a acestora, atunci când acestea depășesc 1 000 m</w:t>
      </w:r>
      <w:r>
        <w:rPr>
          <w:rFonts w:ascii="Calibri" w:hAnsi="Calibri"/>
          <w:sz w:val="22"/>
          <w:vertAlign w:val="superscript"/>
        </w:rPr>
        <w:t xml:space="preserve">2 </w:t>
      </w:r>
      <w:r>
        <w:rPr>
          <w:rFonts w:ascii="Calibri" w:hAnsi="Calibri"/>
          <w:sz w:val="22"/>
        </w:rPr>
        <w:t xml:space="preserve"> de suprafață construită.</w:t>
      </w:r>
    </w:p>
    <w:p w14:paraId="772542DE"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 xml:space="preserve">Se consideră că zona construită include suprafața locurilor de parcare din interiorul clădirii și exclude zonele comune în aer liber.” </w:t>
      </w:r>
    </w:p>
    <w:p w14:paraId="6B833735" w14:textId="77777777" w:rsidR="000760AB" w:rsidRPr="000760AB" w:rsidRDefault="000760AB" w:rsidP="000760AB">
      <w:pPr>
        <w:numPr>
          <w:ilvl w:val="0"/>
          <w:numId w:val="17"/>
        </w:numPr>
        <w:spacing w:after="160" w:line="259" w:lineRule="auto"/>
        <w:ind w:left="284" w:firstLine="0"/>
        <w:jc w:val="both"/>
        <w:rPr>
          <w:rFonts w:ascii="Calibri" w:eastAsia="Calibri" w:hAnsi="Calibri" w:cs="Calibri"/>
          <w:sz w:val="22"/>
          <w:szCs w:val="22"/>
        </w:rPr>
      </w:pPr>
      <w:r>
        <w:rPr>
          <w:rFonts w:ascii="Calibri" w:hAnsi="Calibri"/>
          <w:sz w:val="22"/>
        </w:rPr>
        <w:t>În secțiunea HE 5, alineatul (2) primul paragraf „Caracterizarea cerinței” are următoarea formulare:</w:t>
      </w:r>
    </w:p>
    <w:p w14:paraId="23E9D023"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lastRenderedPageBreak/>
        <w:t>1. Clădirile trebuie să dispună de sisteme de producție a energiei electrice din surse regenerabile pentru uz propriu sau pentru alimentarea rețelei.”</w:t>
      </w:r>
    </w:p>
    <w:p w14:paraId="5BE28722" w14:textId="77777777" w:rsidR="000760AB" w:rsidRPr="000760AB" w:rsidRDefault="000760AB" w:rsidP="000760AB">
      <w:pPr>
        <w:numPr>
          <w:ilvl w:val="0"/>
          <w:numId w:val="17"/>
        </w:numPr>
        <w:spacing w:after="160" w:line="259" w:lineRule="auto"/>
        <w:ind w:left="284" w:firstLine="0"/>
        <w:contextualSpacing/>
        <w:jc w:val="both"/>
        <w:rPr>
          <w:rFonts w:ascii="Calibri" w:eastAsia="Calibri" w:hAnsi="Calibri" w:cs="Calibri"/>
          <w:sz w:val="22"/>
          <w:szCs w:val="22"/>
        </w:rPr>
      </w:pPr>
      <w:r>
        <w:rPr>
          <w:rFonts w:ascii="Calibri" w:hAnsi="Calibri"/>
          <w:sz w:val="22"/>
        </w:rPr>
        <w:t xml:space="preserve"> În secțiunea HE 5, alineatul (3) „Cuantificarea cerinței” are următoarea formulare:</w:t>
      </w:r>
    </w:p>
    <w:p w14:paraId="1C671AF1" w14:textId="77777777" w:rsidR="000760AB" w:rsidRPr="000760AB" w:rsidRDefault="000760AB" w:rsidP="000760AB">
      <w:pPr>
        <w:spacing w:before="60" w:after="160" w:line="259" w:lineRule="auto"/>
        <w:ind w:left="284"/>
        <w:jc w:val="both"/>
        <w:rPr>
          <w:rFonts w:ascii="Calibri" w:eastAsia="Arial" w:hAnsi="Calibri" w:cs="Calibri"/>
          <w:kern w:val="2"/>
          <w:sz w:val="22"/>
        </w:rPr>
      </w:pPr>
      <w:r>
        <w:rPr>
          <w:rFonts w:ascii="Calibri" w:hAnsi="Calibri"/>
          <w:sz w:val="22"/>
        </w:rPr>
        <w:t xml:space="preserve">„1. </w:t>
      </w:r>
      <w:r>
        <w:rPr>
          <w:rFonts w:ascii="Calibri" w:hAnsi="Calibri"/>
          <w:i/>
          <w:sz w:val="22"/>
        </w:rPr>
        <w:t xml:space="preserve">Puterea de instalare minimă </w:t>
      </w:r>
      <w:r>
        <w:rPr>
          <w:rFonts w:ascii="Calibri" w:hAnsi="Calibri"/>
          <w:sz w:val="22"/>
        </w:rPr>
        <w:t xml:space="preserve"> P</w:t>
      </w:r>
      <w:r>
        <w:rPr>
          <w:rFonts w:ascii="Calibri" w:hAnsi="Calibri"/>
          <w:sz w:val="22"/>
          <w:vertAlign w:val="subscript"/>
        </w:rPr>
        <w:t>min</w:t>
      </w:r>
      <w:r>
        <w:rPr>
          <w:rFonts w:ascii="Calibri" w:hAnsi="Calibri"/>
          <w:sz w:val="22"/>
        </w:rPr>
        <w:t xml:space="preserve"> este cea mai mică dintre rezultatele obținute din următoarele două ecuații: </w:t>
      </w:r>
    </w:p>
    <w:p w14:paraId="3A813F22" w14:textId="77777777" w:rsidR="000760AB" w:rsidRPr="000760AB" w:rsidRDefault="000760AB" w:rsidP="000760AB">
      <w:pPr>
        <w:spacing w:before="60" w:after="160" w:line="259" w:lineRule="auto"/>
        <w:ind w:left="284"/>
        <w:jc w:val="both"/>
        <w:rPr>
          <w:rFonts w:ascii="Calibri" w:eastAsia="Arial" w:hAnsi="Calibri" w:cs="Calibri"/>
          <w:kern w:val="2"/>
          <w:sz w:val="22"/>
        </w:rPr>
      </w:pPr>
      <w:r>
        <w:rPr>
          <w:rFonts w:ascii="Calibri" w:hAnsi="Calibri"/>
          <w:sz w:val="22"/>
        </w:rPr>
        <w:t>P</w:t>
      </w:r>
      <w:r>
        <w:rPr>
          <w:rFonts w:ascii="Calibri" w:hAnsi="Calibri"/>
          <w:sz w:val="22"/>
          <w:vertAlign w:val="subscript"/>
        </w:rPr>
        <w:t>1</w:t>
      </w:r>
      <w:r>
        <w:rPr>
          <w:rFonts w:ascii="Calibri" w:hAnsi="Calibri"/>
          <w:sz w:val="22"/>
        </w:rPr>
        <w:t xml:space="preserve"> = F</w:t>
      </w:r>
      <w:r>
        <w:rPr>
          <w:rFonts w:ascii="Calibri" w:hAnsi="Calibri"/>
          <w:sz w:val="22"/>
          <w:vertAlign w:val="subscript"/>
        </w:rPr>
        <w:t>pr;el</w:t>
      </w:r>
      <w:r>
        <w:rPr>
          <w:rFonts w:ascii="Calibri" w:hAnsi="Calibri"/>
          <w:sz w:val="22"/>
        </w:rPr>
        <w:t xml:space="preserve"> · S</w:t>
      </w:r>
    </w:p>
    <w:p w14:paraId="0B5FBBF1" w14:textId="77777777" w:rsidR="000760AB" w:rsidRPr="000760AB" w:rsidRDefault="000760AB" w:rsidP="000760AB">
      <w:pPr>
        <w:spacing w:before="60" w:after="160" w:line="259" w:lineRule="auto"/>
        <w:ind w:left="284"/>
        <w:jc w:val="both"/>
        <w:rPr>
          <w:rFonts w:ascii="Calibri" w:eastAsia="Arial" w:hAnsi="Calibri" w:cs="Calibri"/>
          <w:kern w:val="2"/>
          <w:sz w:val="22"/>
        </w:rPr>
      </w:pPr>
      <w:r>
        <w:rPr>
          <w:rFonts w:ascii="Calibri" w:hAnsi="Calibri"/>
          <w:sz w:val="22"/>
        </w:rPr>
        <w:t>P</w:t>
      </w:r>
      <w:r>
        <w:rPr>
          <w:rFonts w:ascii="Calibri" w:hAnsi="Calibri"/>
          <w:sz w:val="22"/>
          <w:vertAlign w:val="subscript"/>
        </w:rPr>
        <w:t>2</w:t>
      </w:r>
      <w:r>
        <w:rPr>
          <w:rFonts w:ascii="Calibri" w:hAnsi="Calibri"/>
          <w:sz w:val="22"/>
        </w:rPr>
        <w:t xml:space="preserve"> = 0,1 · (0,5 · S</w:t>
      </w:r>
      <w:r>
        <w:rPr>
          <w:rFonts w:ascii="Calibri" w:hAnsi="Calibri"/>
          <w:sz w:val="22"/>
          <w:vertAlign w:val="subscript"/>
        </w:rPr>
        <w:t>c</w:t>
      </w:r>
      <w:r>
        <w:rPr>
          <w:rFonts w:ascii="Calibri" w:hAnsi="Calibri"/>
          <w:sz w:val="22"/>
        </w:rPr>
        <w:t xml:space="preserve"> - S</w:t>
      </w:r>
      <w:r>
        <w:rPr>
          <w:rFonts w:ascii="Calibri" w:hAnsi="Calibri"/>
          <w:sz w:val="22"/>
          <w:vertAlign w:val="subscript"/>
        </w:rPr>
        <w:t>oc</w:t>
      </w:r>
      <w:r>
        <w:rPr>
          <w:rFonts w:ascii="Calibri" w:hAnsi="Calibri"/>
          <w:sz w:val="22"/>
        </w:rPr>
        <w:t xml:space="preserve"> )</w:t>
      </w:r>
    </w:p>
    <w:p w14:paraId="72B9D60D" w14:textId="77777777" w:rsidR="000760AB" w:rsidRPr="000760AB" w:rsidRDefault="000760AB" w:rsidP="000760AB">
      <w:pPr>
        <w:spacing w:before="60" w:after="160" w:line="259" w:lineRule="auto"/>
        <w:ind w:left="284"/>
        <w:jc w:val="both"/>
        <w:rPr>
          <w:rFonts w:ascii="Calibri" w:eastAsia="Arial" w:hAnsi="Calibri" w:cs="Calibri"/>
          <w:kern w:val="2"/>
          <w:sz w:val="22"/>
        </w:rPr>
      </w:pPr>
      <w:r>
        <w:rPr>
          <w:rFonts w:ascii="Calibri" w:hAnsi="Calibri"/>
          <w:sz w:val="22"/>
        </w:rPr>
        <w:t>unde:</w:t>
      </w:r>
    </w:p>
    <w:p w14:paraId="5E55B831" w14:textId="77777777" w:rsidR="000760AB" w:rsidRPr="000760AB" w:rsidRDefault="000760AB" w:rsidP="000760AB">
      <w:pPr>
        <w:spacing w:before="60" w:after="160" w:line="259" w:lineRule="auto"/>
        <w:ind w:left="284"/>
        <w:contextualSpacing/>
        <w:jc w:val="both"/>
        <w:rPr>
          <w:rFonts w:ascii="Calibri" w:eastAsia="Arial" w:hAnsi="Calibri" w:cs="Calibri"/>
          <w:kern w:val="2"/>
          <w:sz w:val="22"/>
        </w:rPr>
      </w:pPr>
      <w:r>
        <w:rPr>
          <w:rFonts w:ascii="Calibri" w:hAnsi="Calibri"/>
          <w:sz w:val="22"/>
        </w:rPr>
        <w:t>P</w:t>
      </w:r>
      <w:r>
        <w:rPr>
          <w:rFonts w:ascii="Calibri" w:hAnsi="Calibri"/>
          <w:sz w:val="22"/>
          <w:vertAlign w:val="subscript"/>
        </w:rPr>
        <w:t>min</w:t>
      </w:r>
      <w:r>
        <w:rPr>
          <w:rFonts w:ascii="Calibri" w:hAnsi="Calibri"/>
          <w:sz w:val="22"/>
        </w:rPr>
        <w:tab/>
      </w:r>
      <w:r>
        <w:rPr>
          <w:rFonts w:ascii="Calibri" w:hAnsi="Calibri"/>
          <w:i/>
          <w:sz w:val="22"/>
        </w:rPr>
        <w:t>puterea de instalare</w:t>
      </w:r>
      <w:r>
        <w:rPr>
          <w:rFonts w:ascii="Calibri" w:hAnsi="Calibri"/>
          <w:sz w:val="22"/>
        </w:rPr>
        <w:t xml:space="preserve"> [kW];</w:t>
      </w:r>
    </w:p>
    <w:p w14:paraId="1988193A" w14:textId="77777777" w:rsidR="000760AB" w:rsidRPr="000760AB" w:rsidRDefault="000760AB" w:rsidP="000760AB">
      <w:pPr>
        <w:spacing w:before="60" w:after="160" w:line="259" w:lineRule="auto"/>
        <w:ind w:left="284"/>
        <w:contextualSpacing/>
        <w:jc w:val="both"/>
        <w:rPr>
          <w:rFonts w:ascii="Calibri" w:eastAsia="Arial" w:hAnsi="Calibri" w:cs="Calibri"/>
          <w:kern w:val="2"/>
          <w:sz w:val="22"/>
        </w:rPr>
      </w:pPr>
      <w:r>
        <w:rPr>
          <w:rFonts w:ascii="Calibri" w:hAnsi="Calibri"/>
          <w:sz w:val="22"/>
        </w:rPr>
        <w:t>F</w:t>
      </w:r>
      <w:r>
        <w:rPr>
          <w:rFonts w:ascii="Calibri" w:hAnsi="Calibri"/>
          <w:sz w:val="22"/>
          <w:vertAlign w:val="subscript"/>
        </w:rPr>
        <w:t>pr;e</w:t>
      </w:r>
      <w:r>
        <w:rPr>
          <w:rFonts w:ascii="Calibri" w:hAnsi="Calibri"/>
          <w:sz w:val="22"/>
        </w:rPr>
        <w:t>l</w:t>
      </w:r>
      <w:r>
        <w:rPr>
          <w:rFonts w:ascii="Calibri" w:hAnsi="Calibri"/>
          <w:sz w:val="22"/>
        </w:rPr>
        <w:tab/>
        <w:t>factorul de producție a energiei, care are o valoare de 0,005 pentru uz rezidențial privat și 0,010 pentru alte utilizări [kW/m</w:t>
      </w:r>
      <w:r>
        <w:rPr>
          <w:rFonts w:ascii="Calibri" w:hAnsi="Calibri"/>
          <w:sz w:val="22"/>
          <w:vertAlign w:val="superscript"/>
        </w:rPr>
        <w:t>2</w:t>
      </w:r>
      <w:r>
        <w:rPr>
          <w:rFonts w:ascii="Calibri" w:hAnsi="Calibri"/>
          <w:sz w:val="22"/>
        </w:rPr>
        <w:t>];</w:t>
      </w:r>
    </w:p>
    <w:p w14:paraId="153C8F5A" w14:textId="77777777" w:rsidR="000760AB" w:rsidRPr="000760AB" w:rsidRDefault="000760AB" w:rsidP="000760AB">
      <w:pPr>
        <w:spacing w:before="60" w:after="160" w:line="259" w:lineRule="auto"/>
        <w:ind w:left="284"/>
        <w:contextualSpacing/>
        <w:jc w:val="both"/>
        <w:rPr>
          <w:rFonts w:ascii="Calibri" w:eastAsia="Arial" w:hAnsi="Calibri" w:cs="Calibri"/>
          <w:kern w:val="2"/>
          <w:sz w:val="22"/>
        </w:rPr>
      </w:pPr>
      <w:r>
        <w:rPr>
          <w:rFonts w:ascii="Calibri" w:hAnsi="Calibri"/>
          <w:sz w:val="22"/>
        </w:rPr>
        <w:t>S</w:t>
      </w:r>
      <w:r>
        <w:rPr>
          <w:rFonts w:ascii="Calibri" w:hAnsi="Calibri"/>
          <w:sz w:val="22"/>
        </w:rPr>
        <w:tab/>
        <w:t>suprafața construită a clădirii [m</w:t>
      </w:r>
      <w:r>
        <w:rPr>
          <w:rFonts w:ascii="Calibri" w:hAnsi="Calibri"/>
          <w:sz w:val="22"/>
          <w:vertAlign w:val="superscript"/>
        </w:rPr>
        <w:t>2</w:t>
      </w:r>
      <w:r>
        <w:rPr>
          <w:rFonts w:ascii="Calibri" w:hAnsi="Calibri"/>
          <w:sz w:val="22"/>
        </w:rPr>
        <w:t>];</w:t>
      </w:r>
    </w:p>
    <w:p w14:paraId="4F543BE6" w14:textId="77777777" w:rsidR="000760AB" w:rsidRPr="000760AB" w:rsidRDefault="000760AB" w:rsidP="000760AB">
      <w:pPr>
        <w:spacing w:before="60" w:after="160" w:line="259" w:lineRule="auto"/>
        <w:ind w:left="284"/>
        <w:contextualSpacing/>
        <w:jc w:val="both"/>
        <w:rPr>
          <w:rFonts w:ascii="Calibri" w:eastAsia="Calibri" w:hAnsi="Calibri" w:cs="Calibri"/>
          <w:sz w:val="22"/>
          <w:szCs w:val="22"/>
        </w:rPr>
      </w:pPr>
      <w:r>
        <w:rPr>
          <w:rFonts w:ascii="Calibri" w:hAnsi="Calibri"/>
          <w:sz w:val="22"/>
        </w:rPr>
        <w:t>S</w:t>
      </w:r>
      <w:r>
        <w:rPr>
          <w:rFonts w:ascii="Calibri" w:hAnsi="Calibri"/>
          <w:sz w:val="22"/>
          <w:vertAlign w:val="subscript"/>
        </w:rPr>
        <w:t>c</w:t>
      </w:r>
      <w:r>
        <w:rPr>
          <w:rFonts w:ascii="Calibri" w:hAnsi="Calibri"/>
          <w:sz w:val="22"/>
        </w:rPr>
        <w:tab/>
        <w:t>suprafața acoperișului netranzitabil sau accesibil numai pentru întreținere [m</w:t>
      </w:r>
      <w:r>
        <w:rPr>
          <w:rFonts w:ascii="Calibri" w:hAnsi="Calibri"/>
          <w:sz w:val="22"/>
          <w:vertAlign w:val="superscript"/>
        </w:rPr>
        <w:t>2</w:t>
      </w:r>
      <w:r>
        <w:rPr>
          <w:rFonts w:ascii="Calibri" w:hAnsi="Calibri"/>
          <w:sz w:val="22"/>
        </w:rPr>
        <w:t>];</w:t>
      </w:r>
    </w:p>
    <w:p w14:paraId="6D8AB5FA" w14:textId="77777777" w:rsidR="000760AB" w:rsidRPr="000760AB" w:rsidRDefault="000760AB" w:rsidP="000760AB">
      <w:pPr>
        <w:spacing w:before="60" w:after="160" w:line="259" w:lineRule="auto"/>
        <w:ind w:left="284"/>
        <w:jc w:val="both"/>
        <w:rPr>
          <w:rFonts w:ascii="Calibri" w:eastAsia="Arial" w:hAnsi="Calibri" w:cs="Calibri"/>
          <w:kern w:val="2"/>
          <w:sz w:val="22"/>
        </w:rPr>
      </w:pPr>
      <w:r>
        <w:rPr>
          <w:rFonts w:ascii="Calibri" w:hAnsi="Calibri"/>
          <w:sz w:val="22"/>
        </w:rPr>
        <w:t>S</w:t>
      </w:r>
      <w:r>
        <w:rPr>
          <w:rFonts w:ascii="Calibri" w:hAnsi="Calibri"/>
          <w:sz w:val="22"/>
          <w:vertAlign w:val="subscript"/>
        </w:rPr>
        <w:t>oc</w:t>
      </w:r>
      <w:r>
        <w:rPr>
          <w:rFonts w:ascii="Calibri" w:hAnsi="Calibri"/>
          <w:sz w:val="22"/>
        </w:rPr>
        <w:tab/>
        <w:t>suprafața acoperișului netranzitabil sau accesibil pentru întreținere ocupat numai de colectoare solare termice [m</w:t>
      </w:r>
      <w:r>
        <w:rPr>
          <w:rFonts w:ascii="Calibri" w:hAnsi="Calibri"/>
          <w:sz w:val="22"/>
          <w:vertAlign w:val="superscript"/>
        </w:rPr>
        <w:t>2</w:t>
      </w:r>
      <w:r>
        <w:rPr>
          <w:rFonts w:ascii="Calibri" w:hAnsi="Calibri"/>
          <w:sz w:val="22"/>
        </w:rPr>
        <w:t>].</w:t>
      </w:r>
    </w:p>
    <w:p w14:paraId="7D742656" w14:textId="77777777" w:rsidR="000760AB" w:rsidRPr="000760AB" w:rsidRDefault="000760AB" w:rsidP="000760AB">
      <w:pPr>
        <w:spacing w:after="160" w:line="259" w:lineRule="auto"/>
        <w:ind w:left="284"/>
        <w:jc w:val="both"/>
        <w:rPr>
          <w:rFonts w:ascii="Calibri" w:eastAsia="Arial" w:hAnsi="Calibri" w:cs="Calibri"/>
          <w:kern w:val="2"/>
          <w:sz w:val="22"/>
        </w:rPr>
      </w:pPr>
      <w:r>
        <w:rPr>
          <w:rFonts w:ascii="Calibri" w:hAnsi="Calibri"/>
          <w:sz w:val="22"/>
        </w:rPr>
        <w:t>2</w:t>
      </w:r>
      <w:r>
        <w:rPr>
          <w:rFonts w:ascii="Calibri" w:hAnsi="Calibri"/>
          <w:sz w:val="22"/>
        </w:rPr>
        <w:tab/>
        <w:t xml:space="preserve">În clădirile în care, din motive urbane sau arhitecturale sau pentru că sunt clădiri protejate în mod oficial, în cazul cărora autoritatea care acordă protecția oficială este cea care determină elementele inalterabile, </w:t>
      </w:r>
      <w:r>
        <w:rPr>
          <w:rFonts w:ascii="Calibri" w:hAnsi="Calibri"/>
          <w:i/>
          <w:sz w:val="22"/>
        </w:rPr>
        <w:t>puterea de instalare</w:t>
      </w:r>
      <w:r>
        <w:rPr>
          <w:rFonts w:ascii="Calibri" w:hAnsi="Calibri"/>
          <w:sz w:val="22"/>
        </w:rPr>
        <w:t xml:space="preserve"> minimă nu poate fi atinsă, această imposibilitate se justifică prin analizarea diferitelor alternative și se adoptă soluția care atinge puterea maximă instalată posibilă.”</w:t>
      </w:r>
    </w:p>
    <w:p w14:paraId="6BEFAE72" w14:textId="77777777" w:rsidR="000760AB" w:rsidRPr="000760AB" w:rsidRDefault="000760AB" w:rsidP="000760AB">
      <w:pPr>
        <w:numPr>
          <w:ilvl w:val="0"/>
          <w:numId w:val="17"/>
        </w:numPr>
        <w:spacing w:before="60" w:after="160" w:line="259" w:lineRule="auto"/>
        <w:ind w:left="284" w:firstLine="0"/>
        <w:contextualSpacing/>
        <w:jc w:val="both"/>
        <w:rPr>
          <w:rFonts w:ascii="Calibri" w:eastAsia="Arial" w:hAnsi="Calibri" w:cs="Calibri"/>
          <w:kern w:val="2"/>
          <w:sz w:val="22"/>
        </w:rPr>
      </w:pPr>
      <w:r>
        <w:rPr>
          <w:rFonts w:ascii="Calibri" w:hAnsi="Calibri"/>
          <w:sz w:val="22"/>
        </w:rPr>
        <w:t>În secțiunea HE 5, la alineatul (4) „Justificarea cerinței” se adaugă următorul text:</w:t>
      </w:r>
    </w:p>
    <w:p w14:paraId="65043955" w14:textId="77777777" w:rsidR="000760AB" w:rsidRPr="000760AB" w:rsidRDefault="000760AB" w:rsidP="000760AB">
      <w:pPr>
        <w:spacing w:after="160" w:line="259" w:lineRule="auto"/>
        <w:ind w:left="284"/>
        <w:jc w:val="both"/>
        <w:rPr>
          <w:rFonts w:ascii="Calibri" w:eastAsia="Arial" w:hAnsi="Calibri" w:cs="Calibri"/>
          <w:kern w:val="2"/>
          <w:sz w:val="22"/>
        </w:rPr>
      </w:pPr>
      <w:r>
        <w:rPr>
          <w:rFonts w:ascii="Calibri" w:hAnsi="Calibri"/>
          <w:sz w:val="22"/>
        </w:rPr>
        <w:t xml:space="preserve">(c) dacă este cazul, motive care împiedică atingerea </w:t>
      </w:r>
      <w:r>
        <w:rPr>
          <w:rFonts w:ascii="Calibri" w:hAnsi="Calibri"/>
          <w:i/>
          <w:sz w:val="22"/>
        </w:rPr>
        <w:t>puterii de instalare</w:t>
      </w:r>
      <w:r>
        <w:rPr>
          <w:rFonts w:ascii="Calibri" w:hAnsi="Calibri"/>
          <w:sz w:val="22"/>
        </w:rPr>
        <w:t xml:space="preserve"> minime exigibile, analiza alternativelor și soluția adoptată pentru a atinge puterea maximă instalată posibilă.”</w:t>
      </w:r>
    </w:p>
    <w:p w14:paraId="6E185DB3"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ll) În documentul de bază DB-HE „Economii de energie”, secțiunea HE 6 se adaugă cu titlul „</w:t>
      </w:r>
      <w:r>
        <w:rPr>
          <w:rFonts w:ascii="Calibri" w:hAnsi="Calibri"/>
          <w:i/>
          <w:sz w:val="22"/>
        </w:rPr>
        <w:t>Dotări minime pentru infrastructura de încărcare a vehiculelor electrice</w:t>
      </w:r>
      <w:r>
        <w:rPr>
          <w:rFonts w:ascii="Calibri" w:hAnsi="Calibri"/>
          <w:sz w:val="22"/>
        </w:rPr>
        <w:t xml:space="preserve">” cu următoarea formulare: </w:t>
      </w:r>
    </w:p>
    <w:p w14:paraId="1807669A" w14:textId="77FE9144" w:rsidR="000760AB" w:rsidRPr="000760AB" w:rsidRDefault="000760AB" w:rsidP="000760AB">
      <w:pPr>
        <w:keepNext/>
        <w:ind w:left="284"/>
        <w:outlineLvl w:val="0"/>
        <w:rPr>
          <w:rFonts w:ascii="Calibri" w:eastAsia="Arial" w:hAnsi="Calibri" w:cs="Calibri"/>
          <w:kern w:val="2"/>
          <w:sz w:val="22"/>
          <w:szCs w:val="22"/>
        </w:rPr>
      </w:pPr>
      <w:bookmarkStart w:id="5" w:name="_Toc530396161"/>
      <w:bookmarkStart w:id="6" w:name="_Toc530395282"/>
      <w:r>
        <w:rPr>
          <w:rFonts w:ascii="Calibri" w:hAnsi="Calibri"/>
          <w:sz w:val="22"/>
        </w:rPr>
        <w:t xml:space="preserve">„Secțiunea HE 6 </w:t>
      </w:r>
      <w:r>
        <w:rPr>
          <w:rFonts w:ascii="Calibri" w:hAnsi="Calibri"/>
          <w:i/>
          <w:sz w:val="22"/>
        </w:rPr>
        <w:t>Dotări minime pentru infrastructura de încărcare a vehiculelor electrice</w:t>
      </w:r>
      <w:r>
        <w:rPr>
          <w:rFonts w:ascii="Calibri" w:hAnsi="Calibri"/>
          <w:sz w:val="22"/>
        </w:rPr>
        <w:br/>
      </w:r>
      <w:bookmarkEnd w:id="5"/>
      <w:bookmarkEnd w:id="6"/>
    </w:p>
    <w:p w14:paraId="6EF7E441" w14:textId="77777777" w:rsidR="000760AB" w:rsidRPr="000760AB" w:rsidRDefault="000760AB" w:rsidP="000760AB">
      <w:pPr>
        <w:keepNext/>
        <w:widowControl w:val="0"/>
        <w:suppressAutoHyphens/>
        <w:spacing w:before="300" w:after="100"/>
        <w:ind w:left="284"/>
        <w:textAlignment w:val="baseline"/>
        <w:outlineLvl w:val="1"/>
        <w:rPr>
          <w:rFonts w:ascii="Calibri" w:eastAsia="Noto Sans CJK SC Regular" w:hAnsi="Calibri" w:cs="Calibri"/>
          <w:kern w:val="2"/>
          <w:sz w:val="22"/>
          <w:szCs w:val="22"/>
        </w:rPr>
      </w:pPr>
      <w:bookmarkStart w:id="7" w:name="_Toc530396162"/>
      <w:bookmarkStart w:id="8" w:name="_Toc530395283"/>
      <w:r>
        <w:rPr>
          <w:rFonts w:ascii="Calibri" w:hAnsi="Calibri"/>
          <w:sz w:val="22"/>
        </w:rPr>
        <w:t>1 Domeniul de aplicare</w:t>
      </w:r>
      <w:bookmarkEnd w:id="7"/>
      <w:bookmarkEnd w:id="8"/>
    </w:p>
    <w:p w14:paraId="36FC884D" w14:textId="77777777" w:rsidR="000760AB" w:rsidRPr="000760AB" w:rsidRDefault="000760AB" w:rsidP="000760AB">
      <w:pPr>
        <w:spacing w:before="60" w:after="60"/>
        <w:ind w:left="284"/>
        <w:jc w:val="both"/>
        <w:rPr>
          <w:rFonts w:ascii="Calibri" w:eastAsia="Arial" w:hAnsi="Calibri" w:cs="Calibri"/>
          <w:kern w:val="2"/>
          <w:sz w:val="22"/>
          <w:szCs w:val="22"/>
        </w:rPr>
      </w:pPr>
      <w:r>
        <w:rPr>
          <w:rFonts w:ascii="Calibri" w:hAnsi="Calibri"/>
          <w:sz w:val="22"/>
        </w:rPr>
        <w:t>1</w:t>
      </w:r>
      <w:r>
        <w:rPr>
          <w:rFonts w:ascii="Calibri" w:hAnsi="Calibri"/>
          <w:sz w:val="22"/>
        </w:rPr>
        <w:tab/>
        <w:t>Cerințele stabilite în prezenta secțiune se aplică clădirilor care au o zonă de parcare, fie în interiorul, fie în exteriorul clădirii, în următoarele cazuri:</w:t>
      </w:r>
    </w:p>
    <w:p w14:paraId="1105C106" w14:textId="77777777" w:rsidR="000760AB" w:rsidRPr="000760AB" w:rsidRDefault="000760AB" w:rsidP="000760AB">
      <w:pPr>
        <w:suppressAutoHyphens/>
        <w:spacing w:before="60" w:after="60"/>
        <w:ind w:left="284"/>
        <w:jc w:val="both"/>
        <w:textAlignment w:val="baseline"/>
        <w:rPr>
          <w:rFonts w:ascii="Calibri" w:eastAsia="Arial" w:hAnsi="Calibri" w:cs="Calibri"/>
          <w:kern w:val="2"/>
          <w:sz w:val="22"/>
          <w:szCs w:val="22"/>
        </w:rPr>
      </w:pPr>
      <w:r>
        <w:rPr>
          <w:rFonts w:ascii="Calibri" w:hAnsi="Calibri"/>
          <w:sz w:val="22"/>
        </w:rPr>
        <w:t>(a) clădiri nou construite;</w:t>
      </w:r>
    </w:p>
    <w:p w14:paraId="24CACEDC" w14:textId="77777777" w:rsidR="000760AB" w:rsidRPr="000760AB" w:rsidRDefault="000760AB" w:rsidP="000760AB">
      <w:pPr>
        <w:suppressAutoHyphens/>
        <w:spacing w:before="60" w:after="60"/>
        <w:ind w:left="284"/>
        <w:jc w:val="both"/>
        <w:textAlignment w:val="baseline"/>
        <w:rPr>
          <w:rFonts w:ascii="Calibri" w:eastAsia="Arial" w:hAnsi="Calibri" w:cs="Calibri"/>
          <w:kern w:val="2"/>
          <w:sz w:val="22"/>
          <w:szCs w:val="22"/>
        </w:rPr>
      </w:pPr>
      <w:r>
        <w:rPr>
          <w:rFonts w:ascii="Calibri" w:hAnsi="Calibri"/>
          <w:sz w:val="22"/>
        </w:rPr>
        <w:t>(b) clădiri existente, în următoarele cazuri:</w:t>
      </w:r>
    </w:p>
    <w:p w14:paraId="136E92EF" w14:textId="77777777" w:rsidR="000760AB" w:rsidRPr="000760AB" w:rsidRDefault="000760AB" w:rsidP="00FD453F">
      <w:pPr>
        <w:numPr>
          <w:ilvl w:val="0"/>
          <w:numId w:val="33"/>
        </w:numPr>
        <w:suppressAutoHyphens/>
        <w:spacing w:before="60" w:after="60" w:line="259" w:lineRule="auto"/>
        <w:ind w:left="284" w:firstLine="0"/>
        <w:jc w:val="both"/>
        <w:textAlignment w:val="baseline"/>
        <w:rPr>
          <w:rFonts w:ascii="Calibri" w:eastAsia="Arial" w:hAnsi="Calibri" w:cs="Calibri"/>
          <w:kern w:val="2"/>
          <w:sz w:val="22"/>
          <w:szCs w:val="22"/>
        </w:rPr>
      </w:pPr>
      <w:r>
        <w:rPr>
          <w:rFonts w:ascii="Calibri" w:hAnsi="Calibri"/>
          <w:sz w:val="22"/>
        </w:rPr>
        <w:t>modificări ale utilizării caracteristice a clădirii;</w:t>
      </w:r>
    </w:p>
    <w:p w14:paraId="14079978" w14:textId="77777777" w:rsidR="000760AB" w:rsidRPr="000760AB" w:rsidRDefault="000760AB" w:rsidP="00FD453F">
      <w:pPr>
        <w:numPr>
          <w:ilvl w:val="0"/>
          <w:numId w:val="33"/>
        </w:numPr>
        <w:suppressAutoHyphens/>
        <w:spacing w:before="60" w:after="60" w:line="259" w:lineRule="auto"/>
        <w:ind w:left="284" w:firstLine="0"/>
        <w:jc w:val="both"/>
        <w:textAlignment w:val="baseline"/>
        <w:rPr>
          <w:rFonts w:ascii="Calibri" w:eastAsia="Arial" w:hAnsi="Calibri" w:cs="Calibri"/>
          <w:kern w:val="2"/>
          <w:sz w:val="22"/>
          <w:szCs w:val="22"/>
        </w:rPr>
      </w:pPr>
      <w:r>
        <w:rPr>
          <w:rFonts w:ascii="Calibri" w:hAnsi="Calibri"/>
          <w:sz w:val="22"/>
        </w:rPr>
        <w:t>extinderile, în cazurile care includ intervențiile în parcare și se mărește cu mai mult de 10 % suprafața sau volumul construit al unității sau</w:t>
      </w:r>
      <w:r>
        <w:rPr>
          <w:rFonts w:ascii="Calibri" w:hAnsi="Calibri"/>
          <w:i/>
          <w:sz w:val="22"/>
        </w:rPr>
        <w:t xml:space="preserve"> unităților de utilizare</w:t>
      </w:r>
      <w:r>
        <w:rPr>
          <w:rFonts w:ascii="Calibri" w:hAnsi="Calibri"/>
          <w:sz w:val="22"/>
        </w:rPr>
        <w:t xml:space="preserve"> pe care are loc intervenția , iar suprafața utilă mărită este mai mare de 50 m</w:t>
      </w:r>
      <w:r>
        <w:rPr>
          <w:rFonts w:ascii="Calibri" w:hAnsi="Calibri"/>
          <w:sz w:val="22"/>
          <w:vertAlign w:val="superscript"/>
        </w:rPr>
        <w:t>2</w:t>
      </w:r>
      <w:r>
        <w:rPr>
          <w:rFonts w:ascii="Calibri" w:hAnsi="Calibri"/>
          <w:sz w:val="22"/>
        </w:rPr>
        <w:t>;</w:t>
      </w:r>
    </w:p>
    <w:p w14:paraId="02973E61" w14:textId="77777777" w:rsidR="000760AB" w:rsidRPr="000760AB" w:rsidRDefault="000760AB" w:rsidP="00FD453F">
      <w:pPr>
        <w:numPr>
          <w:ilvl w:val="0"/>
          <w:numId w:val="33"/>
        </w:numPr>
        <w:suppressAutoHyphens/>
        <w:spacing w:before="60" w:after="60" w:line="259" w:lineRule="auto"/>
        <w:ind w:left="284" w:firstLine="0"/>
        <w:jc w:val="both"/>
        <w:textAlignment w:val="baseline"/>
        <w:rPr>
          <w:rFonts w:ascii="Calibri" w:eastAsia="Arial" w:hAnsi="Calibri" w:cs="Calibri"/>
          <w:kern w:val="2"/>
          <w:sz w:val="22"/>
          <w:szCs w:val="22"/>
        </w:rPr>
      </w:pPr>
      <w:r>
        <w:rPr>
          <w:rFonts w:ascii="Calibri" w:hAnsi="Calibri"/>
          <w:sz w:val="22"/>
        </w:rPr>
        <w:t xml:space="preserve">reforme care includ intervenții în parcare și care reînnoiesc mai mult de 25 % din suprafața totală a </w:t>
      </w:r>
      <w:r>
        <w:rPr>
          <w:rFonts w:ascii="Calibri" w:hAnsi="Calibri"/>
          <w:i/>
          <w:sz w:val="22"/>
        </w:rPr>
        <w:t>anvelopei termice</w:t>
      </w:r>
      <w:r>
        <w:rPr>
          <w:rFonts w:ascii="Calibri" w:hAnsi="Calibri"/>
          <w:sz w:val="22"/>
        </w:rPr>
        <w:t xml:space="preserve"> finale a clădirii;</w:t>
      </w:r>
    </w:p>
    <w:p w14:paraId="7F40C209" w14:textId="77777777" w:rsidR="000760AB" w:rsidRPr="000760AB" w:rsidRDefault="000760AB" w:rsidP="00FD453F">
      <w:pPr>
        <w:numPr>
          <w:ilvl w:val="0"/>
          <w:numId w:val="33"/>
        </w:numPr>
        <w:suppressAutoHyphens/>
        <w:spacing w:before="60" w:after="60" w:line="259" w:lineRule="auto"/>
        <w:ind w:left="284" w:firstLine="0"/>
        <w:jc w:val="both"/>
        <w:textAlignment w:val="baseline"/>
        <w:rPr>
          <w:rFonts w:ascii="Calibri" w:eastAsia="Arial" w:hAnsi="Calibri" w:cs="Calibri"/>
          <w:kern w:val="2"/>
          <w:sz w:val="22"/>
          <w:szCs w:val="22"/>
        </w:rPr>
      </w:pPr>
      <w:r>
        <w:rPr>
          <w:rFonts w:ascii="Calibri" w:hAnsi="Calibri"/>
          <w:sz w:val="22"/>
        </w:rPr>
        <w:lastRenderedPageBreak/>
        <w:t>intervențiile la instalația electrică a clădirii care afectează mai mult de 50 % din energia instalată în clădire înainte de intervenție, în cazurile în care parcarea se află în interiorul clădirii</w:t>
      </w:r>
      <w:r>
        <w:rPr>
          <w:rFonts w:ascii="Calibri" w:hAnsi="Calibri"/>
          <w:sz w:val="22"/>
          <w:u w:color="FF0000"/>
        </w:rPr>
        <w:t>, cu condiția să existe un drept de a acționa în zona de parcare de către dezvoltatorul care efectuează o astfel de intervenție</w:t>
      </w:r>
      <w:r>
        <w:rPr>
          <w:rFonts w:ascii="Calibri" w:hAnsi="Calibri"/>
          <w:sz w:val="22"/>
        </w:rPr>
        <w:t>;</w:t>
      </w:r>
    </w:p>
    <w:p w14:paraId="7260D951" w14:textId="77777777" w:rsidR="000760AB" w:rsidRPr="000760AB" w:rsidRDefault="000760AB" w:rsidP="00FD453F">
      <w:pPr>
        <w:numPr>
          <w:ilvl w:val="0"/>
          <w:numId w:val="33"/>
        </w:numPr>
        <w:suppressAutoHyphens/>
        <w:spacing w:before="60" w:after="60" w:line="259" w:lineRule="auto"/>
        <w:ind w:left="284" w:firstLine="0"/>
        <w:jc w:val="both"/>
        <w:textAlignment w:val="baseline"/>
        <w:rPr>
          <w:rFonts w:ascii="Calibri" w:eastAsia="Arial" w:hAnsi="Calibri" w:cs="Calibri"/>
          <w:strike/>
          <w:kern w:val="2"/>
          <w:sz w:val="22"/>
          <w:szCs w:val="22"/>
        </w:rPr>
      </w:pPr>
      <w:r>
        <w:rPr>
          <w:rFonts w:ascii="Calibri" w:hAnsi="Calibri"/>
          <w:sz w:val="22"/>
        </w:rPr>
        <w:t>intervenții la instalația electrică a parcării care afectează mai mult de 50 % din puterea instalată în parcare înainte de intervenție.</w:t>
      </w:r>
    </w:p>
    <w:p w14:paraId="087DE78C" w14:textId="77777777" w:rsidR="000760AB" w:rsidRPr="000760AB" w:rsidRDefault="000760AB" w:rsidP="00FD453F">
      <w:pPr>
        <w:numPr>
          <w:ilvl w:val="0"/>
          <w:numId w:val="34"/>
        </w:numPr>
        <w:suppressAutoHyphens/>
        <w:spacing w:before="60" w:after="60" w:line="259" w:lineRule="auto"/>
        <w:ind w:left="284" w:firstLine="0"/>
        <w:jc w:val="both"/>
        <w:textAlignment w:val="baseline"/>
        <w:rPr>
          <w:rFonts w:ascii="Calibri" w:eastAsia="Arial" w:hAnsi="Calibri" w:cs="Calibri"/>
          <w:kern w:val="2"/>
          <w:sz w:val="22"/>
          <w:szCs w:val="22"/>
        </w:rPr>
      </w:pPr>
      <w:r>
        <w:rPr>
          <w:rFonts w:ascii="Calibri" w:hAnsi="Calibri"/>
          <w:sz w:val="22"/>
        </w:rPr>
        <w:t>Următoarele nu intră în domeniul de aplicare:</w:t>
      </w:r>
    </w:p>
    <w:p w14:paraId="6128A7B8" w14:textId="77777777" w:rsidR="000760AB" w:rsidRPr="000760AB" w:rsidRDefault="000760AB" w:rsidP="00FD453F">
      <w:pPr>
        <w:suppressAutoHyphens/>
        <w:spacing w:before="60" w:after="60"/>
        <w:ind w:left="284"/>
        <w:jc w:val="both"/>
        <w:textAlignment w:val="baseline"/>
        <w:rPr>
          <w:rFonts w:ascii="Calibri" w:eastAsia="Arial" w:hAnsi="Calibri" w:cs="Calibri"/>
          <w:kern w:val="2"/>
          <w:sz w:val="22"/>
          <w:szCs w:val="22"/>
        </w:rPr>
      </w:pPr>
      <w:r>
        <w:rPr>
          <w:rFonts w:ascii="Calibri" w:hAnsi="Calibri"/>
          <w:sz w:val="22"/>
        </w:rPr>
        <w:t>(a) clădirile destinate altei utilizări decât utilizării rezidențiale private, cu o zonă de parcare de maximum 10 locuri de parcare;</w:t>
      </w:r>
    </w:p>
    <w:p w14:paraId="6FB73115" w14:textId="77777777" w:rsidR="000760AB" w:rsidRPr="000760AB" w:rsidRDefault="000760AB" w:rsidP="00FD453F">
      <w:pPr>
        <w:spacing w:before="60" w:after="60"/>
        <w:ind w:left="284"/>
        <w:jc w:val="both"/>
        <w:rPr>
          <w:rFonts w:ascii="Calibri" w:hAnsi="Calibri" w:cs="Calibri"/>
          <w:sz w:val="22"/>
          <w:szCs w:val="22"/>
        </w:rPr>
      </w:pPr>
      <w:r>
        <w:rPr>
          <w:rFonts w:ascii="Calibri" w:hAnsi="Calibri"/>
          <w:sz w:val="22"/>
        </w:rPr>
        <w:t xml:space="preserve">(b) clădirile existente destinate altei utilizări decât utilizării rezidențiale private, cu o zonă de parcare de cel mult 20 de locuri de parcare și clădirile existente de </w:t>
      </w:r>
      <w:r>
        <w:rPr>
          <w:rFonts w:ascii="Calibri" w:hAnsi="Calibri"/>
          <w:i/>
          <w:sz w:val="22"/>
        </w:rPr>
        <w:t>uz rezidențial privat</w:t>
      </w:r>
      <w:r>
        <w:rPr>
          <w:rFonts w:ascii="Calibri" w:hAnsi="Calibri"/>
          <w:sz w:val="22"/>
        </w:rPr>
        <w:t>, în cazul în care, în ambele cazuri, costul respectării prezentului paragraf depășește 7 % din costul extinderii, schimbării utilizării sau intervenției de renovare care dă naștere obligației de conformitate. Pentru a determina costul intervențiilor menționate mai sus, costul real și efectiv al acestora se consideră a fi costul lor de construcție fizică;</w:t>
      </w:r>
    </w:p>
    <w:p w14:paraId="61E2DA67" w14:textId="77777777" w:rsidR="000760AB" w:rsidRPr="000760AB" w:rsidRDefault="000760AB" w:rsidP="00FD453F">
      <w:pPr>
        <w:spacing w:before="60" w:after="60"/>
        <w:ind w:left="284"/>
        <w:jc w:val="both"/>
        <w:rPr>
          <w:rFonts w:ascii="Calibri" w:hAnsi="Calibri" w:cs="Calibri"/>
          <w:sz w:val="22"/>
          <w:szCs w:val="22"/>
        </w:rPr>
      </w:pPr>
      <w:r>
        <w:rPr>
          <w:rFonts w:ascii="Calibri" w:hAnsi="Calibri"/>
          <w:sz w:val="22"/>
        </w:rPr>
        <w:t>(c) clădirile care sunt protejate oficial deoarece fac parte dintr-un mediu declarat sau datorită valorii lor arhitecturale sau istorice specifice sunt excluse de la aceste obligații în măsura în care respectarea cerințelor stabilite în prezenta secțiune ar putea modifica în mod nejustificat caracterul sau aspectul lor și autoritatea oficială de protecție este cea care determină elementele inalterabile.</w:t>
      </w:r>
      <w:bookmarkStart w:id="9" w:name="_Toc530396163"/>
      <w:bookmarkStart w:id="10" w:name="_Toc530395284"/>
    </w:p>
    <w:p w14:paraId="56E19149" w14:textId="77777777" w:rsidR="000760AB" w:rsidRPr="000760AB" w:rsidRDefault="000760AB" w:rsidP="000760AB">
      <w:pPr>
        <w:spacing w:before="60" w:after="60"/>
        <w:ind w:left="567"/>
        <w:jc w:val="both"/>
        <w:rPr>
          <w:rFonts w:ascii="Calibri" w:hAnsi="Calibri" w:cs="Calibri"/>
          <w:sz w:val="22"/>
          <w:szCs w:val="22"/>
        </w:rPr>
      </w:pPr>
    </w:p>
    <w:p w14:paraId="268F7EA1" w14:textId="77777777" w:rsidR="000760AB" w:rsidRPr="000760AB" w:rsidRDefault="000760AB" w:rsidP="000760AB">
      <w:pPr>
        <w:spacing w:before="60" w:after="60"/>
        <w:ind w:left="284"/>
        <w:jc w:val="both"/>
        <w:rPr>
          <w:rFonts w:ascii="Calibri" w:hAnsi="Calibri" w:cs="Calibri"/>
          <w:sz w:val="22"/>
          <w:szCs w:val="22"/>
        </w:rPr>
      </w:pPr>
      <w:r>
        <w:rPr>
          <w:rFonts w:ascii="Calibri" w:hAnsi="Calibri"/>
          <w:sz w:val="22"/>
        </w:rPr>
        <w:t>2</w:t>
      </w:r>
      <w:r>
        <w:rPr>
          <w:rFonts w:ascii="Calibri" w:hAnsi="Calibri"/>
          <w:sz w:val="22"/>
        </w:rPr>
        <w:tab/>
        <w:t>Descrierea cerinței</w:t>
      </w:r>
      <w:bookmarkEnd w:id="9"/>
      <w:bookmarkEnd w:id="10"/>
    </w:p>
    <w:p w14:paraId="69F9A98C" w14:textId="77777777" w:rsidR="000760AB" w:rsidRPr="000760AB" w:rsidRDefault="000760AB" w:rsidP="000760AB">
      <w:pPr>
        <w:keepNext/>
        <w:widowControl w:val="0"/>
        <w:tabs>
          <w:tab w:val="left" w:pos="709"/>
        </w:tabs>
        <w:suppressAutoHyphens/>
        <w:spacing w:before="120" w:after="60"/>
        <w:ind w:left="284"/>
        <w:jc w:val="both"/>
        <w:textAlignment w:val="baseline"/>
        <w:outlineLvl w:val="1"/>
        <w:rPr>
          <w:rFonts w:ascii="Calibri" w:eastAsia="Noto Sans CJK SC Regular" w:hAnsi="Calibri" w:cs="Calibri"/>
          <w:kern w:val="2"/>
          <w:sz w:val="22"/>
          <w:szCs w:val="22"/>
        </w:rPr>
      </w:pPr>
      <w:r>
        <w:rPr>
          <w:rFonts w:ascii="Calibri" w:hAnsi="Calibri"/>
          <w:sz w:val="22"/>
        </w:rPr>
        <w:t>1</w:t>
      </w:r>
      <w:r>
        <w:rPr>
          <w:rFonts w:ascii="Calibri" w:hAnsi="Calibri"/>
          <w:sz w:val="22"/>
        </w:rPr>
        <w:tab/>
        <w:t xml:space="preserve">Clădirile trebuie să dispună de o infrastructură minimă care să permită încărcarea </w:t>
      </w:r>
      <w:r>
        <w:rPr>
          <w:rFonts w:ascii="Calibri" w:hAnsi="Calibri"/>
          <w:i/>
          <w:sz w:val="22"/>
        </w:rPr>
        <w:t>vehiculelor electrice</w:t>
      </w:r>
      <w:r>
        <w:rPr>
          <w:rFonts w:ascii="Calibri" w:hAnsi="Calibri"/>
          <w:sz w:val="22"/>
        </w:rPr>
        <w:t>.</w:t>
      </w:r>
    </w:p>
    <w:p w14:paraId="29EA4F81" w14:textId="77777777" w:rsidR="000760AB" w:rsidRPr="000760AB" w:rsidRDefault="000760AB" w:rsidP="000760AB">
      <w:pPr>
        <w:keepNext/>
        <w:widowControl w:val="0"/>
        <w:tabs>
          <w:tab w:val="left" w:pos="709"/>
        </w:tabs>
        <w:suppressAutoHyphens/>
        <w:spacing w:before="120" w:after="60"/>
        <w:ind w:left="284"/>
        <w:jc w:val="both"/>
        <w:textAlignment w:val="baseline"/>
        <w:outlineLvl w:val="1"/>
        <w:rPr>
          <w:rFonts w:ascii="Calibri" w:eastAsia="Noto Sans CJK SC Regular" w:hAnsi="Calibri" w:cs="Calibri"/>
          <w:kern w:val="2"/>
          <w:sz w:val="22"/>
          <w:szCs w:val="22"/>
        </w:rPr>
      </w:pPr>
      <w:r>
        <w:rPr>
          <w:rFonts w:ascii="Calibri" w:hAnsi="Calibri"/>
          <w:sz w:val="22"/>
        </w:rPr>
        <w:t xml:space="preserve">Această </w:t>
      </w:r>
      <w:r>
        <w:rPr>
          <w:rFonts w:ascii="Calibri" w:hAnsi="Calibri"/>
          <w:i/>
          <w:sz w:val="22"/>
        </w:rPr>
        <w:t>infrastructură de reîncărcare a vehiculelor electrice</w:t>
      </w:r>
      <w:r>
        <w:rPr>
          <w:rFonts w:ascii="Calibri" w:hAnsi="Calibri"/>
          <w:sz w:val="22"/>
        </w:rPr>
        <w:t xml:space="preserve"> va respecta prevederile actualei reglementări electrotehnice de joasă tensiune și ale Instrucțiunii sale tehnice suplimentare (ITC) BT 52 „Instalații cu destinație specială. Infrastructură de reîncărcare a </w:t>
      </w:r>
      <w:r>
        <w:rPr>
          <w:rFonts w:ascii="Calibri" w:hAnsi="Calibri"/>
          <w:i/>
          <w:sz w:val="22"/>
        </w:rPr>
        <w:t>vehiculelor electrice</w:t>
      </w:r>
      <w:r>
        <w:rPr>
          <w:rFonts w:ascii="Calibri" w:hAnsi="Calibri"/>
          <w:sz w:val="22"/>
        </w:rPr>
        <w:t>”.</w:t>
      </w:r>
      <w:bookmarkStart w:id="11" w:name="_Toc530396164"/>
      <w:bookmarkStart w:id="12" w:name="_Toc530395285"/>
    </w:p>
    <w:p w14:paraId="1CF8D411" w14:textId="77777777" w:rsidR="000760AB" w:rsidRPr="000760AB" w:rsidRDefault="000760AB" w:rsidP="000760AB">
      <w:pPr>
        <w:keepNext/>
        <w:widowControl w:val="0"/>
        <w:tabs>
          <w:tab w:val="left" w:pos="709"/>
        </w:tabs>
        <w:suppressAutoHyphens/>
        <w:spacing w:before="120" w:after="60"/>
        <w:ind w:left="284"/>
        <w:jc w:val="both"/>
        <w:textAlignment w:val="baseline"/>
        <w:outlineLvl w:val="1"/>
        <w:rPr>
          <w:rFonts w:ascii="Calibri" w:eastAsia="Noto Sans CJK SC Regular" w:hAnsi="Calibri" w:cs="Calibri"/>
          <w:kern w:val="2"/>
          <w:sz w:val="22"/>
          <w:szCs w:val="22"/>
          <w:lang w:eastAsia="zh-CN" w:bidi="hi-IN"/>
        </w:rPr>
      </w:pPr>
    </w:p>
    <w:p w14:paraId="10EC5F9A" w14:textId="77777777" w:rsidR="000760AB" w:rsidRPr="000760AB" w:rsidRDefault="000760AB" w:rsidP="000760AB">
      <w:pPr>
        <w:keepNext/>
        <w:widowControl w:val="0"/>
        <w:tabs>
          <w:tab w:val="left" w:pos="709"/>
        </w:tabs>
        <w:suppressAutoHyphens/>
        <w:spacing w:before="120" w:after="60"/>
        <w:ind w:left="284"/>
        <w:jc w:val="both"/>
        <w:textAlignment w:val="baseline"/>
        <w:outlineLvl w:val="1"/>
        <w:rPr>
          <w:rFonts w:ascii="Calibri" w:eastAsia="Noto Sans CJK SC Regular" w:hAnsi="Calibri" w:cs="Calibri"/>
          <w:kern w:val="2"/>
          <w:sz w:val="22"/>
          <w:szCs w:val="22"/>
        </w:rPr>
      </w:pPr>
      <w:r>
        <w:rPr>
          <w:rFonts w:ascii="Calibri" w:hAnsi="Calibri"/>
          <w:sz w:val="22"/>
        </w:rPr>
        <w:t>3</w:t>
      </w:r>
      <w:r>
        <w:rPr>
          <w:rFonts w:ascii="Calibri" w:hAnsi="Calibri"/>
          <w:sz w:val="22"/>
        </w:rPr>
        <w:tab/>
        <w:t>Cuantificarea cerinței</w:t>
      </w:r>
      <w:bookmarkEnd w:id="11"/>
      <w:bookmarkEnd w:id="12"/>
    </w:p>
    <w:p w14:paraId="571C5F1A" w14:textId="77777777" w:rsidR="000760AB" w:rsidRPr="000760AB" w:rsidRDefault="000760AB" w:rsidP="000760AB">
      <w:pPr>
        <w:spacing w:before="120" w:after="60"/>
        <w:ind w:left="284"/>
        <w:jc w:val="both"/>
        <w:rPr>
          <w:rFonts w:ascii="Calibri" w:hAnsi="Calibri" w:cs="Calibri"/>
          <w:sz w:val="22"/>
          <w:szCs w:val="22"/>
        </w:rPr>
      </w:pPr>
      <w:r>
        <w:rPr>
          <w:rFonts w:ascii="Calibri" w:hAnsi="Calibri"/>
          <w:sz w:val="22"/>
        </w:rPr>
        <w:t>1</w:t>
      </w:r>
      <w:r>
        <w:rPr>
          <w:rFonts w:ascii="Calibri" w:hAnsi="Calibri"/>
          <w:sz w:val="22"/>
        </w:rPr>
        <w:tab/>
        <w:t xml:space="preserve">În clădirile destinate </w:t>
      </w:r>
      <w:r>
        <w:rPr>
          <w:rFonts w:ascii="Calibri" w:hAnsi="Calibri"/>
          <w:i/>
          <w:sz w:val="22"/>
        </w:rPr>
        <w:t>utilizării rezidențiale private</w:t>
      </w:r>
      <w:r>
        <w:rPr>
          <w:rFonts w:ascii="Calibri" w:hAnsi="Calibri"/>
          <w:sz w:val="22"/>
        </w:rPr>
        <w:t xml:space="preserve"> sistemele de cablare vor fi instalate pentru a permite alimentarea viitoare a </w:t>
      </w:r>
      <w:r>
        <w:rPr>
          <w:rFonts w:ascii="Calibri" w:hAnsi="Calibri"/>
          <w:i/>
          <w:sz w:val="22"/>
        </w:rPr>
        <w:t>stațiilor de reîncărcare</w:t>
      </w:r>
      <w:r>
        <w:rPr>
          <w:rFonts w:ascii="Calibri" w:hAnsi="Calibri"/>
          <w:sz w:val="22"/>
        </w:rPr>
        <w:t xml:space="preserve"> pentru 100 % din locurile de parcare.</w:t>
      </w:r>
    </w:p>
    <w:p w14:paraId="76793F36" w14:textId="77777777" w:rsidR="000760AB" w:rsidRPr="000760AB" w:rsidRDefault="000760AB" w:rsidP="000760AB">
      <w:pPr>
        <w:spacing w:before="120" w:after="60"/>
        <w:ind w:left="284"/>
        <w:jc w:val="both"/>
        <w:rPr>
          <w:rFonts w:ascii="Calibri" w:hAnsi="Calibri" w:cs="Calibri"/>
          <w:sz w:val="22"/>
          <w:szCs w:val="22"/>
        </w:rPr>
      </w:pPr>
      <w:r>
        <w:rPr>
          <w:rFonts w:ascii="Calibri" w:hAnsi="Calibri"/>
          <w:sz w:val="22"/>
        </w:rPr>
        <w:t>2</w:t>
      </w:r>
      <w:r>
        <w:rPr>
          <w:rFonts w:ascii="Calibri" w:hAnsi="Calibri"/>
          <w:sz w:val="22"/>
        </w:rPr>
        <w:tab/>
        <w:t xml:space="preserve">În clădirile destinate altor utilizări decât cele rezidențiale private, vor fi instalate sisteme de cablare pentru a permite alimentarea viitoare a </w:t>
      </w:r>
      <w:r>
        <w:rPr>
          <w:rFonts w:ascii="Calibri" w:hAnsi="Calibri"/>
          <w:i/>
          <w:sz w:val="22"/>
        </w:rPr>
        <w:t>stațiilor de reîncărcare</w:t>
      </w:r>
      <w:r>
        <w:rPr>
          <w:rFonts w:ascii="Calibri" w:hAnsi="Calibri"/>
          <w:sz w:val="22"/>
        </w:rPr>
        <w:t xml:space="preserve"> pentru cel puțin 20 % din locurile de parcare.</w:t>
      </w:r>
    </w:p>
    <w:p w14:paraId="247AE17F" w14:textId="77777777" w:rsidR="000760AB" w:rsidRPr="000760AB" w:rsidRDefault="000760AB" w:rsidP="000760AB">
      <w:pPr>
        <w:spacing w:before="120" w:after="60"/>
        <w:ind w:left="284"/>
        <w:jc w:val="both"/>
        <w:rPr>
          <w:rFonts w:ascii="Calibri" w:hAnsi="Calibri" w:cs="Calibri"/>
          <w:sz w:val="22"/>
          <w:szCs w:val="22"/>
        </w:rPr>
      </w:pPr>
      <w:r>
        <w:rPr>
          <w:rFonts w:ascii="Calibri" w:hAnsi="Calibri"/>
          <w:sz w:val="22"/>
        </w:rPr>
        <w:t xml:space="preserve">În plus, o </w:t>
      </w:r>
      <w:r>
        <w:rPr>
          <w:rFonts w:ascii="Calibri" w:hAnsi="Calibri"/>
          <w:i/>
          <w:sz w:val="22"/>
        </w:rPr>
        <w:t>stație de reîncărcare</w:t>
      </w:r>
      <w:r>
        <w:rPr>
          <w:rFonts w:ascii="Calibri" w:hAnsi="Calibri"/>
          <w:sz w:val="22"/>
        </w:rPr>
        <w:t xml:space="preserve"> va fi instalată pentru fiecare 40 de locuri de parcare sau o fracțiune a acestora.</w:t>
      </w:r>
    </w:p>
    <w:p w14:paraId="192987C0" w14:textId="77777777" w:rsidR="000760AB" w:rsidRPr="000760AB" w:rsidRDefault="000760AB" w:rsidP="000760AB">
      <w:pPr>
        <w:spacing w:before="120" w:after="60"/>
        <w:ind w:left="284"/>
        <w:jc w:val="both"/>
        <w:rPr>
          <w:rFonts w:ascii="Calibri" w:hAnsi="Calibri" w:cs="Calibri"/>
          <w:sz w:val="22"/>
          <w:szCs w:val="22"/>
        </w:rPr>
      </w:pPr>
      <w:r>
        <w:rPr>
          <w:rFonts w:ascii="Calibri" w:hAnsi="Calibri"/>
          <w:sz w:val="22"/>
        </w:rPr>
        <w:t>În clădirile destinate altor utilizări decât cele rezidențiale private deținute de Administrația Generală de Stat sau de organismele publice legate de aceasta sau dependente de aceasta, dispoziția trebuie să fie mai mare decât cea stabilită în general, cu instalarea</w:t>
      </w:r>
      <w:r>
        <w:rPr>
          <w:rFonts w:ascii="Calibri" w:hAnsi="Calibri"/>
          <w:color w:val="1F497D"/>
          <w:sz w:val="22"/>
        </w:rPr>
        <w:t xml:space="preserve"> </w:t>
      </w:r>
      <w:r>
        <w:rPr>
          <w:rFonts w:ascii="Calibri" w:hAnsi="Calibri"/>
          <w:sz w:val="22"/>
        </w:rPr>
        <w:t xml:space="preserve">unei </w:t>
      </w:r>
      <w:r>
        <w:rPr>
          <w:rFonts w:ascii="Calibri" w:hAnsi="Calibri"/>
          <w:i/>
          <w:sz w:val="22"/>
        </w:rPr>
        <w:t>stații de reîncărcare</w:t>
      </w:r>
      <w:r>
        <w:rPr>
          <w:rFonts w:ascii="Calibri" w:hAnsi="Calibri"/>
          <w:sz w:val="22"/>
        </w:rPr>
        <w:t xml:space="preserve"> pentru fiecare 20 de locuri de parcare sau o fracțiune a acestora.</w:t>
      </w:r>
    </w:p>
    <w:p w14:paraId="69499695" w14:textId="77777777" w:rsidR="000760AB" w:rsidRPr="000760AB" w:rsidRDefault="000760AB" w:rsidP="000760AB">
      <w:pPr>
        <w:spacing w:before="120" w:after="60"/>
        <w:ind w:left="284"/>
        <w:jc w:val="both"/>
        <w:rPr>
          <w:rFonts w:ascii="Calibri" w:hAnsi="Calibri" w:cs="Calibri"/>
          <w:sz w:val="22"/>
          <w:szCs w:val="22"/>
        </w:rPr>
      </w:pPr>
      <w:r>
        <w:rPr>
          <w:rFonts w:ascii="Calibri" w:hAnsi="Calibri"/>
          <w:sz w:val="22"/>
        </w:rPr>
        <w:t xml:space="preserve">În cazul parcărilor cu locuri de parcare accesibile, astfel cum se prevede în Documentul de bază privind siguranța în utilizare și accesibilitate (DB SUA), se va instala câte o </w:t>
      </w:r>
      <w:r>
        <w:rPr>
          <w:rFonts w:ascii="Calibri" w:hAnsi="Calibri"/>
          <w:i/>
          <w:sz w:val="22"/>
        </w:rPr>
        <w:t>stație de reîncărcare</w:t>
      </w:r>
      <w:r>
        <w:rPr>
          <w:rFonts w:ascii="Calibri" w:hAnsi="Calibri"/>
          <w:sz w:val="22"/>
        </w:rPr>
        <w:t xml:space="preserve"> pentru fiecare cinci locuri de parcare accesibile. </w:t>
      </w:r>
      <w:r>
        <w:rPr>
          <w:rFonts w:ascii="Calibri" w:hAnsi="Calibri"/>
          <w:i/>
          <w:sz w:val="22"/>
        </w:rPr>
        <w:t>Stațiile de reîncărcare</w:t>
      </w:r>
      <w:r>
        <w:rPr>
          <w:rFonts w:ascii="Calibri" w:hAnsi="Calibri"/>
          <w:sz w:val="22"/>
        </w:rPr>
        <w:t xml:space="preserve"> din aceste locații sunt luate în considerare în scopul conformității cu cuantificarea cerinței.</w:t>
      </w:r>
    </w:p>
    <w:p w14:paraId="4722B70F" w14:textId="77777777" w:rsidR="000760AB" w:rsidRPr="000760AB" w:rsidRDefault="000760AB" w:rsidP="000760AB">
      <w:pPr>
        <w:spacing w:before="120" w:after="60"/>
        <w:ind w:left="284"/>
        <w:jc w:val="both"/>
        <w:rPr>
          <w:rFonts w:ascii="Calibri" w:hAnsi="Calibri" w:cs="Calibri"/>
          <w:sz w:val="22"/>
          <w:szCs w:val="22"/>
        </w:rPr>
      </w:pPr>
      <w:r>
        <w:rPr>
          <w:rFonts w:ascii="Calibri" w:hAnsi="Calibri"/>
          <w:sz w:val="22"/>
        </w:rPr>
        <w:lastRenderedPageBreak/>
        <w:t>3</w:t>
      </w:r>
      <w:r>
        <w:rPr>
          <w:rFonts w:ascii="Calibri" w:hAnsi="Calibri"/>
          <w:sz w:val="22"/>
        </w:rPr>
        <w:tab/>
        <w:t xml:space="preserve">Pentru clădirile care au unități destinate </w:t>
      </w:r>
      <w:r>
        <w:rPr>
          <w:rFonts w:ascii="Calibri" w:hAnsi="Calibri"/>
          <w:i/>
          <w:sz w:val="22"/>
        </w:rPr>
        <w:t xml:space="preserve">utilizării rezidențiale private </w:t>
      </w:r>
      <w:r>
        <w:rPr>
          <w:rFonts w:ascii="Calibri" w:hAnsi="Calibri"/>
          <w:sz w:val="22"/>
        </w:rPr>
        <w:t>împreună cu unitățile pentru utilizări diferite, în cazul în care zonele de parcare legate de fiecare utilizare nu sunt clar diferențiate, se aplică criteriul pentru utilizarea caracteristică a clădirii.</w:t>
      </w:r>
      <w:bookmarkStart w:id="13" w:name="_Toc530396167"/>
      <w:bookmarkStart w:id="14" w:name="_Toc530395288"/>
    </w:p>
    <w:p w14:paraId="19D587A1" w14:textId="77777777" w:rsidR="000760AB" w:rsidRPr="000760AB" w:rsidRDefault="000760AB" w:rsidP="000760AB">
      <w:pPr>
        <w:spacing w:before="120" w:after="60"/>
        <w:ind w:left="567"/>
        <w:jc w:val="both"/>
        <w:rPr>
          <w:rFonts w:ascii="Calibri" w:hAnsi="Calibri" w:cs="Calibri"/>
          <w:sz w:val="22"/>
          <w:szCs w:val="22"/>
        </w:rPr>
      </w:pPr>
    </w:p>
    <w:p w14:paraId="2FC0E269" w14:textId="77777777" w:rsidR="000760AB" w:rsidRPr="000760AB" w:rsidRDefault="000760AB" w:rsidP="000760AB">
      <w:pPr>
        <w:spacing w:before="120" w:after="60"/>
        <w:ind w:left="284"/>
        <w:jc w:val="both"/>
        <w:rPr>
          <w:rFonts w:ascii="Calibri" w:hAnsi="Calibri" w:cs="Calibri"/>
          <w:sz w:val="22"/>
          <w:szCs w:val="22"/>
        </w:rPr>
      </w:pPr>
      <w:r>
        <w:rPr>
          <w:rFonts w:ascii="Calibri" w:hAnsi="Calibri"/>
          <w:sz w:val="22"/>
        </w:rPr>
        <w:t>4</w:t>
      </w:r>
      <w:r>
        <w:rPr>
          <w:rFonts w:ascii="Calibri" w:hAnsi="Calibri"/>
          <w:sz w:val="22"/>
        </w:rPr>
        <w:tab/>
        <w:t>Justificarea cerinței</w:t>
      </w:r>
      <w:bookmarkEnd w:id="13"/>
      <w:bookmarkEnd w:id="14"/>
    </w:p>
    <w:p w14:paraId="15BAB575" w14:textId="77777777" w:rsidR="000760AB" w:rsidRPr="000760AB" w:rsidRDefault="000760AB" w:rsidP="000760AB">
      <w:pPr>
        <w:spacing w:before="240" w:after="100"/>
        <w:ind w:left="284"/>
        <w:jc w:val="both"/>
        <w:rPr>
          <w:rFonts w:ascii="Calibri" w:eastAsia="Arial" w:hAnsi="Calibri" w:cs="Calibri"/>
          <w:kern w:val="2"/>
          <w:sz w:val="22"/>
          <w:szCs w:val="22"/>
        </w:rPr>
      </w:pPr>
      <w:r>
        <w:rPr>
          <w:rFonts w:ascii="Calibri" w:hAnsi="Calibri"/>
          <w:sz w:val="22"/>
        </w:rPr>
        <w:t>1</w:t>
      </w:r>
      <w:r>
        <w:rPr>
          <w:rFonts w:ascii="Calibri" w:hAnsi="Calibri"/>
          <w:sz w:val="22"/>
        </w:rPr>
        <w:tab/>
        <w:t>Pentru a demonstra că o clădire îndeplinește cerințele prezentului document de bază, documentele de proiectare trebuie să includă următoarele informații privind clădirea sau partea relevantă a acesteia:</w:t>
      </w:r>
    </w:p>
    <w:p w14:paraId="36CFFEC7" w14:textId="77777777" w:rsidR="000760AB" w:rsidRPr="000760AB" w:rsidRDefault="000760AB" w:rsidP="000760AB">
      <w:pPr>
        <w:suppressAutoHyphens/>
        <w:spacing w:before="60" w:after="60"/>
        <w:ind w:left="284"/>
        <w:jc w:val="both"/>
        <w:textAlignment w:val="baseline"/>
        <w:rPr>
          <w:rFonts w:ascii="Calibri" w:eastAsia="Arial" w:hAnsi="Calibri" w:cs="Calibri"/>
          <w:kern w:val="2"/>
          <w:sz w:val="22"/>
          <w:szCs w:val="22"/>
        </w:rPr>
      </w:pPr>
      <w:r>
        <w:rPr>
          <w:rFonts w:ascii="Calibri" w:hAnsi="Calibri"/>
          <w:sz w:val="22"/>
        </w:rPr>
        <w:t>(a) diagrama de cablare utilizată pentru dimensionare, astfel cum este descrisă în regulamentul electrotehnic de joasă tensiune;</w:t>
      </w:r>
    </w:p>
    <w:p w14:paraId="646DF7C0" w14:textId="77777777" w:rsidR="000760AB" w:rsidRPr="000760AB" w:rsidRDefault="000760AB" w:rsidP="000760AB">
      <w:pPr>
        <w:suppressAutoHyphens/>
        <w:spacing w:before="60" w:after="60"/>
        <w:ind w:left="284"/>
        <w:jc w:val="both"/>
        <w:textAlignment w:val="baseline"/>
        <w:rPr>
          <w:rFonts w:ascii="Calibri" w:eastAsia="Arial" w:hAnsi="Calibri" w:cs="Calibri"/>
          <w:kern w:val="2"/>
          <w:sz w:val="22"/>
          <w:szCs w:val="22"/>
        </w:rPr>
      </w:pPr>
      <w:r>
        <w:rPr>
          <w:rFonts w:ascii="Calibri" w:hAnsi="Calibri"/>
          <w:sz w:val="22"/>
        </w:rPr>
        <w:t>(b) descrierea canalului principal și a conductelor pregătite, cu indicarea procentului de locuri de parcare cu sisteme de cablare și procentul minim necesar;</w:t>
      </w:r>
    </w:p>
    <w:p w14:paraId="69C66A52" w14:textId="77777777" w:rsidR="000760AB" w:rsidRPr="000760AB" w:rsidRDefault="000760AB" w:rsidP="000760AB">
      <w:pPr>
        <w:suppressAutoHyphens/>
        <w:spacing w:before="60" w:after="60"/>
        <w:ind w:left="284"/>
        <w:jc w:val="both"/>
        <w:textAlignment w:val="baseline"/>
        <w:rPr>
          <w:rFonts w:ascii="Calibri" w:eastAsia="Arial" w:hAnsi="Calibri" w:cs="Calibri"/>
          <w:kern w:val="2"/>
          <w:sz w:val="22"/>
          <w:szCs w:val="22"/>
        </w:rPr>
      </w:pPr>
      <w:r>
        <w:rPr>
          <w:rFonts w:ascii="Calibri" w:hAnsi="Calibri"/>
          <w:sz w:val="22"/>
        </w:rPr>
        <w:t xml:space="preserve">(c) numărul de </w:t>
      </w:r>
      <w:r>
        <w:rPr>
          <w:rFonts w:ascii="Calibri" w:hAnsi="Calibri"/>
          <w:i/>
          <w:sz w:val="22"/>
        </w:rPr>
        <w:t>stații de reîncărcare</w:t>
      </w:r>
      <w:r>
        <w:rPr>
          <w:rFonts w:ascii="Calibri" w:hAnsi="Calibri"/>
          <w:sz w:val="22"/>
        </w:rPr>
        <w:t xml:space="preserve"> instalate și numărul minim care rezultă din cuantificarea cerinței;</w:t>
      </w:r>
    </w:p>
    <w:p w14:paraId="7BE9C95E" w14:textId="77777777" w:rsidR="000760AB" w:rsidRPr="000760AB" w:rsidRDefault="000760AB" w:rsidP="000760AB">
      <w:pPr>
        <w:suppressAutoHyphens/>
        <w:spacing w:before="60" w:after="60"/>
        <w:ind w:left="284"/>
        <w:jc w:val="both"/>
        <w:textAlignment w:val="baseline"/>
        <w:rPr>
          <w:rFonts w:ascii="Calibri" w:eastAsia="Arial" w:hAnsi="Calibri" w:cs="Calibri"/>
          <w:kern w:val="2"/>
          <w:sz w:val="22"/>
          <w:szCs w:val="22"/>
        </w:rPr>
      </w:pPr>
      <w:r>
        <w:rPr>
          <w:rFonts w:ascii="Calibri" w:hAnsi="Calibri"/>
          <w:sz w:val="22"/>
        </w:rPr>
        <w:t xml:space="preserve">(d) tipurile de </w:t>
      </w:r>
      <w:r>
        <w:rPr>
          <w:rFonts w:ascii="Calibri" w:hAnsi="Calibri"/>
          <w:i/>
          <w:sz w:val="22"/>
        </w:rPr>
        <w:t xml:space="preserve"> stații de reîncărcare </w:t>
      </w:r>
      <w:r>
        <w:rPr>
          <w:rFonts w:ascii="Calibri" w:hAnsi="Calibri"/>
          <w:sz w:val="22"/>
        </w:rPr>
        <w:t xml:space="preserve"> și puterea lor maximă nominală.</w:t>
      </w:r>
      <w:bookmarkStart w:id="15" w:name="_Toc530396168"/>
      <w:bookmarkStart w:id="16" w:name="_Toc530395289"/>
    </w:p>
    <w:p w14:paraId="52DF0579" w14:textId="77777777" w:rsidR="000760AB" w:rsidRPr="000760AB" w:rsidRDefault="000760AB" w:rsidP="000760AB">
      <w:pPr>
        <w:suppressAutoHyphens/>
        <w:spacing w:before="60" w:after="60"/>
        <w:ind w:left="567"/>
        <w:jc w:val="both"/>
        <w:textAlignment w:val="baseline"/>
        <w:rPr>
          <w:rFonts w:ascii="Calibri" w:eastAsia="Arial" w:hAnsi="Calibri" w:cs="Calibri"/>
          <w:kern w:val="2"/>
          <w:sz w:val="22"/>
          <w:szCs w:val="22"/>
          <w:lang w:eastAsia="zh-CN" w:bidi="hi-IN"/>
        </w:rPr>
      </w:pPr>
    </w:p>
    <w:p w14:paraId="50E1C334" w14:textId="77777777" w:rsidR="000760AB" w:rsidRPr="000760AB" w:rsidRDefault="000760AB" w:rsidP="000760AB">
      <w:pPr>
        <w:suppressAutoHyphens/>
        <w:spacing w:before="60" w:after="60"/>
        <w:ind w:left="284"/>
        <w:jc w:val="both"/>
        <w:textAlignment w:val="baseline"/>
        <w:rPr>
          <w:rFonts w:ascii="Calibri" w:eastAsia="Arial" w:hAnsi="Calibri" w:cs="Calibri"/>
          <w:kern w:val="2"/>
          <w:sz w:val="22"/>
          <w:szCs w:val="22"/>
        </w:rPr>
      </w:pPr>
      <w:r>
        <w:rPr>
          <w:rFonts w:ascii="Calibri" w:hAnsi="Calibri"/>
          <w:sz w:val="22"/>
        </w:rPr>
        <w:t>5</w:t>
      </w:r>
      <w:r>
        <w:rPr>
          <w:rFonts w:ascii="Calibri" w:hAnsi="Calibri"/>
          <w:sz w:val="22"/>
        </w:rPr>
        <w:tab/>
        <w:t>Construcție, întreținere și conservare</w:t>
      </w:r>
      <w:bookmarkEnd w:id="15"/>
      <w:bookmarkEnd w:id="16"/>
    </w:p>
    <w:p w14:paraId="000A9057" w14:textId="77777777" w:rsidR="000760AB" w:rsidRPr="000760AB" w:rsidRDefault="000760AB" w:rsidP="000760AB">
      <w:pPr>
        <w:keepNext/>
        <w:spacing w:before="200" w:after="100"/>
        <w:ind w:left="284"/>
        <w:jc w:val="both"/>
        <w:outlineLvl w:val="2"/>
        <w:rPr>
          <w:rFonts w:ascii="Calibri" w:eastAsia="Arial" w:hAnsi="Calibri" w:cs="Calibri"/>
          <w:kern w:val="2"/>
          <w:sz w:val="22"/>
          <w:szCs w:val="22"/>
        </w:rPr>
      </w:pPr>
      <w:bookmarkStart w:id="17" w:name="_Toc530396169"/>
      <w:bookmarkStart w:id="18" w:name="_Toc530395290"/>
      <w:r>
        <w:rPr>
          <w:rFonts w:ascii="Calibri" w:hAnsi="Calibri"/>
          <w:sz w:val="22"/>
        </w:rPr>
        <w:t>5.1 Executare</w:t>
      </w:r>
      <w:bookmarkEnd w:id="17"/>
      <w:bookmarkEnd w:id="18"/>
    </w:p>
    <w:p w14:paraId="3050030B" w14:textId="77777777" w:rsidR="000760AB" w:rsidRPr="000760AB" w:rsidRDefault="000760AB" w:rsidP="000760AB">
      <w:pPr>
        <w:spacing w:before="60" w:after="60"/>
        <w:ind w:left="284"/>
        <w:jc w:val="both"/>
        <w:rPr>
          <w:rFonts w:ascii="Calibri" w:eastAsia="Arial" w:hAnsi="Calibri" w:cs="Calibri"/>
          <w:kern w:val="2"/>
          <w:sz w:val="22"/>
          <w:szCs w:val="22"/>
        </w:rPr>
      </w:pPr>
      <w:r>
        <w:rPr>
          <w:rFonts w:ascii="Calibri" w:hAnsi="Calibri"/>
          <w:sz w:val="22"/>
        </w:rPr>
        <w:t>1</w:t>
      </w:r>
      <w:r>
        <w:rPr>
          <w:rFonts w:ascii="Calibri" w:hAnsi="Calibri"/>
          <w:sz w:val="22"/>
        </w:rPr>
        <w:tab/>
        <w:t xml:space="preserve">Lucrările de construcție a clădirii se efectuează în conformitate cu proiectul și modificările sale autorizate de către directorul de lucrări, sub rezerva acordului dezvoltatorului, a legislației aplicabile, a specificațiilor Regulamentului electrotehnic de joasă tensiune și a Instrucțiunii tehnice suplimentare ITC BT-52 „Instalații cu destinație specială. Infrastructura de reîncărcare a </w:t>
      </w:r>
      <w:r>
        <w:rPr>
          <w:rFonts w:ascii="Calibri" w:hAnsi="Calibri"/>
          <w:i/>
          <w:sz w:val="22"/>
        </w:rPr>
        <w:t>vehiculelor electrice</w:t>
      </w:r>
      <w:r>
        <w:rPr>
          <w:rFonts w:ascii="Calibri" w:hAnsi="Calibri"/>
          <w:sz w:val="22"/>
        </w:rPr>
        <w:t>”, la standardele de bune practici de construcție și la instrucțiunile directorului de lucrările și ale directorului de executare a proiectului, astfel cum se menționează la articolul 7 din partea I a CTE.</w:t>
      </w:r>
    </w:p>
    <w:p w14:paraId="089181A3" w14:textId="77777777" w:rsidR="000760AB" w:rsidRPr="000760AB" w:rsidRDefault="000760AB" w:rsidP="000760AB">
      <w:pPr>
        <w:keepNext/>
        <w:spacing w:before="200" w:after="100"/>
        <w:ind w:left="284"/>
        <w:jc w:val="both"/>
        <w:outlineLvl w:val="2"/>
        <w:rPr>
          <w:rFonts w:ascii="Calibri" w:eastAsia="Arial" w:hAnsi="Calibri" w:cs="Calibri"/>
          <w:kern w:val="2"/>
          <w:sz w:val="22"/>
          <w:szCs w:val="22"/>
        </w:rPr>
      </w:pPr>
      <w:bookmarkStart w:id="19" w:name="_Toc530396170"/>
      <w:bookmarkStart w:id="20" w:name="_Toc530395291"/>
      <w:r>
        <w:rPr>
          <w:rFonts w:ascii="Calibri" w:hAnsi="Calibri"/>
          <w:sz w:val="22"/>
        </w:rPr>
        <w:t>5.2 Monitorizarea executării lucrărilor</w:t>
      </w:r>
      <w:bookmarkEnd w:id="19"/>
      <w:bookmarkEnd w:id="20"/>
    </w:p>
    <w:p w14:paraId="5126F3A6" w14:textId="77777777" w:rsidR="000760AB" w:rsidRPr="000760AB" w:rsidRDefault="000760AB" w:rsidP="000760AB">
      <w:pPr>
        <w:spacing w:before="120" w:after="60"/>
        <w:ind w:left="284"/>
        <w:jc w:val="both"/>
        <w:rPr>
          <w:rFonts w:ascii="Calibri" w:eastAsia="Arial" w:hAnsi="Calibri" w:cs="Calibri"/>
          <w:kern w:val="2"/>
          <w:sz w:val="22"/>
          <w:szCs w:val="22"/>
        </w:rPr>
      </w:pPr>
      <w:r>
        <w:rPr>
          <w:rFonts w:ascii="Calibri" w:hAnsi="Calibri"/>
          <w:sz w:val="22"/>
        </w:rPr>
        <w:t>1</w:t>
      </w:r>
      <w:r>
        <w:rPr>
          <w:rFonts w:ascii="Calibri" w:hAnsi="Calibri"/>
          <w:sz w:val="22"/>
        </w:rPr>
        <w:tab/>
        <w:t xml:space="preserve">Executarea lucrărilor </w:t>
      </w:r>
      <w:r>
        <w:rPr>
          <w:rFonts w:ascii="Calibri" w:hAnsi="Calibri"/>
          <w:color w:val="FF0000"/>
          <w:sz w:val="22"/>
        </w:rPr>
        <w:t xml:space="preserve"> </w:t>
      </w:r>
      <w:r>
        <w:rPr>
          <w:rFonts w:ascii="Calibri" w:hAnsi="Calibri"/>
          <w:sz w:val="22"/>
        </w:rPr>
        <w:t>se monitorizează în conformitate cu specificațiile proiectului, anexele și modificările sale autorizate de către directorul de lucrări și cu instrucțiunile directorului de executare a proiectului, în conformitate cu specificațiile Regulamentului electrotehnic de joasă tensiune, în conformitate cu articolul 7 alineatul (3) din partea I a CTE și cu alte reglementări aplicabile.</w:t>
      </w:r>
    </w:p>
    <w:p w14:paraId="5E5E124D" w14:textId="77777777" w:rsidR="000760AB" w:rsidRPr="000760AB" w:rsidRDefault="000760AB" w:rsidP="000760AB">
      <w:pPr>
        <w:spacing w:before="120" w:after="60"/>
        <w:ind w:left="284"/>
        <w:jc w:val="both"/>
        <w:rPr>
          <w:rFonts w:ascii="Calibri" w:eastAsia="Arial" w:hAnsi="Calibri" w:cs="Calibri"/>
          <w:kern w:val="2"/>
          <w:sz w:val="22"/>
          <w:szCs w:val="22"/>
        </w:rPr>
      </w:pPr>
      <w:r>
        <w:rPr>
          <w:rFonts w:ascii="Calibri" w:hAnsi="Calibri"/>
          <w:sz w:val="22"/>
        </w:rPr>
        <w:t>2</w:t>
      </w:r>
      <w:r>
        <w:rPr>
          <w:rFonts w:ascii="Calibri" w:hAnsi="Calibri"/>
          <w:sz w:val="22"/>
        </w:rPr>
        <w:tab/>
        <w:t>Executarea lucrărilor se verifică pentru a se asigura că inspecțiile sunt efectuate la frecvența cerută, conform specificațiilor proiectului.</w:t>
      </w:r>
    </w:p>
    <w:p w14:paraId="59F0FC7F" w14:textId="77777777" w:rsidR="000760AB" w:rsidRPr="000760AB" w:rsidRDefault="000760AB" w:rsidP="000760AB">
      <w:pPr>
        <w:spacing w:before="120" w:after="60"/>
        <w:ind w:left="284"/>
        <w:jc w:val="both"/>
        <w:rPr>
          <w:rFonts w:ascii="Calibri" w:eastAsia="Arial" w:hAnsi="Calibri" w:cs="Calibri"/>
          <w:kern w:val="2"/>
          <w:sz w:val="22"/>
          <w:szCs w:val="22"/>
        </w:rPr>
      </w:pPr>
      <w:r>
        <w:rPr>
          <w:rFonts w:ascii="Calibri" w:hAnsi="Calibri"/>
          <w:sz w:val="22"/>
        </w:rPr>
        <w:t>3</w:t>
      </w:r>
      <w:r>
        <w:rPr>
          <w:rFonts w:ascii="Calibri" w:hAnsi="Calibri"/>
          <w:sz w:val="22"/>
        </w:rPr>
        <w:tab/>
        <w:t>Orice modificare efectuată în timpul executării lucrărilor se înregistrează în documentația de lucru completată și, în toate cazurile, trebuie îndeplinite condițiile minime stabilite în prezentul document de bază.</w:t>
      </w:r>
    </w:p>
    <w:p w14:paraId="0D137CE4" w14:textId="77777777" w:rsidR="000760AB" w:rsidRPr="000760AB" w:rsidRDefault="000760AB" w:rsidP="000760AB">
      <w:pPr>
        <w:spacing w:before="120" w:after="60"/>
        <w:ind w:left="284"/>
        <w:jc w:val="both"/>
        <w:rPr>
          <w:rFonts w:ascii="Calibri" w:eastAsia="Arial" w:hAnsi="Calibri" w:cs="Calibri"/>
          <w:kern w:val="2"/>
          <w:sz w:val="22"/>
          <w:szCs w:val="22"/>
        </w:rPr>
      </w:pPr>
      <w:r>
        <w:rPr>
          <w:rFonts w:ascii="Calibri" w:hAnsi="Calibri"/>
          <w:sz w:val="22"/>
        </w:rPr>
        <w:t>4</w:t>
      </w:r>
      <w:r>
        <w:rPr>
          <w:rFonts w:ascii="Calibri" w:hAnsi="Calibri"/>
          <w:sz w:val="22"/>
        </w:rPr>
        <w:tab/>
        <w:t>Documentația referitoare la caracteristicile produselor, echipamentelor și sistemelor încorporate în clădire va fi inclusă în Cartea clădirii.</w:t>
      </w:r>
    </w:p>
    <w:p w14:paraId="3FAAE7C2" w14:textId="77777777" w:rsidR="000760AB" w:rsidRPr="000760AB" w:rsidRDefault="000760AB" w:rsidP="00FD453F">
      <w:pPr>
        <w:keepNext/>
        <w:spacing w:before="200" w:after="100"/>
        <w:ind w:left="284"/>
        <w:jc w:val="both"/>
        <w:outlineLvl w:val="2"/>
        <w:rPr>
          <w:rFonts w:ascii="Calibri" w:eastAsia="Arial" w:hAnsi="Calibri" w:cs="Calibri"/>
          <w:kern w:val="2"/>
          <w:sz w:val="22"/>
          <w:szCs w:val="22"/>
        </w:rPr>
      </w:pPr>
      <w:bookmarkStart w:id="21" w:name="_Toc530396171"/>
      <w:bookmarkStart w:id="22" w:name="_Toc530395292"/>
      <w:r>
        <w:rPr>
          <w:rFonts w:ascii="Calibri" w:hAnsi="Calibri"/>
          <w:sz w:val="22"/>
        </w:rPr>
        <w:t>5.3 Verificarea lucrărilor finalizate</w:t>
      </w:r>
      <w:bookmarkEnd w:id="21"/>
      <w:bookmarkEnd w:id="22"/>
    </w:p>
    <w:p w14:paraId="1A89C868" w14:textId="77777777" w:rsidR="000760AB" w:rsidRPr="000760AB" w:rsidRDefault="000760AB" w:rsidP="00FD453F">
      <w:pPr>
        <w:spacing w:before="120" w:after="60"/>
        <w:ind w:left="284"/>
        <w:jc w:val="both"/>
        <w:rPr>
          <w:rFonts w:ascii="Calibri" w:eastAsia="Arial" w:hAnsi="Calibri" w:cs="Calibri"/>
          <w:kern w:val="2"/>
          <w:sz w:val="22"/>
          <w:szCs w:val="22"/>
        </w:rPr>
      </w:pPr>
      <w:r>
        <w:rPr>
          <w:rFonts w:ascii="Calibri" w:hAnsi="Calibri"/>
          <w:sz w:val="22"/>
        </w:rPr>
        <w:t>1</w:t>
      </w:r>
      <w:r>
        <w:rPr>
          <w:rFonts w:ascii="Calibri" w:hAnsi="Calibri"/>
          <w:sz w:val="22"/>
        </w:rPr>
        <w:tab/>
        <w:t>Inspecția lucrărilor finalizate trebuie să respecte criteriile indicate la articolul 7 alineatul (4) din partea I a CTE.</w:t>
      </w:r>
    </w:p>
    <w:p w14:paraId="32DA09D6" w14:textId="77777777" w:rsidR="000760AB" w:rsidRPr="000760AB" w:rsidRDefault="000760AB" w:rsidP="00FD453F">
      <w:pPr>
        <w:spacing w:before="120" w:after="60"/>
        <w:ind w:left="284"/>
        <w:jc w:val="both"/>
        <w:rPr>
          <w:rFonts w:ascii="Calibri" w:eastAsia="Arial" w:hAnsi="Calibri" w:cs="Calibri"/>
          <w:kern w:val="2"/>
          <w:sz w:val="22"/>
          <w:szCs w:val="22"/>
        </w:rPr>
      </w:pPr>
      <w:r>
        <w:rPr>
          <w:rFonts w:ascii="Calibri" w:hAnsi="Calibri"/>
          <w:sz w:val="22"/>
        </w:rPr>
        <w:t>2</w:t>
      </w:r>
      <w:r>
        <w:rPr>
          <w:rFonts w:ascii="Calibri" w:hAnsi="Calibri"/>
          <w:sz w:val="22"/>
        </w:rPr>
        <w:tab/>
        <w:t>Această secțiune a documentului de bază nu prevede teste finale.</w:t>
      </w:r>
    </w:p>
    <w:p w14:paraId="71B8183A" w14:textId="77777777" w:rsidR="000760AB" w:rsidRPr="000760AB" w:rsidRDefault="000760AB" w:rsidP="00FD453F">
      <w:pPr>
        <w:keepNext/>
        <w:spacing w:before="200" w:after="100"/>
        <w:ind w:left="284"/>
        <w:jc w:val="both"/>
        <w:outlineLvl w:val="2"/>
        <w:rPr>
          <w:rFonts w:ascii="Calibri" w:eastAsia="Arial" w:hAnsi="Calibri" w:cs="Calibri"/>
          <w:kern w:val="2"/>
          <w:sz w:val="22"/>
          <w:szCs w:val="22"/>
        </w:rPr>
      </w:pPr>
      <w:bookmarkStart w:id="23" w:name="_Toc530396172"/>
      <w:bookmarkStart w:id="24" w:name="_Toc530395293"/>
      <w:r>
        <w:rPr>
          <w:rFonts w:ascii="Calibri" w:hAnsi="Calibri"/>
          <w:sz w:val="22"/>
        </w:rPr>
        <w:lastRenderedPageBreak/>
        <w:t>5.4 Întreținerea și conservarea clădirii</w:t>
      </w:r>
      <w:bookmarkEnd w:id="23"/>
      <w:bookmarkEnd w:id="24"/>
    </w:p>
    <w:p w14:paraId="3E865FD5" w14:textId="77777777" w:rsidR="000760AB" w:rsidRPr="000760AB" w:rsidRDefault="000760AB" w:rsidP="00FD453F">
      <w:pPr>
        <w:spacing w:before="120" w:after="60"/>
        <w:ind w:left="284"/>
        <w:jc w:val="both"/>
        <w:rPr>
          <w:rFonts w:ascii="Calibri" w:eastAsia="Arial" w:hAnsi="Calibri" w:cs="Calibri"/>
          <w:kern w:val="2"/>
          <w:sz w:val="22"/>
          <w:szCs w:val="22"/>
        </w:rPr>
      </w:pPr>
      <w:r>
        <w:rPr>
          <w:rFonts w:ascii="Calibri" w:hAnsi="Calibri"/>
          <w:sz w:val="22"/>
        </w:rPr>
        <w:t>1</w:t>
      </w:r>
      <w:r>
        <w:rPr>
          <w:rFonts w:ascii="Calibri" w:hAnsi="Calibri"/>
          <w:sz w:val="22"/>
        </w:rPr>
        <w:tab/>
        <w:t xml:space="preserve">Planul de întreținere inclus în Cartea clădirii trebuie să includă operațiunile și frecvența necesare pentru întreținerea, în timp, a parametrilor de proiectare și performanță ai </w:t>
      </w:r>
      <w:r>
        <w:rPr>
          <w:rFonts w:ascii="Calibri" w:hAnsi="Calibri"/>
          <w:i/>
          <w:sz w:val="22"/>
        </w:rPr>
        <w:t>infrastructurii de încărcare a vehiculelor electrice</w:t>
      </w:r>
      <w:r>
        <w:rPr>
          <w:rFonts w:ascii="Calibri" w:hAnsi="Calibri"/>
          <w:sz w:val="22"/>
        </w:rPr>
        <w:t>.</w:t>
      </w:r>
    </w:p>
    <w:p w14:paraId="44174479" w14:textId="77777777" w:rsidR="000760AB" w:rsidRPr="000760AB" w:rsidRDefault="000760AB" w:rsidP="00FD453F">
      <w:pPr>
        <w:spacing w:before="120" w:after="60"/>
        <w:ind w:left="284"/>
        <w:jc w:val="both"/>
        <w:rPr>
          <w:rFonts w:ascii="Calibri" w:eastAsia="Arial" w:hAnsi="Calibri" w:cs="Calibri"/>
          <w:kern w:val="2"/>
          <w:sz w:val="22"/>
          <w:szCs w:val="22"/>
        </w:rPr>
      </w:pPr>
      <w:r>
        <w:rPr>
          <w:rFonts w:ascii="Calibri" w:hAnsi="Calibri"/>
          <w:sz w:val="22"/>
        </w:rPr>
        <w:t>2</w:t>
      </w:r>
      <w:r>
        <w:rPr>
          <w:rFonts w:ascii="Calibri" w:hAnsi="Calibri"/>
          <w:sz w:val="22"/>
        </w:rPr>
        <w:tab/>
        <w:t>De asemenea, Cartea clădirii va documenta toate intervențiile, fie că este vorba de lucrări de reparații, renovare sau reabilitare, efectuate pe toată durata de viață a clădirii.”</w:t>
      </w:r>
    </w:p>
    <w:p w14:paraId="4BAAA47B"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(mm) În anexa A, termenii „Iluminare inițială” și „Reflectanță” se elimină.</w:t>
      </w:r>
    </w:p>
    <w:p w14:paraId="6C74EA4F" w14:textId="77777777" w:rsidR="000760AB" w:rsidRPr="000760AB" w:rsidRDefault="000760AB" w:rsidP="000760AB">
      <w:pPr>
        <w:spacing w:after="160" w:line="259" w:lineRule="auto"/>
        <w:ind w:left="284"/>
        <w:contextualSpacing/>
        <w:jc w:val="both"/>
        <w:rPr>
          <w:rFonts w:ascii="Calibri" w:eastAsia="Calibri" w:hAnsi="Calibri" w:cs="Calibri"/>
          <w:sz w:val="22"/>
          <w:szCs w:val="22"/>
        </w:rPr>
      </w:pPr>
      <w:r>
        <w:rPr>
          <w:rFonts w:ascii="Calibri" w:hAnsi="Calibri"/>
          <w:sz w:val="22"/>
        </w:rPr>
        <w:t>(nn) În anexa A, în definiția „coeficientului total de transfer al căldurii (prin anvelopa termică a clădirii) (K)”, textul: „... K = X Hx/Aint...” se va citi, cu „x”, „x” și „int” ca subindice: „... K = Σ</w:t>
      </w:r>
      <w:r>
        <w:rPr>
          <w:rFonts w:ascii="Calibri" w:hAnsi="Calibri"/>
          <w:sz w:val="22"/>
          <w:vertAlign w:val="subscript"/>
        </w:rPr>
        <w:t>x</w:t>
      </w:r>
      <w:r>
        <w:rPr>
          <w:rFonts w:ascii="Calibri" w:hAnsi="Calibri"/>
          <w:sz w:val="22"/>
        </w:rPr>
        <w:t xml:space="preserve"> H</w:t>
      </w:r>
      <w:r>
        <w:rPr>
          <w:rFonts w:ascii="Calibri" w:hAnsi="Calibri"/>
          <w:sz w:val="22"/>
          <w:vertAlign w:val="subscript"/>
        </w:rPr>
        <w:t>x</w:t>
      </w:r>
      <w:r>
        <w:rPr>
          <w:rFonts w:ascii="Calibri" w:hAnsi="Calibri"/>
          <w:sz w:val="22"/>
        </w:rPr>
        <w:t>/A</w:t>
      </w:r>
      <w:r>
        <w:rPr>
          <w:rFonts w:ascii="Calibri" w:hAnsi="Calibri"/>
          <w:sz w:val="22"/>
          <w:vertAlign w:val="subscript"/>
        </w:rPr>
        <w:t>int</w:t>
      </w:r>
      <w:r>
        <w:rPr>
          <w:rFonts w:ascii="Calibri" w:hAnsi="Calibri"/>
          <w:sz w:val="22"/>
        </w:rPr>
        <w:t>...”, termenii «pereți parietodinamici» și «pereți Trombe» ar trebui să fie redactați cu caractere cursive.</w:t>
      </w:r>
    </w:p>
    <w:p w14:paraId="5C4DBA8E" w14:textId="77777777" w:rsidR="000760AB" w:rsidRPr="000760AB" w:rsidRDefault="000760AB" w:rsidP="000760AB">
      <w:pPr>
        <w:spacing w:after="160" w:line="259" w:lineRule="auto"/>
        <w:ind w:left="567"/>
        <w:contextualSpacing/>
        <w:jc w:val="both"/>
        <w:rPr>
          <w:rFonts w:ascii="Calibri" w:eastAsia="Calibri" w:hAnsi="Calibri" w:cs="Calibri"/>
          <w:sz w:val="22"/>
          <w:szCs w:val="22"/>
          <w:lang w:eastAsia="en-US"/>
        </w:rPr>
      </w:pPr>
    </w:p>
    <w:p w14:paraId="2CFABC1E" w14:textId="77777777" w:rsidR="000760AB" w:rsidRPr="000760AB" w:rsidRDefault="000760AB" w:rsidP="000760AB">
      <w:pPr>
        <w:spacing w:after="160" w:line="259" w:lineRule="auto"/>
        <w:ind w:left="284"/>
        <w:contextualSpacing/>
        <w:jc w:val="both"/>
        <w:rPr>
          <w:rFonts w:ascii="Calibri" w:eastAsia="Calibri" w:hAnsi="Calibri" w:cs="Calibri"/>
          <w:sz w:val="22"/>
          <w:szCs w:val="22"/>
        </w:rPr>
      </w:pPr>
      <w:r>
        <w:rPr>
          <w:rFonts w:ascii="Calibri" w:hAnsi="Calibri"/>
          <w:sz w:val="22"/>
        </w:rPr>
        <w:t>(ññ) În anexa A, în definiția „Densității”, cuvântul „densitate” de la al doilea paragraf ar trebui să fie redactat cu caractere cursive.</w:t>
      </w:r>
    </w:p>
    <w:p w14:paraId="2A0F9F45"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(oo) În anexa A, în definiția „Condițiilor de funcționare”, termenul „uz rezidențial privat” ar trebui să fie redactat cu caractere cursive.</w:t>
      </w:r>
    </w:p>
    <w:p w14:paraId="345DE1C6" w14:textId="77777777" w:rsidR="000760AB" w:rsidRPr="000760AB" w:rsidRDefault="000760AB" w:rsidP="000760AB">
      <w:pPr>
        <w:spacing w:after="160" w:line="259" w:lineRule="auto"/>
        <w:ind w:left="284"/>
        <w:contextualSpacing/>
        <w:jc w:val="both"/>
        <w:rPr>
          <w:rFonts w:ascii="Calibri" w:eastAsia="Calibri" w:hAnsi="Calibri" w:cs="Calibri"/>
          <w:sz w:val="22"/>
          <w:szCs w:val="22"/>
        </w:rPr>
      </w:pPr>
      <w:r>
        <w:rPr>
          <w:rFonts w:ascii="Calibri" w:hAnsi="Calibri"/>
          <w:sz w:val="22"/>
        </w:rPr>
        <w:t>(pp) În anexa A, în definiția „Consumului primar de energie din surse neregenerabile”, textul: „... Consumul de energie primară din surse neregenerabile...” se înlocuiește cu „ep,nren” ca subindice: „... Consumul de energie primară neregenerabilă (C</w:t>
      </w:r>
      <w:r>
        <w:rPr>
          <w:rFonts w:ascii="Calibri" w:hAnsi="Calibri"/>
          <w:sz w:val="22"/>
          <w:vertAlign w:val="subscript"/>
        </w:rPr>
        <w:t>ep,nren</w:t>
      </w:r>
      <w:r>
        <w:rPr>
          <w:rFonts w:ascii="Calibri" w:hAnsi="Calibri"/>
          <w:sz w:val="22"/>
        </w:rPr>
        <w:t>)...”.</w:t>
      </w:r>
    </w:p>
    <w:p w14:paraId="10AB3C41" w14:textId="77777777" w:rsidR="000760AB" w:rsidRPr="000760AB" w:rsidRDefault="000760AB" w:rsidP="000760AB">
      <w:pPr>
        <w:spacing w:after="160" w:line="259" w:lineRule="auto"/>
        <w:ind w:left="284"/>
        <w:contextualSpacing/>
        <w:jc w:val="both"/>
        <w:rPr>
          <w:rFonts w:ascii="Calibri" w:eastAsia="Calibri" w:hAnsi="Calibri" w:cs="Calibri"/>
          <w:sz w:val="22"/>
          <w:szCs w:val="22"/>
          <w:lang w:eastAsia="en-US"/>
        </w:rPr>
      </w:pPr>
    </w:p>
    <w:p w14:paraId="14333C7E" w14:textId="77777777" w:rsidR="000760AB" w:rsidRPr="000760AB" w:rsidRDefault="000760AB" w:rsidP="000760AB">
      <w:pPr>
        <w:spacing w:after="160" w:line="259" w:lineRule="auto"/>
        <w:ind w:left="284"/>
        <w:contextualSpacing/>
        <w:jc w:val="both"/>
        <w:rPr>
          <w:rFonts w:ascii="Calibri" w:eastAsia="Calibri" w:hAnsi="Calibri" w:cs="Calibri"/>
          <w:sz w:val="22"/>
          <w:szCs w:val="22"/>
        </w:rPr>
      </w:pPr>
      <w:r>
        <w:rPr>
          <w:rFonts w:ascii="Calibri" w:hAnsi="Calibri"/>
          <w:sz w:val="22"/>
        </w:rPr>
        <w:t>(qq) În anexa A, în definiția „Consumului total de energie primară”, care are următoarea formulare: „... Consumul total de energie primară...” se înlocuiește cu „ep,tot” ca subindice: „... Consumul total de energie primară (C</w:t>
      </w:r>
      <w:r>
        <w:rPr>
          <w:rFonts w:ascii="Calibri" w:hAnsi="Calibri"/>
          <w:sz w:val="22"/>
          <w:vertAlign w:val="subscript"/>
        </w:rPr>
        <w:t>ep,tot</w:t>
      </w:r>
      <w:r>
        <w:rPr>
          <w:rFonts w:ascii="Calibri" w:hAnsi="Calibri"/>
          <w:sz w:val="22"/>
        </w:rPr>
        <w:t>)...”.</w:t>
      </w:r>
    </w:p>
    <w:p w14:paraId="0CA46E11" w14:textId="77777777" w:rsidR="000760AB" w:rsidRPr="000760AB" w:rsidRDefault="000760AB" w:rsidP="000760AB">
      <w:pPr>
        <w:spacing w:after="160" w:line="259" w:lineRule="auto"/>
        <w:ind w:left="567"/>
        <w:contextualSpacing/>
        <w:jc w:val="both"/>
        <w:rPr>
          <w:rFonts w:ascii="Calibri" w:eastAsia="Calibri" w:hAnsi="Calibri" w:cs="Calibri"/>
          <w:sz w:val="22"/>
          <w:szCs w:val="22"/>
          <w:lang w:eastAsia="en-US"/>
        </w:rPr>
      </w:pPr>
    </w:p>
    <w:p w14:paraId="1B1F2FCF" w14:textId="77777777" w:rsidR="000760AB" w:rsidRPr="000760AB" w:rsidRDefault="000760AB" w:rsidP="000760AB">
      <w:pPr>
        <w:spacing w:after="160" w:line="259" w:lineRule="auto"/>
        <w:ind w:left="284"/>
        <w:contextualSpacing/>
        <w:jc w:val="both"/>
        <w:rPr>
          <w:rFonts w:ascii="Calibri" w:eastAsia="Calibri" w:hAnsi="Calibri" w:cs="Calibri"/>
          <w:sz w:val="22"/>
          <w:szCs w:val="22"/>
        </w:rPr>
      </w:pPr>
      <w:r>
        <w:rPr>
          <w:rFonts w:ascii="Calibri" w:hAnsi="Calibri"/>
          <w:sz w:val="22"/>
        </w:rPr>
        <w:t>(rr) În anexa A, în definiția „controlului solar (q</w:t>
      </w:r>
      <w:r>
        <w:rPr>
          <w:rFonts w:ascii="Calibri" w:hAnsi="Calibri"/>
          <w:sz w:val="22"/>
          <w:vertAlign w:val="subscript"/>
        </w:rPr>
        <w:t>sol;jul</w:t>
      </w:r>
      <w:r>
        <w:rPr>
          <w:rFonts w:ascii="Calibri" w:hAnsi="Calibri"/>
          <w:sz w:val="22"/>
        </w:rPr>
        <w:t>)”, care are următoarea formulare: „... suprafața utilă a spațiilor...” se va citi: „... suprafața utilă a spațiilor de locuit...”. Punctul și noul paragraf de la sfârșitul definiției componentei formulei „Hsol;jul” se înlocuiesc cu punct și virgulă, iar definiția unei alte componente a formulei se adaugă după cum urmează:</w:t>
      </w:r>
    </w:p>
    <w:p w14:paraId="1679E36E" w14:textId="77777777" w:rsidR="000760AB" w:rsidRPr="000760AB" w:rsidRDefault="000760AB" w:rsidP="00FD453F">
      <w:pPr>
        <w:spacing w:after="160" w:line="259" w:lineRule="auto"/>
        <w:ind w:left="284"/>
        <w:jc w:val="both"/>
        <w:rPr>
          <w:rFonts w:ascii="Calibri" w:eastAsia="Calibri" w:hAnsi="Calibri" w:cs="Calibri"/>
          <w:sz w:val="22"/>
          <w:szCs w:val="22"/>
        </w:rPr>
      </w:pPr>
      <w:r>
        <w:rPr>
          <w:rFonts w:ascii="Calibri" w:hAnsi="Calibri"/>
          <w:sz w:val="22"/>
        </w:rPr>
        <w:t>„A</w:t>
      </w:r>
      <w:r>
        <w:rPr>
          <w:rFonts w:ascii="Calibri" w:hAnsi="Calibri"/>
          <w:sz w:val="22"/>
          <w:vertAlign w:val="subscript"/>
        </w:rPr>
        <w:t>util</w:t>
      </w:r>
      <w:r>
        <w:rPr>
          <w:rFonts w:ascii="Calibri" w:hAnsi="Calibri"/>
          <w:sz w:val="22"/>
        </w:rPr>
        <w:t>zonă considerată a fi în conformitate cu secțiunea 4.6 din HE 0.”</w:t>
      </w:r>
    </w:p>
    <w:p w14:paraId="5D16B486"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(ss) În anexa A, în definiția termenului „Energie finală”, sintagma „Este cea achiziționată de consumatori, sub formă de energie electrică sau combustibili utilizați direct” se înlocuiește cu „Este cea furnizată sistemelor de clădiri pentru a furniza servicii; aceasta este de obicei furnizată prin combustibili, producție la fața locului sau rețele specifice (energie electrică, gaze, încălzire sau răcire centralizată etc.)”.</w:t>
      </w:r>
    </w:p>
    <w:p w14:paraId="4B18500C"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(tt) În anexa A, în definiția „Spațiului de locuit condiționat”, termenul „utilizare rezidențială privată” ar trebui să fie redactat cu caractere cursive.</w:t>
      </w:r>
    </w:p>
    <w:p w14:paraId="7EC3AE41"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(uu) În anexa A, în definiția „Perioadei de utilizare”, termenul „utilizare rezidențială privată” de la al doilea paragraf ar trebui să fie redactat cu caractere cursive.</w:t>
      </w:r>
    </w:p>
    <w:p w14:paraId="3400E1E9"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(vv) În anexa A, în definiția termenului „Transmitanță termică (valoare U)”, se adaugă următoarea teză la sfârșitul definiției:</w:t>
      </w:r>
    </w:p>
    <w:p w14:paraId="20E76982" w14:textId="77777777" w:rsidR="000760AB" w:rsidRPr="000760AB" w:rsidRDefault="000760AB" w:rsidP="00FD453F">
      <w:pPr>
        <w:spacing w:after="160" w:line="259" w:lineRule="auto"/>
        <w:ind w:left="284"/>
        <w:jc w:val="both"/>
        <w:rPr>
          <w:rFonts w:ascii="Calibri" w:eastAsia="Calibri" w:hAnsi="Calibri" w:cs="Calibri"/>
          <w:sz w:val="22"/>
          <w:szCs w:val="22"/>
        </w:rPr>
      </w:pPr>
      <w:r>
        <w:rPr>
          <w:rFonts w:ascii="Calibri" w:hAnsi="Calibri"/>
          <w:sz w:val="22"/>
        </w:rPr>
        <w:t>„Se exprimă în W/m</w:t>
      </w:r>
      <w:r>
        <w:rPr>
          <w:rFonts w:ascii="Calibri" w:hAnsi="Calibri"/>
          <w:sz w:val="22"/>
          <w:vertAlign w:val="superscript"/>
        </w:rPr>
        <w:t>2</w:t>
      </w:r>
      <w:r>
        <w:rPr>
          <w:rFonts w:ascii="Calibri" w:hAnsi="Calibri"/>
          <w:sz w:val="22"/>
        </w:rPr>
        <w:t>K.”</w:t>
      </w:r>
    </w:p>
    <w:p w14:paraId="68C76D1A" w14:textId="77777777" w:rsidR="000760AB" w:rsidRPr="000760AB" w:rsidRDefault="000760AB" w:rsidP="00FD453F">
      <w:pPr>
        <w:spacing w:after="160" w:line="259" w:lineRule="auto"/>
        <w:ind w:left="284"/>
        <w:jc w:val="both"/>
        <w:rPr>
          <w:rFonts w:ascii="Calibri" w:eastAsia="Calibri" w:hAnsi="Calibri" w:cs="Calibri"/>
          <w:sz w:val="22"/>
          <w:szCs w:val="22"/>
        </w:rPr>
      </w:pPr>
      <w:r>
        <w:rPr>
          <w:rFonts w:ascii="Calibri" w:hAnsi="Calibri"/>
          <w:sz w:val="22"/>
        </w:rPr>
        <w:t>(ww) În anexa A, în definiția „Valorii de eficiență energetică a instalației (VEEI)”, termenul „utilizare rezidențială privată” ar trebui să fie redactat cu caractere cursive.</w:t>
      </w:r>
    </w:p>
    <w:p w14:paraId="45B16639" w14:textId="77777777" w:rsidR="000760AB" w:rsidRPr="000760AB" w:rsidRDefault="000760AB" w:rsidP="000760AB">
      <w:pPr>
        <w:spacing w:after="160" w:line="259" w:lineRule="auto"/>
        <w:ind w:left="567" w:hanging="283"/>
        <w:jc w:val="both"/>
        <w:rPr>
          <w:rFonts w:ascii="Calibri" w:eastAsia="Calibri" w:hAnsi="Calibri" w:cs="Calibri"/>
          <w:sz w:val="22"/>
          <w:szCs w:val="22"/>
        </w:rPr>
      </w:pPr>
      <w:r>
        <w:rPr>
          <w:rFonts w:ascii="Calibri" w:hAnsi="Calibri"/>
          <w:sz w:val="22"/>
        </w:rPr>
        <w:lastRenderedPageBreak/>
        <w:t>(xx) Următorii termeni sunt încorporați în anexa A „Terminologie”:</w:t>
      </w:r>
    </w:p>
    <w:p w14:paraId="41AB6223" w14:textId="77777777" w:rsidR="000760AB" w:rsidRPr="000760AB" w:rsidRDefault="000760AB" w:rsidP="00FD453F">
      <w:pPr>
        <w:spacing w:before="200" w:after="120"/>
        <w:ind w:left="284"/>
        <w:jc w:val="both"/>
        <w:rPr>
          <w:rFonts w:ascii="Calibri" w:eastAsia="Arial" w:hAnsi="Calibri" w:cs="Calibri"/>
          <w:kern w:val="2"/>
          <w:sz w:val="22"/>
        </w:rPr>
      </w:pPr>
      <w:r>
        <w:rPr>
          <w:rFonts w:ascii="Calibri" w:hAnsi="Calibri"/>
          <w:sz w:val="22"/>
        </w:rPr>
        <w:t>„</w:t>
      </w:r>
      <w:r>
        <w:rPr>
          <w:rFonts w:ascii="Calibri" w:hAnsi="Calibri"/>
          <w:b/>
          <w:i/>
          <w:sz w:val="22"/>
        </w:rPr>
        <w:t>Echipamente auxiliare”</w:t>
      </w:r>
      <w:r>
        <w:rPr>
          <w:rFonts w:ascii="Calibri" w:hAnsi="Calibri"/>
          <w:sz w:val="22"/>
        </w:rPr>
        <w:t>înseamnă</w:t>
      </w:r>
      <w:r>
        <w:rPr>
          <w:rFonts w:ascii="Calibri" w:hAnsi="Calibri"/>
          <w:b/>
          <w:sz w:val="22"/>
        </w:rPr>
        <w:t xml:space="preserve"> </w:t>
      </w:r>
      <w:r>
        <w:rPr>
          <w:rFonts w:ascii="Calibri" w:hAnsi="Calibri"/>
          <w:sz w:val="22"/>
        </w:rPr>
        <w:t>echipamente electrice sau electronice asociate cu lumina, diferite pentru fiecare tip de lumină, a căror funcție este aprinderea și controlul condițiilor de funcționare. Aceste echipamente auxiliare, cu excepția cazului în care sunt electronice, sunt formate dintr-o combinație de demaror, balast și condensator.”</w:t>
      </w:r>
    </w:p>
    <w:p w14:paraId="66E0B2DA" w14:textId="77777777" w:rsidR="000760AB" w:rsidRPr="000760AB" w:rsidRDefault="000760AB" w:rsidP="00FD453F">
      <w:pPr>
        <w:spacing w:before="200" w:after="100"/>
        <w:ind w:left="284"/>
        <w:jc w:val="both"/>
        <w:rPr>
          <w:rFonts w:ascii="Calibri" w:eastAsia="Arial" w:hAnsi="Calibri" w:cs="Calibri"/>
          <w:bCs/>
          <w:iCs/>
          <w:kern w:val="2"/>
          <w:sz w:val="22"/>
          <w:szCs w:val="22"/>
        </w:rPr>
      </w:pPr>
      <w:r>
        <w:rPr>
          <w:rFonts w:ascii="Calibri" w:hAnsi="Calibri"/>
          <w:sz w:val="22"/>
        </w:rPr>
        <w:t>„</w:t>
      </w:r>
      <w:r>
        <w:rPr>
          <w:rFonts w:ascii="Calibri" w:hAnsi="Calibri"/>
          <w:b/>
          <w:i/>
          <w:sz w:val="22"/>
        </w:rPr>
        <w:t>Stație de încărcare”</w:t>
      </w:r>
      <w:r>
        <w:rPr>
          <w:rFonts w:ascii="Calibri" w:hAnsi="Calibri"/>
          <w:sz w:val="22"/>
        </w:rPr>
        <w:t xml:space="preserve"> înseamnă</w:t>
      </w:r>
      <w:r>
        <w:rPr>
          <w:rFonts w:ascii="Calibri" w:hAnsi="Calibri"/>
          <w:b/>
          <w:sz w:val="22"/>
        </w:rPr>
        <w:t xml:space="preserve"> </w:t>
      </w:r>
      <w:r>
        <w:rPr>
          <w:rFonts w:ascii="Calibri" w:hAnsi="Calibri"/>
          <w:sz w:val="22"/>
        </w:rPr>
        <w:t xml:space="preserve">un set de elemente necesare pentru a conecta vehiculul electric la instalația electrică fixă necesară pentru încărcare. </w:t>
      </w:r>
      <w:r>
        <w:rPr>
          <w:rFonts w:ascii="Calibri" w:hAnsi="Calibri"/>
          <w:i/>
          <w:sz w:val="22"/>
        </w:rPr>
        <w:t>Stațiile de încărcare</w:t>
      </w:r>
      <w:r>
        <w:rPr>
          <w:rFonts w:ascii="Calibri" w:hAnsi="Calibri"/>
          <w:sz w:val="22"/>
        </w:rPr>
        <w:t xml:space="preserve"> sunt clasificate ca:</w:t>
      </w:r>
    </w:p>
    <w:p w14:paraId="553A42BD" w14:textId="77777777" w:rsidR="000760AB" w:rsidRPr="000760AB" w:rsidRDefault="000760AB" w:rsidP="00FD453F">
      <w:pPr>
        <w:spacing w:before="200" w:after="100"/>
        <w:ind w:left="284"/>
        <w:jc w:val="both"/>
        <w:rPr>
          <w:rFonts w:ascii="Calibri" w:eastAsia="Arial" w:hAnsi="Calibri" w:cs="Calibri"/>
          <w:bCs/>
          <w:iCs/>
          <w:kern w:val="2"/>
          <w:sz w:val="22"/>
          <w:szCs w:val="22"/>
        </w:rPr>
      </w:pPr>
      <w:r>
        <w:rPr>
          <w:rFonts w:ascii="Calibri" w:hAnsi="Calibri"/>
          <w:sz w:val="22"/>
        </w:rPr>
        <w:t>1.</w:t>
      </w:r>
      <w:r>
        <w:rPr>
          <w:rFonts w:ascii="Calibri" w:hAnsi="Calibri"/>
          <w:sz w:val="22"/>
        </w:rPr>
        <w:tab/>
        <w:t xml:space="preserve">Punct de încărcare simplu, compus din protecțiile necesare, una sau mai multe prize care nu sunt specifice </w:t>
      </w:r>
      <w:r>
        <w:rPr>
          <w:rFonts w:ascii="Calibri" w:hAnsi="Calibri"/>
          <w:i/>
          <w:sz w:val="22"/>
        </w:rPr>
        <w:t>vehiculului electric</w:t>
      </w:r>
      <w:r>
        <w:rPr>
          <w:rFonts w:ascii="Calibri" w:hAnsi="Calibri"/>
          <w:sz w:val="22"/>
        </w:rPr>
        <w:t xml:space="preserve"> și, după caz, anvelopei.</w:t>
      </w:r>
    </w:p>
    <w:p w14:paraId="371F3BEE" w14:textId="77777777" w:rsidR="000760AB" w:rsidRPr="000760AB" w:rsidRDefault="000760AB" w:rsidP="00FD453F">
      <w:pPr>
        <w:spacing w:before="200" w:after="100"/>
        <w:ind w:left="284"/>
        <w:jc w:val="both"/>
        <w:rPr>
          <w:rFonts w:ascii="Calibri" w:eastAsia="Arial" w:hAnsi="Calibri" w:cs="Calibri"/>
          <w:b/>
          <w:bCs/>
          <w:i/>
          <w:iCs/>
          <w:kern w:val="2"/>
          <w:sz w:val="22"/>
          <w:szCs w:val="22"/>
        </w:rPr>
      </w:pPr>
      <w:r>
        <w:rPr>
          <w:rFonts w:ascii="Calibri" w:hAnsi="Calibri"/>
          <w:sz w:val="22"/>
        </w:rPr>
        <w:t>2.</w:t>
      </w:r>
      <w:r>
        <w:rPr>
          <w:rFonts w:ascii="Calibri" w:hAnsi="Calibri"/>
          <w:sz w:val="22"/>
        </w:rPr>
        <w:tab/>
        <w:t>Punct de reîncărcare de tip SAVE</w:t>
      </w:r>
      <w:r>
        <w:rPr>
          <w:rFonts w:ascii="Calibri" w:hAnsi="Calibri"/>
          <w:i/>
          <w:sz w:val="22"/>
        </w:rPr>
        <w:t xml:space="preserve"> (Sistem de alimentare specific pentru vehicule electrice)</w:t>
      </w:r>
      <w:r>
        <w:rPr>
          <w:rFonts w:ascii="Calibri" w:hAnsi="Calibri"/>
          <w:sz w:val="22"/>
        </w:rPr>
        <w:t>.”</w:t>
      </w:r>
    </w:p>
    <w:p w14:paraId="444AE92F" w14:textId="77777777" w:rsidR="000760AB" w:rsidRPr="000760AB" w:rsidRDefault="000760AB" w:rsidP="00FD453F">
      <w:pPr>
        <w:spacing w:before="200" w:after="100"/>
        <w:ind w:left="284"/>
        <w:jc w:val="both"/>
        <w:rPr>
          <w:rFonts w:ascii="Calibri" w:eastAsia="Arial" w:hAnsi="Calibri" w:cs="Calibri"/>
          <w:kern w:val="2"/>
          <w:sz w:val="22"/>
          <w:szCs w:val="22"/>
        </w:rPr>
      </w:pPr>
      <w:r>
        <w:rPr>
          <w:rFonts w:ascii="Calibri" w:hAnsi="Calibri"/>
          <w:sz w:val="22"/>
        </w:rPr>
        <w:t>„</w:t>
      </w:r>
      <w:r>
        <w:rPr>
          <w:rFonts w:ascii="Calibri" w:hAnsi="Calibri"/>
          <w:b/>
          <w:i/>
          <w:sz w:val="22"/>
        </w:rPr>
        <w:t>Infrastructură de încărcare pentru vehicule electrice</w:t>
      </w:r>
      <w:r>
        <w:rPr>
          <w:rFonts w:ascii="Calibri" w:hAnsi="Calibri"/>
          <w:sz w:val="22"/>
        </w:rPr>
        <w:t xml:space="preserve"> înseamnă</w:t>
      </w:r>
      <w:r>
        <w:rPr>
          <w:rFonts w:ascii="Calibri" w:hAnsi="Calibri"/>
          <w:b/>
          <w:sz w:val="22"/>
        </w:rPr>
        <w:t xml:space="preserve"> </w:t>
      </w:r>
      <w:r>
        <w:rPr>
          <w:rFonts w:ascii="Calibri" w:hAnsi="Calibri"/>
          <w:sz w:val="22"/>
        </w:rPr>
        <w:t xml:space="preserve">un set de dispozitive fizice și logice destinate încărcării vehiculelor electrice care îndeplinesc cerințele de siguranță și disponibilitate prevăzute pentru fiecare caz de Regulamentul electrotehnic de joasă tensiune, capabile să furnizeze un serviciu de încărcare complet și cuprinzător. Acesta include </w:t>
      </w:r>
      <w:r>
        <w:rPr>
          <w:rFonts w:ascii="Calibri" w:hAnsi="Calibri"/>
          <w:i/>
          <w:sz w:val="22"/>
        </w:rPr>
        <w:t>stații de încărcare</w:t>
      </w:r>
      <w:r>
        <w:rPr>
          <w:rFonts w:ascii="Calibri" w:hAnsi="Calibri"/>
          <w:sz w:val="22"/>
        </w:rPr>
        <w:t xml:space="preserve">, sistemul de control, conductele electrice, panourile electrice de comandă și protecție și echipamentele de măsurare, atunci când acestea sunt destinate exclusiv încărcării </w:t>
      </w:r>
      <w:r>
        <w:rPr>
          <w:rFonts w:ascii="Calibri" w:hAnsi="Calibri"/>
          <w:i/>
          <w:sz w:val="22"/>
        </w:rPr>
        <w:t>vehiculelor electrice</w:t>
      </w:r>
      <w:r>
        <w:rPr>
          <w:rFonts w:ascii="Calibri" w:hAnsi="Calibri"/>
          <w:sz w:val="22"/>
        </w:rPr>
        <w:t>.”</w:t>
      </w:r>
    </w:p>
    <w:p w14:paraId="08E0941B" w14:textId="77777777" w:rsidR="000760AB" w:rsidRPr="000760AB" w:rsidRDefault="000760AB" w:rsidP="00FD453F">
      <w:pPr>
        <w:spacing w:before="200" w:after="100"/>
        <w:ind w:left="284"/>
        <w:jc w:val="both"/>
        <w:rPr>
          <w:rFonts w:ascii="Calibri" w:eastAsia="Arial" w:hAnsi="Calibri" w:cs="Calibri"/>
          <w:kern w:val="2"/>
          <w:sz w:val="22"/>
          <w:szCs w:val="22"/>
        </w:rPr>
      </w:pPr>
      <w:r>
        <w:rPr>
          <w:rFonts w:ascii="Calibri" w:hAnsi="Calibri"/>
          <w:sz w:val="22"/>
        </w:rPr>
        <w:t>„</w:t>
      </w:r>
      <w:r>
        <w:rPr>
          <w:rFonts w:ascii="Calibri" w:hAnsi="Calibri"/>
          <w:b/>
          <w:i/>
          <w:sz w:val="22"/>
        </w:rPr>
        <w:t>Sistem de alimentare specific pentru vehicule electrice (SAVE)”</w:t>
      </w:r>
      <w:r>
        <w:rPr>
          <w:rFonts w:ascii="Calibri" w:hAnsi="Calibri"/>
          <w:sz w:val="22"/>
        </w:rPr>
        <w:t xml:space="preserve"> înseamnă un set de echipamente asamblate pentru alimentarea cu energie electrică pentru încărcarea unui vehicul electric inclusiv protecția stației de încărcare, cablul de conectare (cu conductoare de fază, neutre și de protecție) baza prizei sau conectorul și, după caz, un convertizor alternativ-continuu. Dacă este cazul, acest sistem permite comunicarea între </w:t>
      </w:r>
      <w:r>
        <w:rPr>
          <w:rFonts w:ascii="Calibri" w:hAnsi="Calibri"/>
          <w:i/>
          <w:sz w:val="22"/>
        </w:rPr>
        <w:t>vehiculul electric</w:t>
      </w:r>
      <w:r>
        <w:rPr>
          <w:rFonts w:ascii="Calibri" w:hAnsi="Calibri"/>
          <w:sz w:val="22"/>
        </w:rPr>
        <w:t xml:space="preserve"> și instalația fixă.”</w:t>
      </w:r>
    </w:p>
    <w:p w14:paraId="2A9E9618" w14:textId="77777777" w:rsidR="000760AB" w:rsidRPr="000760AB" w:rsidRDefault="000760AB" w:rsidP="00FD453F">
      <w:pPr>
        <w:spacing w:before="200" w:after="100"/>
        <w:ind w:left="284"/>
        <w:jc w:val="both"/>
        <w:rPr>
          <w:rFonts w:ascii="Calibri" w:eastAsia="Arial" w:hAnsi="Calibri" w:cs="Calibri"/>
          <w:strike/>
          <w:kern w:val="2"/>
          <w:sz w:val="22"/>
          <w:szCs w:val="22"/>
        </w:rPr>
      </w:pPr>
      <w:r>
        <w:rPr>
          <w:rFonts w:ascii="Calibri" w:hAnsi="Calibri"/>
          <w:sz w:val="22"/>
        </w:rPr>
        <w:t>„</w:t>
      </w:r>
      <w:r>
        <w:rPr>
          <w:rFonts w:ascii="Calibri" w:hAnsi="Calibri"/>
          <w:b/>
          <w:i/>
          <w:sz w:val="22"/>
        </w:rPr>
        <w:t>Utilizare rezidențială privată</w:t>
      </w:r>
      <w:r>
        <w:rPr>
          <w:rFonts w:ascii="Calibri" w:hAnsi="Calibri"/>
          <w:sz w:val="22"/>
        </w:rPr>
        <w:t xml:space="preserve"> înseamnă o clădire sau o suprafață destinată reședinței permanente, indiferent de tipul de clădire: locuință unifamilială, bloc de apartamente etc., atât pentru dezvoltarea publică, cât și pentru cea privată.” </w:t>
      </w:r>
    </w:p>
    <w:p w14:paraId="20F0D8BC" w14:textId="77777777" w:rsidR="000760AB" w:rsidRPr="000760AB" w:rsidRDefault="000760AB" w:rsidP="00FD453F">
      <w:pPr>
        <w:spacing w:before="200" w:after="100"/>
        <w:ind w:left="284"/>
        <w:jc w:val="both"/>
        <w:rPr>
          <w:rFonts w:ascii="Calibri" w:eastAsia="Arial" w:hAnsi="Calibri" w:cs="Calibri"/>
          <w:kern w:val="2"/>
          <w:sz w:val="22"/>
        </w:rPr>
      </w:pPr>
      <w:r>
        <w:rPr>
          <w:rFonts w:ascii="Calibri" w:hAnsi="Calibri"/>
          <w:sz w:val="22"/>
        </w:rPr>
        <w:t>„</w:t>
      </w:r>
      <w:r>
        <w:rPr>
          <w:rFonts w:ascii="Calibri" w:hAnsi="Calibri"/>
          <w:b/>
          <w:i/>
          <w:sz w:val="22"/>
        </w:rPr>
        <w:t>Vehicul electric</w:t>
      </w:r>
      <w:r>
        <w:rPr>
          <w:rFonts w:ascii="Calibri" w:hAnsi="Calibri"/>
          <w:sz w:val="22"/>
        </w:rPr>
        <w:t xml:space="preserve"> înseamnă un autovehicul echipat cu un grup propulsor cu cel puțin un mecanism electric neperiferic care funcționează ca convertizor de energie și echipat cu un sistem reîncărcabil de stocare a energiei electrice, care poate fi reîncărcat din exterior.”</w:t>
      </w:r>
    </w:p>
    <w:p w14:paraId="52B758BF" w14:textId="77777777" w:rsidR="000760AB" w:rsidRPr="000760AB" w:rsidRDefault="000760AB" w:rsidP="000760AB">
      <w:pPr>
        <w:spacing w:before="200" w:after="100"/>
        <w:ind w:left="284"/>
        <w:jc w:val="both"/>
        <w:rPr>
          <w:rFonts w:ascii="Calibri" w:eastAsia="Arial" w:hAnsi="Calibri" w:cs="Calibri"/>
          <w:kern w:val="2"/>
          <w:sz w:val="22"/>
          <w:szCs w:val="22"/>
        </w:rPr>
      </w:pPr>
      <w:r>
        <w:rPr>
          <w:rFonts w:ascii="Calibri" w:hAnsi="Calibri"/>
          <w:sz w:val="22"/>
        </w:rPr>
        <w:t>(yy) În anexa C, termenul „anvelopă termică” din titlu și termenul „spații nelocuibile” din secțiunea 1 litera (a) trebuie să fie redactați cu caractere cursive.</w:t>
      </w:r>
    </w:p>
    <w:p w14:paraId="5ED476EB" w14:textId="77777777" w:rsidR="000760AB" w:rsidRPr="000760AB" w:rsidRDefault="000760AB" w:rsidP="000760AB">
      <w:pPr>
        <w:spacing w:before="200" w:after="100"/>
        <w:ind w:left="284"/>
        <w:jc w:val="both"/>
        <w:rPr>
          <w:rFonts w:ascii="Calibri" w:eastAsia="Arial" w:hAnsi="Calibri" w:cs="Calibri"/>
          <w:kern w:val="2"/>
          <w:sz w:val="22"/>
          <w:szCs w:val="22"/>
        </w:rPr>
      </w:pPr>
      <w:r>
        <w:rPr>
          <w:rFonts w:ascii="Calibri" w:hAnsi="Calibri"/>
          <w:sz w:val="22"/>
        </w:rPr>
        <w:t xml:space="preserve">(zz) În anexa D, termenii „Condiții de funcționare”, „profiluri de utilizare” și „utilizare rezidențială privată” trebuie să fie redactați cu caractere cursive în titlu, punctul 2 și în tabelele Tabelul a-Anexa D, Tabelul b-Anexa D și Tabelul c-Anexa D. </w:t>
      </w:r>
    </w:p>
    <w:p w14:paraId="17E305EB" w14:textId="77777777" w:rsidR="000760AB" w:rsidRPr="000760AB" w:rsidRDefault="000760AB" w:rsidP="000760AB">
      <w:pPr>
        <w:spacing w:before="200" w:after="100"/>
        <w:ind w:left="284"/>
        <w:jc w:val="both"/>
        <w:rPr>
          <w:rFonts w:ascii="Calibri" w:eastAsia="Arial" w:hAnsi="Calibri" w:cs="Calibri"/>
          <w:kern w:val="2"/>
          <w:sz w:val="22"/>
          <w:szCs w:val="22"/>
        </w:rPr>
      </w:pPr>
      <w:r>
        <w:rPr>
          <w:rFonts w:ascii="Calibri" w:hAnsi="Calibri"/>
          <w:sz w:val="22"/>
        </w:rPr>
        <w:t xml:space="preserve">(aaa) În anexa D, punctul „2 </w:t>
      </w:r>
      <w:r>
        <w:rPr>
          <w:rFonts w:ascii="Calibri" w:hAnsi="Calibri"/>
          <w:i/>
          <w:sz w:val="22"/>
        </w:rPr>
        <w:t>Condiții de funcționare</w:t>
      </w:r>
      <w:r>
        <w:rPr>
          <w:rFonts w:ascii="Calibri" w:hAnsi="Calibri"/>
          <w:sz w:val="22"/>
        </w:rPr>
        <w:t xml:space="preserve"> și, </w:t>
      </w:r>
      <w:r>
        <w:rPr>
          <w:rFonts w:ascii="Calibri" w:hAnsi="Calibri"/>
          <w:i/>
          <w:sz w:val="22"/>
        </w:rPr>
        <w:t>profilul de utilizare</w:t>
      </w:r>
      <w:r>
        <w:rPr>
          <w:rFonts w:ascii="Calibri" w:hAnsi="Calibri"/>
          <w:sz w:val="22"/>
        </w:rPr>
        <w:t xml:space="preserve">...” ar trebui să fie renumerotate „3 </w:t>
      </w:r>
      <w:r>
        <w:rPr>
          <w:rFonts w:ascii="Calibri" w:hAnsi="Calibri"/>
          <w:i/>
          <w:sz w:val="22"/>
        </w:rPr>
        <w:t>Condiții de funcționare</w:t>
      </w:r>
      <w:r>
        <w:rPr>
          <w:rFonts w:ascii="Calibri" w:hAnsi="Calibri"/>
          <w:sz w:val="22"/>
        </w:rPr>
        <w:t xml:space="preserve"> și </w:t>
      </w:r>
      <w:r>
        <w:rPr>
          <w:rFonts w:ascii="Calibri" w:hAnsi="Calibri"/>
          <w:i/>
          <w:sz w:val="22"/>
        </w:rPr>
        <w:t>profilul de utilizare</w:t>
      </w:r>
      <w:r>
        <w:rPr>
          <w:rFonts w:ascii="Calibri" w:hAnsi="Calibri"/>
          <w:sz w:val="22"/>
        </w:rPr>
        <w:t>...”</w:t>
      </w:r>
    </w:p>
    <w:p w14:paraId="7B66B51A" w14:textId="77777777" w:rsidR="000760AB" w:rsidRPr="000760AB" w:rsidRDefault="000760AB" w:rsidP="000760AB">
      <w:pPr>
        <w:spacing w:before="200" w:after="100"/>
        <w:ind w:left="284"/>
        <w:jc w:val="both"/>
        <w:rPr>
          <w:rFonts w:ascii="Calibri" w:eastAsia="Arial" w:hAnsi="Calibri" w:cs="Calibri"/>
          <w:kern w:val="2"/>
          <w:sz w:val="22"/>
        </w:rPr>
      </w:pPr>
      <w:r>
        <w:rPr>
          <w:rFonts w:ascii="Calibri" w:hAnsi="Calibri"/>
          <w:sz w:val="22"/>
        </w:rPr>
        <w:t>(bbb) În anexa D punctul 4, textul „Document recunoscut” se înlocuiește cu „Document recunoscut pentru certificarea energetică a clădirilor”.</w:t>
      </w:r>
    </w:p>
    <w:p w14:paraId="2E3E9125" w14:textId="77777777" w:rsidR="000760AB" w:rsidRPr="000760AB" w:rsidRDefault="000760AB" w:rsidP="000760AB">
      <w:pPr>
        <w:spacing w:before="200" w:after="100"/>
        <w:ind w:left="284"/>
        <w:jc w:val="both"/>
        <w:rPr>
          <w:rFonts w:ascii="Calibri" w:eastAsia="Arial" w:hAnsi="Calibri" w:cs="Calibri"/>
          <w:kern w:val="2"/>
          <w:sz w:val="22"/>
        </w:rPr>
      </w:pPr>
      <w:r>
        <w:rPr>
          <w:rFonts w:ascii="Calibri" w:hAnsi="Calibri"/>
          <w:sz w:val="22"/>
        </w:rPr>
        <w:lastRenderedPageBreak/>
        <w:t>(ccc) În anexa E, termenul „utilizare rezidențială privată” de la articolul 1 ar trebui să fie redactat cu caractere cursive.</w:t>
      </w:r>
    </w:p>
    <w:p w14:paraId="31530518" w14:textId="77777777" w:rsidR="000760AB" w:rsidRPr="000760AB" w:rsidRDefault="000760AB" w:rsidP="000760AB">
      <w:pPr>
        <w:spacing w:before="200" w:after="100"/>
        <w:ind w:left="284"/>
        <w:jc w:val="both"/>
        <w:rPr>
          <w:rFonts w:ascii="Calibri" w:eastAsia="Arial" w:hAnsi="Calibri" w:cs="Calibri"/>
          <w:kern w:val="2"/>
          <w:sz w:val="22"/>
        </w:rPr>
      </w:pPr>
      <w:r>
        <w:rPr>
          <w:rFonts w:ascii="Calibri" w:hAnsi="Calibri"/>
          <w:sz w:val="22"/>
        </w:rPr>
        <w:t>(ddd) În anexa F, termenul „utilizare rezidențială privată” ar trebui să fie redactat cu caractere cursive atât la articolul 1, cât și în tabelul a-anexa F.</w:t>
      </w:r>
    </w:p>
    <w:p w14:paraId="58F73C97" w14:textId="77777777" w:rsidR="000760AB" w:rsidRPr="000760AB" w:rsidRDefault="000760AB" w:rsidP="000760AB">
      <w:pPr>
        <w:spacing w:after="160" w:line="259" w:lineRule="auto"/>
        <w:ind w:left="567" w:hanging="283"/>
        <w:jc w:val="both"/>
        <w:rPr>
          <w:rFonts w:ascii="Calibri" w:eastAsia="Arial" w:hAnsi="Calibri" w:cs="Calibri"/>
          <w:kern w:val="2"/>
          <w:sz w:val="22"/>
          <w:szCs w:val="22"/>
        </w:rPr>
      </w:pPr>
      <w:r>
        <w:rPr>
          <w:rFonts w:ascii="Calibri" w:hAnsi="Calibri"/>
          <w:sz w:val="22"/>
        </w:rPr>
        <w:t xml:space="preserve">(eee) În anexa H, după titlul secțiunii se introduce următoarea formulare:  </w:t>
      </w:r>
    </w:p>
    <w:p w14:paraId="1FDC42A7" w14:textId="77777777" w:rsidR="000760AB" w:rsidRPr="000760AB" w:rsidRDefault="000760AB" w:rsidP="00FD453F">
      <w:pPr>
        <w:spacing w:after="160" w:line="259" w:lineRule="auto"/>
        <w:ind w:left="284"/>
        <w:jc w:val="both"/>
        <w:rPr>
          <w:rFonts w:ascii="Calibri" w:eastAsia="Calibri" w:hAnsi="Calibri" w:cs="Calibri"/>
          <w:sz w:val="22"/>
          <w:szCs w:val="22"/>
        </w:rPr>
      </w:pPr>
      <w:r>
        <w:rPr>
          <w:rFonts w:ascii="Calibri" w:hAnsi="Calibri"/>
          <w:sz w:val="22"/>
        </w:rPr>
        <w:t xml:space="preserve">„Determinarea </w:t>
      </w:r>
      <w:r>
        <w:rPr>
          <w:rFonts w:ascii="Calibri" w:hAnsi="Calibri"/>
          <w:i/>
          <w:sz w:val="22"/>
        </w:rPr>
        <w:t xml:space="preserve">permeabilității la aer </w:t>
      </w:r>
      <w:r>
        <w:rPr>
          <w:rFonts w:ascii="Calibri" w:hAnsi="Calibri"/>
          <w:sz w:val="22"/>
        </w:rPr>
        <w:t xml:space="preserve">a clădirii trebuie efectuată prin una dintre următoarele metode.” </w:t>
      </w:r>
    </w:p>
    <w:p w14:paraId="5FF5B351"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 xml:space="preserve">(fff) În anexa H, mențiunea „Valoarea raportului variației aerului la 50 Pa, n50, poate fi obținută prin încercarea realizată conform metodei B din UNE-EN 13829:2002 Determinarea etanșeității la aer în clădiri. Metoda de presurizare cu ajutorul unui ventilator.” se înlocuiește cu: „Valoarea </w:t>
      </w:r>
      <w:r>
        <w:rPr>
          <w:rFonts w:ascii="Calibri" w:hAnsi="Calibri"/>
          <w:i/>
          <w:sz w:val="22"/>
        </w:rPr>
        <w:t>raportului variației aerului</w:t>
      </w:r>
      <w:r>
        <w:rPr>
          <w:rFonts w:ascii="Calibri" w:hAnsi="Calibri"/>
          <w:sz w:val="22"/>
        </w:rPr>
        <w:t xml:space="preserve"> la 50 Pa, n</w:t>
      </w:r>
      <w:r>
        <w:rPr>
          <w:rFonts w:ascii="Calibri" w:hAnsi="Calibri"/>
          <w:sz w:val="22"/>
          <w:vertAlign w:val="subscript"/>
        </w:rPr>
        <w:t>50</w:t>
      </w:r>
      <w:r>
        <w:rPr>
          <w:rFonts w:ascii="Calibri" w:hAnsi="Calibri"/>
          <w:sz w:val="22"/>
        </w:rPr>
        <w:t xml:space="preserve"> prin încercări se obține prin metoda 1 sau 2 din UNE-EN ISO 9972: 2019 </w:t>
      </w:r>
      <w:r>
        <w:rPr>
          <w:rFonts w:ascii="Calibri" w:hAnsi="Calibri"/>
          <w:i/>
          <w:sz w:val="22"/>
        </w:rPr>
        <w:t>Performanța termică a clădirilor. Determinarea permeabilității la aer a clădirilor. Metoda de presurizare cu ventilator.”.</w:t>
      </w:r>
    </w:p>
    <w:p w14:paraId="6FED2289" w14:textId="77777777" w:rsidR="000760AB" w:rsidRPr="000760AB" w:rsidRDefault="000760AB" w:rsidP="000760AB">
      <w:pPr>
        <w:spacing w:before="200" w:after="100"/>
        <w:ind w:left="284"/>
        <w:jc w:val="both"/>
        <w:rPr>
          <w:rFonts w:ascii="Calibri" w:eastAsia="Arial" w:hAnsi="Calibri" w:cs="Calibri"/>
          <w:kern w:val="2"/>
          <w:sz w:val="22"/>
        </w:rPr>
      </w:pPr>
      <w:r>
        <w:rPr>
          <w:rFonts w:ascii="Calibri" w:hAnsi="Calibri"/>
          <w:sz w:val="22"/>
        </w:rPr>
        <w:t>(ggg) În Secțiunea H, articolul 2, textul: „... 2. Valoarea raportului variației aerului la 50 Pa, n</w:t>
      </w:r>
      <w:r>
        <w:rPr>
          <w:rFonts w:ascii="Calibri" w:hAnsi="Calibri"/>
          <w:sz w:val="22"/>
          <w:vertAlign w:val="subscript"/>
        </w:rPr>
        <w:t>50</w:t>
      </w:r>
      <w:r>
        <w:rPr>
          <w:rFonts w:ascii="Calibri" w:hAnsi="Calibri"/>
          <w:sz w:val="22"/>
        </w:rPr>
        <w:t xml:space="preserve">, poate fi calculată din următoarea ecuație:” se înlocuiește cu: „... 1. Valoarea </w:t>
      </w:r>
      <w:r>
        <w:rPr>
          <w:rFonts w:ascii="Calibri" w:hAnsi="Calibri"/>
          <w:i/>
          <w:sz w:val="22"/>
        </w:rPr>
        <w:t>raportului dintre variația aerului</w:t>
      </w:r>
      <w:r>
        <w:rPr>
          <w:rFonts w:ascii="Calibri" w:hAnsi="Calibri"/>
          <w:sz w:val="22"/>
        </w:rPr>
        <w:t xml:space="preserve"> la 50 Pa, n</w:t>
      </w:r>
      <w:r>
        <w:rPr>
          <w:rFonts w:ascii="Calibri" w:hAnsi="Calibri"/>
          <w:sz w:val="22"/>
          <w:vertAlign w:val="subscript"/>
        </w:rPr>
        <w:t>50</w:t>
      </w:r>
      <w:r>
        <w:rPr>
          <w:rFonts w:ascii="Calibri" w:hAnsi="Calibri"/>
          <w:sz w:val="22"/>
        </w:rPr>
        <w:t xml:space="preserve"> și valorile de referință se obțin pornind de la următoarea expresie:” unde: „n</w:t>
      </w:r>
      <w:r>
        <w:rPr>
          <w:rFonts w:ascii="Calibri" w:hAnsi="Calibri"/>
          <w:sz w:val="22"/>
          <w:vertAlign w:val="subscript"/>
        </w:rPr>
        <w:t>50</w:t>
      </w:r>
      <w:r>
        <w:rPr>
          <w:rFonts w:ascii="Calibri" w:hAnsi="Calibri"/>
          <w:sz w:val="22"/>
        </w:rPr>
        <w:t xml:space="preserve"> = 0,629 · (C</w:t>
      </w:r>
      <w:r>
        <w:rPr>
          <w:rFonts w:ascii="Calibri" w:hAnsi="Calibri"/>
          <w:sz w:val="22"/>
          <w:vertAlign w:val="subscript"/>
        </w:rPr>
        <w:t>o</w:t>
      </w:r>
      <w:r>
        <w:rPr>
          <w:rFonts w:ascii="Calibri" w:hAnsi="Calibri"/>
          <w:sz w:val="22"/>
        </w:rPr>
        <w:t xml:space="preserve"> · A</w:t>
      </w:r>
      <w:r>
        <w:rPr>
          <w:rFonts w:ascii="Calibri" w:hAnsi="Calibri"/>
          <w:sz w:val="22"/>
          <w:vertAlign w:val="subscript"/>
        </w:rPr>
        <w:t>o</w:t>
      </w:r>
      <w:r>
        <w:rPr>
          <w:rFonts w:ascii="Calibri" w:hAnsi="Calibri"/>
          <w:sz w:val="22"/>
        </w:rPr>
        <w:t xml:space="preserve"> + C</w:t>
      </w:r>
      <w:r>
        <w:rPr>
          <w:rFonts w:ascii="Calibri" w:hAnsi="Calibri"/>
          <w:sz w:val="22"/>
          <w:vertAlign w:val="subscript"/>
        </w:rPr>
        <w:t>h</w:t>
      </w:r>
      <w:r>
        <w:rPr>
          <w:rFonts w:ascii="Calibri" w:hAnsi="Calibri"/>
          <w:sz w:val="22"/>
        </w:rPr>
        <w:t xml:space="preserve"> · A</w:t>
      </w:r>
      <w:r>
        <w:rPr>
          <w:rFonts w:ascii="Calibri" w:hAnsi="Calibri"/>
          <w:sz w:val="22"/>
          <w:vertAlign w:val="subscript"/>
        </w:rPr>
        <w:t>h</w:t>
      </w:r>
      <w:r>
        <w:rPr>
          <w:rFonts w:ascii="Calibri" w:hAnsi="Calibri"/>
          <w:sz w:val="22"/>
        </w:rPr>
        <w:t>) / V”se înlocuiesc cu: „n</w:t>
      </w:r>
      <w:r>
        <w:rPr>
          <w:rFonts w:ascii="Calibri" w:hAnsi="Calibri"/>
          <w:sz w:val="22"/>
          <w:vertAlign w:val="subscript"/>
        </w:rPr>
        <w:t>50</w:t>
      </w:r>
      <w:r>
        <w:rPr>
          <w:rFonts w:ascii="Calibri" w:hAnsi="Calibri"/>
          <w:sz w:val="22"/>
        </w:rPr>
        <w:t xml:space="preserve"> = 0,629 · (C</w:t>
      </w:r>
      <w:r>
        <w:rPr>
          <w:rFonts w:ascii="Calibri" w:hAnsi="Calibri"/>
          <w:sz w:val="22"/>
          <w:vertAlign w:val="subscript"/>
        </w:rPr>
        <w:t>o</w:t>
      </w:r>
      <w:r>
        <w:rPr>
          <w:rFonts w:ascii="Calibri" w:hAnsi="Calibri"/>
          <w:sz w:val="22"/>
        </w:rPr>
        <w:t xml:space="preserve"> · A</w:t>
      </w:r>
      <w:r>
        <w:rPr>
          <w:rFonts w:ascii="Calibri" w:hAnsi="Calibri"/>
          <w:sz w:val="22"/>
          <w:vertAlign w:val="subscript"/>
        </w:rPr>
        <w:t>o</w:t>
      </w:r>
      <w:r>
        <w:rPr>
          <w:rFonts w:ascii="Calibri" w:hAnsi="Calibri"/>
          <w:sz w:val="22"/>
        </w:rPr>
        <w:t xml:space="preserve"> + C</w:t>
      </w:r>
      <w:r>
        <w:rPr>
          <w:rFonts w:ascii="Calibri" w:hAnsi="Calibri"/>
          <w:sz w:val="22"/>
          <w:vertAlign w:val="subscript"/>
        </w:rPr>
        <w:t>h</w:t>
      </w:r>
      <w:r>
        <w:rPr>
          <w:rFonts w:ascii="Calibri" w:hAnsi="Calibri"/>
          <w:sz w:val="22"/>
        </w:rPr>
        <w:t xml:space="preserve"> · A</w:t>
      </w:r>
      <w:r>
        <w:rPr>
          <w:rFonts w:ascii="Calibri" w:hAnsi="Calibri"/>
          <w:sz w:val="22"/>
          <w:vertAlign w:val="subscript"/>
        </w:rPr>
        <w:t>h</w:t>
      </w:r>
      <w:r>
        <w:rPr>
          <w:rFonts w:ascii="Calibri" w:hAnsi="Calibri"/>
          <w:sz w:val="22"/>
        </w:rPr>
        <w:t>) / V</w:t>
      </w:r>
      <w:r>
        <w:rPr>
          <w:rFonts w:ascii="Calibri" w:hAnsi="Calibri"/>
          <w:sz w:val="22"/>
          <w:vertAlign w:val="subscript"/>
        </w:rPr>
        <w:t>int</w:t>
      </w:r>
      <w:r>
        <w:rPr>
          <w:rFonts w:ascii="Calibri" w:hAnsi="Calibri"/>
          <w:sz w:val="22"/>
        </w:rPr>
        <w:t>”, unde: „V este volumul intern al anvelopei termice, în [m</w:t>
      </w:r>
      <w:r>
        <w:rPr>
          <w:rFonts w:ascii="Calibri" w:hAnsi="Calibri"/>
          <w:sz w:val="22"/>
          <w:vertAlign w:val="superscript"/>
        </w:rPr>
        <w:t>3</w:t>
      </w:r>
      <w:r>
        <w:rPr>
          <w:rFonts w:ascii="Calibri" w:hAnsi="Calibri"/>
          <w:sz w:val="22"/>
        </w:rPr>
        <w:t>]” se înlocuiește cu: „V</w:t>
      </w:r>
      <w:r>
        <w:rPr>
          <w:rFonts w:ascii="Calibri" w:hAnsi="Calibri"/>
          <w:sz w:val="22"/>
          <w:vertAlign w:val="subscript"/>
        </w:rPr>
        <w:t>int</w:t>
      </w:r>
      <w:r>
        <w:rPr>
          <w:rFonts w:ascii="Calibri" w:hAnsi="Calibri"/>
          <w:sz w:val="22"/>
        </w:rPr>
        <w:t xml:space="preserve"> este volumul intern de aer al </w:t>
      </w:r>
      <w:r>
        <w:rPr>
          <w:rFonts w:ascii="Calibri" w:hAnsi="Calibri"/>
          <w:i/>
          <w:sz w:val="22"/>
        </w:rPr>
        <w:t>anvelopei termice</w:t>
      </w:r>
      <w:r>
        <w:rPr>
          <w:rFonts w:ascii="Calibri" w:hAnsi="Calibri"/>
          <w:sz w:val="22"/>
        </w:rPr>
        <w:t>, în [m</w:t>
      </w:r>
      <w:r>
        <w:rPr>
          <w:rFonts w:ascii="Calibri" w:hAnsi="Calibri"/>
          <w:sz w:val="22"/>
          <w:vertAlign w:val="superscript"/>
        </w:rPr>
        <w:t>3</w:t>
      </w:r>
      <w:r>
        <w:rPr>
          <w:rFonts w:ascii="Calibri" w:hAnsi="Calibri"/>
          <w:sz w:val="22"/>
        </w:rPr>
        <w:t>]”, și unde: „A</w:t>
      </w:r>
      <w:r>
        <w:rPr>
          <w:rFonts w:ascii="Calibri" w:hAnsi="Calibri"/>
          <w:sz w:val="22"/>
          <w:vertAlign w:val="subscript"/>
        </w:rPr>
        <w:t>o</w:t>
      </w:r>
      <w:r>
        <w:rPr>
          <w:rFonts w:ascii="Calibri" w:hAnsi="Calibri"/>
          <w:sz w:val="22"/>
        </w:rPr>
        <w:t xml:space="preserve"> este suprafața părții opace a </w:t>
      </w:r>
      <w:r>
        <w:rPr>
          <w:rFonts w:ascii="Calibri" w:hAnsi="Calibri"/>
          <w:i/>
          <w:sz w:val="22"/>
        </w:rPr>
        <w:t>anvelopei termice</w:t>
      </w:r>
      <w:r>
        <w:rPr>
          <w:rFonts w:ascii="Calibri" w:hAnsi="Calibri"/>
          <w:sz w:val="22"/>
        </w:rPr>
        <w:t>, în [m</w:t>
      </w:r>
      <w:r>
        <w:rPr>
          <w:rFonts w:ascii="Calibri" w:hAnsi="Calibri"/>
          <w:sz w:val="22"/>
          <w:vertAlign w:val="superscript"/>
        </w:rPr>
        <w:t>2</w:t>
      </w:r>
      <w:r>
        <w:rPr>
          <w:rFonts w:ascii="Calibri" w:hAnsi="Calibri"/>
          <w:sz w:val="22"/>
        </w:rPr>
        <w:t>]” se înlocuiește cu: „A</w:t>
      </w:r>
      <w:r>
        <w:rPr>
          <w:rFonts w:ascii="Calibri" w:hAnsi="Calibri"/>
          <w:sz w:val="22"/>
          <w:vertAlign w:val="subscript"/>
        </w:rPr>
        <w:t>o</w:t>
      </w:r>
      <w:r>
        <w:rPr>
          <w:rFonts w:ascii="Calibri" w:hAnsi="Calibri"/>
          <w:sz w:val="22"/>
        </w:rPr>
        <w:t xml:space="preserve"> este suprafața părții opace a </w:t>
      </w:r>
      <w:r>
        <w:rPr>
          <w:rFonts w:ascii="Calibri" w:hAnsi="Calibri"/>
          <w:i/>
          <w:sz w:val="22"/>
        </w:rPr>
        <w:t>anvelopei termice</w:t>
      </w:r>
      <w:r>
        <w:rPr>
          <w:rFonts w:ascii="Calibri" w:hAnsi="Calibri"/>
          <w:sz w:val="22"/>
        </w:rPr>
        <w:t xml:space="preserve"> în contact cu aerul exterior, la [m</w:t>
      </w:r>
      <w:r>
        <w:rPr>
          <w:rFonts w:ascii="Calibri" w:hAnsi="Calibri"/>
          <w:sz w:val="22"/>
          <w:vertAlign w:val="superscript"/>
        </w:rPr>
        <w:t>2</w:t>
      </w:r>
      <w:r>
        <w:rPr>
          <w:rFonts w:ascii="Calibri" w:hAnsi="Calibri"/>
          <w:sz w:val="22"/>
        </w:rPr>
        <w:t xml:space="preserve">]”. </w:t>
      </w:r>
    </w:p>
    <w:p w14:paraId="7752C220" w14:textId="77777777" w:rsidR="000760AB" w:rsidRPr="000760AB" w:rsidRDefault="000760AB" w:rsidP="000760AB">
      <w:pPr>
        <w:spacing w:before="200" w:after="100"/>
        <w:ind w:left="284"/>
        <w:jc w:val="both"/>
        <w:rPr>
          <w:rFonts w:ascii="Calibri" w:eastAsia="Arial" w:hAnsi="Calibri" w:cs="Calibri"/>
          <w:kern w:val="2"/>
          <w:sz w:val="22"/>
          <w:szCs w:val="22"/>
        </w:rPr>
      </w:pPr>
      <w:r>
        <w:rPr>
          <w:rFonts w:ascii="Calibri" w:hAnsi="Calibri"/>
          <w:sz w:val="22"/>
        </w:rPr>
        <w:t>(hhh) În anexa H, termenii „anvelopa termică” și „găuri” ar trebui să fie redactate cu caractere cursive în descrierea termenilor C</w:t>
      </w:r>
      <w:r>
        <w:rPr>
          <w:rFonts w:ascii="Calibri" w:hAnsi="Calibri"/>
          <w:sz w:val="22"/>
          <w:vertAlign w:val="subscript"/>
        </w:rPr>
        <w:t>o</w:t>
      </w:r>
      <w:r>
        <w:rPr>
          <w:rFonts w:ascii="Calibri" w:hAnsi="Calibri"/>
          <w:sz w:val="22"/>
        </w:rPr>
        <w:t>, C</w:t>
      </w:r>
      <w:r>
        <w:rPr>
          <w:rFonts w:ascii="Calibri" w:hAnsi="Calibri"/>
          <w:sz w:val="22"/>
          <w:vertAlign w:val="subscript"/>
        </w:rPr>
        <w:t>h</w:t>
      </w:r>
      <w:r>
        <w:rPr>
          <w:rFonts w:ascii="Calibri" w:hAnsi="Calibri"/>
          <w:sz w:val="22"/>
        </w:rPr>
        <w:t>, A</w:t>
      </w:r>
      <w:r>
        <w:rPr>
          <w:rFonts w:ascii="Calibri" w:hAnsi="Calibri"/>
          <w:sz w:val="22"/>
          <w:vertAlign w:val="subscript"/>
        </w:rPr>
        <w:t>h</w:t>
      </w:r>
      <w:r>
        <w:rPr>
          <w:rFonts w:ascii="Calibri" w:hAnsi="Calibri"/>
          <w:sz w:val="22"/>
        </w:rPr>
        <w:t xml:space="preserve"> și în tabelul a-anexa H.</w:t>
      </w:r>
    </w:p>
    <w:p w14:paraId="3CEE363E" w14:textId="77777777" w:rsidR="000760AB" w:rsidRPr="000760AB" w:rsidRDefault="000760AB" w:rsidP="00FD453F">
      <w:pPr>
        <w:spacing w:after="160" w:line="259" w:lineRule="auto"/>
        <w:ind w:left="13" w:hanging="13"/>
        <w:jc w:val="both"/>
        <w:rPr>
          <w:rFonts w:ascii="Calibri" w:eastAsia="Calibri" w:hAnsi="Calibri" w:cs="Calibri"/>
          <w:sz w:val="22"/>
          <w:szCs w:val="22"/>
        </w:rPr>
      </w:pPr>
      <w:r>
        <w:rPr>
          <w:rFonts w:ascii="Calibri" w:hAnsi="Calibri"/>
          <w:sz w:val="22"/>
        </w:rPr>
        <w:t>4.</w:t>
      </w:r>
      <w:r>
        <w:rPr>
          <w:rFonts w:ascii="Calibri" w:hAnsi="Calibri"/>
          <w:b/>
          <w:sz w:val="22"/>
        </w:rPr>
        <w:t xml:space="preserve"> </w:t>
      </w:r>
      <w:r>
        <w:rPr>
          <w:rFonts w:ascii="Calibri" w:hAnsi="Calibri"/>
          <w:sz w:val="22"/>
        </w:rPr>
        <w:t xml:space="preserve">Următoarele modificări sunt introduse în Documentul de bază DB-SUA „Siguranță în utilizare și accesibilitate” inclus în Partea a II-a a Codului tehnic al construcțiilor: </w:t>
      </w:r>
    </w:p>
    <w:p w14:paraId="19A3C2AA" w14:textId="77777777" w:rsidR="000760AB" w:rsidRPr="000760AB" w:rsidRDefault="000760AB" w:rsidP="00FD453F">
      <w:pPr>
        <w:spacing w:after="160" w:line="259" w:lineRule="auto"/>
        <w:ind w:left="284"/>
        <w:jc w:val="both"/>
        <w:rPr>
          <w:rFonts w:ascii="Calibri" w:eastAsia="Calibri" w:hAnsi="Calibri" w:cs="Calibri"/>
          <w:sz w:val="22"/>
          <w:szCs w:val="22"/>
        </w:rPr>
      </w:pPr>
      <w:r>
        <w:rPr>
          <w:rFonts w:ascii="Calibri" w:hAnsi="Calibri"/>
          <w:sz w:val="22"/>
        </w:rPr>
        <w:t>În anexa A, definiția „Spațiu de parcare accesibil” include o liniuță cu textul:</w:t>
      </w:r>
    </w:p>
    <w:p w14:paraId="3A6FBAF1" w14:textId="77777777" w:rsidR="000760AB" w:rsidRPr="000760AB" w:rsidRDefault="000760AB" w:rsidP="00FD453F">
      <w:pPr>
        <w:spacing w:after="160" w:line="259" w:lineRule="auto"/>
        <w:ind w:left="284"/>
        <w:jc w:val="both"/>
        <w:rPr>
          <w:rFonts w:ascii="Calibri" w:eastAsia="Calibri" w:hAnsi="Calibri" w:cs="Calibri"/>
          <w:sz w:val="22"/>
          <w:szCs w:val="22"/>
        </w:rPr>
      </w:pPr>
      <w:r>
        <w:rPr>
          <w:rFonts w:ascii="Calibri" w:hAnsi="Calibri"/>
          <w:sz w:val="22"/>
        </w:rPr>
        <w:t xml:space="preserve">„— În cazul în care </w:t>
      </w:r>
      <w:r>
        <w:rPr>
          <w:rFonts w:ascii="Calibri" w:hAnsi="Calibri"/>
          <w:i/>
          <w:sz w:val="22"/>
        </w:rPr>
        <w:t>spațiul de parcare accesibil</w:t>
      </w:r>
      <w:r>
        <w:rPr>
          <w:rFonts w:ascii="Calibri" w:hAnsi="Calibri"/>
          <w:sz w:val="22"/>
        </w:rPr>
        <w:t xml:space="preserve"> are o stație de încărcare pentru vehicule electrice, </w:t>
      </w:r>
      <w:r>
        <w:rPr>
          <w:rFonts w:ascii="Calibri" w:hAnsi="Calibri"/>
          <w:i/>
          <w:sz w:val="22"/>
        </w:rPr>
        <w:t>itinerariul accesibil</w:t>
      </w:r>
      <w:r>
        <w:rPr>
          <w:rFonts w:ascii="Calibri" w:hAnsi="Calibri"/>
          <w:sz w:val="22"/>
        </w:rPr>
        <w:t xml:space="preserve"> include, de asemenea, această stație de încărcare. Prizele de putere și conectorii acestor stații de încărcare trebuie să fie contrastați cromatic cu mediul, amplasați la o înălțime cuprinsă între 80 și 120 cm, iar distanța de la colțuri trebuie să fie de cel puțin 35 cm.”</w:t>
      </w:r>
    </w:p>
    <w:p w14:paraId="6B637874" w14:textId="77777777" w:rsidR="000760AB" w:rsidRPr="000760AB" w:rsidRDefault="000760AB" w:rsidP="000760AB">
      <w:pPr>
        <w:spacing w:after="160" w:line="259" w:lineRule="auto"/>
        <w:ind w:left="13"/>
        <w:jc w:val="both"/>
        <w:rPr>
          <w:rFonts w:ascii="Calibri" w:eastAsia="Calibri" w:hAnsi="Calibri" w:cs="Calibri"/>
          <w:sz w:val="22"/>
          <w:szCs w:val="22"/>
        </w:rPr>
      </w:pPr>
      <w:r>
        <w:rPr>
          <w:rFonts w:ascii="Calibri" w:hAnsi="Calibri"/>
          <w:sz w:val="22"/>
        </w:rPr>
        <w:t>5. Următoarele modificări sunt introduse în documentul de bază DB-HS „Sănătate”, incluse în partea II:</w:t>
      </w:r>
    </w:p>
    <w:p w14:paraId="6210F03A" w14:textId="77777777" w:rsidR="000760AB" w:rsidRPr="000760AB" w:rsidRDefault="000760AB" w:rsidP="000760AB">
      <w:pPr>
        <w:spacing w:after="160" w:line="259" w:lineRule="auto"/>
        <w:ind w:left="284"/>
        <w:contextualSpacing/>
        <w:jc w:val="both"/>
        <w:rPr>
          <w:rFonts w:ascii="Calibri" w:eastAsia="Calibri" w:hAnsi="Calibri" w:cs="Calibri"/>
          <w:sz w:val="22"/>
          <w:szCs w:val="22"/>
        </w:rPr>
      </w:pPr>
      <w:bookmarkStart w:id="25" w:name="_Hlk103704636"/>
      <w:r>
        <w:rPr>
          <w:rFonts w:ascii="Calibri" w:hAnsi="Calibri"/>
          <w:sz w:val="22"/>
        </w:rPr>
        <w:t>(a) În secțiunea HA 4, la articolul 3.2.2.1 punctul 2, teza „contribuția minimă a energiei solare la producția de apă caldă menajeră” se înlocuiește cu teza „contribuția minimă a energiei din surse regenerabile la acoperirea cererii de apă caldă menajeră”.</w:t>
      </w:r>
    </w:p>
    <w:p w14:paraId="3EDCC51A" w14:textId="77777777" w:rsidR="000760AB" w:rsidRPr="000760AB" w:rsidRDefault="000760AB" w:rsidP="000760AB">
      <w:pPr>
        <w:spacing w:before="200" w:after="100"/>
        <w:ind w:left="284"/>
        <w:jc w:val="both"/>
        <w:rPr>
          <w:rFonts w:ascii="Calibri" w:eastAsia="Arial" w:hAnsi="Calibri" w:cs="Calibri"/>
          <w:kern w:val="2"/>
          <w:sz w:val="22"/>
        </w:rPr>
      </w:pPr>
      <w:r>
        <w:rPr>
          <w:rFonts w:ascii="Calibri" w:hAnsi="Calibri"/>
          <w:sz w:val="22"/>
        </w:rPr>
        <w:t>(b) În HS articolul 4, la articolul 6.2 litera „(e) tuburi din policlorură de vinil (PVC-C) în conformitate cu UNE-EN ISO 15874-1:2013, UNE-EN ISO 15874-2:2013 și UNE-EN ISO 15874-3:2013;” se înlocuiește cu litera „(e) tuburi din clorură de vinil policlorurat (PVC-C), în conformitate cu UNE-EN ISO 15877-1:2009 (+UNE-EN ISO 15877-1:2009/A1): 2011), UNE-EN ISO 15877-2:2009 (+UNE-EN ISO 15877-2:2009/A1: 2011) și UNE-EN ISO 15877-3:2009 (+UNE-EN ISO 15877-3:2009/A1: 2011);”.</w:t>
      </w:r>
    </w:p>
    <w:p w14:paraId="36823CBB" w14:textId="77777777" w:rsidR="000760AB" w:rsidRPr="000760AB" w:rsidRDefault="000760AB" w:rsidP="000760AB">
      <w:pPr>
        <w:spacing w:before="200" w:after="100"/>
        <w:ind w:left="284"/>
        <w:jc w:val="both"/>
        <w:rPr>
          <w:rFonts w:ascii="Calibri" w:eastAsia="Arial" w:hAnsi="Calibri" w:cs="Calibri"/>
          <w:kern w:val="2"/>
          <w:sz w:val="22"/>
        </w:rPr>
      </w:pPr>
      <w:r>
        <w:rPr>
          <w:rFonts w:ascii="Calibri" w:hAnsi="Calibri"/>
          <w:sz w:val="22"/>
        </w:rPr>
        <w:t>(c) În secțiunea HS 4, la articolul 6.2 litera „(h) țevi din polibutilenă (PB) în conformitate cu UNE-EN ISO 15876-1:2017, UNE-EN ISO 15876-2:2017 și UNE-EN ISO 15876-3:2017;” se înlocuiește cu litera „(h) țevi din polibutenă (PB) în conformitate cu UNE-EN ISO 15876-1:2017, UNE-EN ISO 15876-2:2017 și UNE-EN ISO 15876-3:2017;”.</w:t>
      </w:r>
    </w:p>
    <w:p w14:paraId="3D6093F2" w14:textId="77777777" w:rsidR="000760AB" w:rsidRPr="000760AB" w:rsidRDefault="000760AB" w:rsidP="000760AB">
      <w:pPr>
        <w:spacing w:before="200" w:after="100"/>
        <w:ind w:left="284"/>
        <w:jc w:val="both"/>
        <w:rPr>
          <w:rFonts w:ascii="Calibri" w:eastAsia="Arial" w:hAnsi="Calibri" w:cs="Calibri"/>
          <w:kern w:val="2"/>
          <w:sz w:val="22"/>
        </w:rPr>
      </w:pPr>
      <w:r>
        <w:rPr>
          <w:rFonts w:ascii="Calibri" w:hAnsi="Calibri"/>
          <w:sz w:val="22"/>
        </w:rPr>
        <w:lastRenderedPageBreak/>
        <w:t>(d) În</w:t>
      </w:r>
      <w:r>
        <w:rPr>
          <w:rFonts w:ascii="Calibri" w:hAnsi="Calibri"/>
          <w:b/>
          <w:sz w:val="22"/>
        </w:rPr>
        <w:t xml:space="preserve"> </w:t>
      </w:r>
      <w:r>
        <w:rPr>
          <w:rFonts w:ascii="Calibri" w:hAnsi="Calibri"/>
          <w:sz w:val="22"/>
        </w:rPr>
        <w:t>secțiunea HS 4, apendicele C, fiecare ocurență: „Sisteme de conducte din plastic pentru instalații de apă caldă și rece. Polibutilenă (PB). Partea 1: Dispoziții generale” se va citi: „Sisteme de conducte din plastic pentru instalații de apă caldă și rece. Polibutenă (PB). Partea 1: Dispoziții generale</w:t>
      </w:r>
    </w:p>
    <w:p w14:paraId="3D1885BA" w14:textId="77777777" w:rsidR="000760AB" w:rsidRPr="000760AB" w:rsidRDefault="000760AB" w:rsidP="000760AB">
      <w:pPr>
        <w:spacing w:before="200" w:after="100"/>
        <w:ind w:left="284"/>
        <w:jc w:val="both"/>
        <w:rPr>
          <w:rFonts w:ascii="Calibri" w:eastAsia="Arial" w:hAnsi="Calibri" w:cs="Calibri"/>
          <w:kern w:val="2"/>
          <w:sz w:val="22"/>
        </w:rPr>
      </w:pPr>
      <w:r>
        <w:rPr>
          <w:rFonts w:ascii="Calibri" w:hAnsi="Calibri"/>
          <w:sz w:val="22"/>
        </w:rPr>
        <w:t>(e) În</w:t>
      </w:r>
      <w:r>
        <w:rPr>
          <w:rFonts w:ascii="Calibri" w:hAnsi="Calibri"/>
          <w:b/>
          <w:sz w:val="22"/>
        </w:rPr>
        <w:t xml:space="preserve"> </w:t>
      </w:r>
      <w:r>
        <w:rPr>
          <w:rFonts w:ascii="Calibri" w:hAnsi="Calibri"/>
          <w:sz w:val="22"/>
        </w:rPr>
        <w:t>secțiunea HS 4, apendicele C, fiecare ocurență: „Sisteme de conducte din plastic pentru instalații de apă caldă și rece. Polibutilenă (PB). Partea 2: Conducte” se va citi: „Sisteme de conducte din plastic pentru instalații de apă caldă și rece. Polibutenă (PB). Partea 2: Conducte.</w:t>
      </w:r>
    </w:p>
    <w:p w14:paraId="70CF101A" w14:textId="77777777" w:rsidR="000760AB" w:rsidRPr="000760AB" w:rsidRDefault="000760AB" w:rsidP="000760AB">
      <w:pPr>
        <w:spacing w:before="200" w:after="100"/>
        <w:ind w:left="284"/>
        <w:jc w:val="both"/>
        <w:rPr>
          <w:rFonts w:ascii="Calibri" w:eastAsia="Arial" w:hAnsi="Calibri" w:cs="Calibri"/>
          <w:kern w:val="2"/>
          <w:sz w:val="22"/>
        </w:rPr>
      </w:pPr>
      <w:r>
        <w:rPr>
          <w:rFonts w:ascii="Calibri" w:hAnsi="Calibri"/>
          <w:sz w:val="22"/>
        </w:rPr>
        <w:t>(f) În</w:t>
      </w:r>
      <w:r>
        <w:rPr>
          <w:rFonts w:ascii="Calibri" w:hAnsi="Calibri"/>
          <w:b/>
          <w:sz w:val="22"/>
        </w:rPr>
        <w:t xml:space="preserve"> </w:t>
      </w:r>
      <w:r>
        <w:rPr>
          <w:rFonts w:ascii="Calibri" w:hAnsi="Calibri"/>
          <w:sz w:val="22"/>
        </w:rPr>
        <w:t>secțiunea HS 4, apendicele C, fiecare ocurență: „Sisteme de conducte din plastic pentru instalații de apă caldă și rece. Polibutilenă (PB). Partea 3: Accesorii” se va citi: „Sisteme de conducte din plastic pentru instalații de apă caldă și rece. Polibutenă (PB). Partea 3: Accesorii.</w:t>
      </w:r>
    </w:p>
    <w:p w14:paraId="52A9A5FD" w14:textId="77777777" w:rsidR="000760AB" w:rsidRPr="000760AB" w:rsidRDefault="000760AB" w:rsidP="000760AB">
      <w:pPr>
        <w:spacing w:before="200" w:after="100"/>
        <w:ind w:left="284"/>
        <w:jc w:val="both"/>
        <w:rPr>
          <w:rFonts w:ascii="Calibri" w:eastAsia="Arial" w:hAnsi="Calibri" w:cs="Calibri"/>
          <w:kern w:val="2"/>
          <w:sz w:val="22"/>
        </w:rPr>
      </w:pPr>
      <w:r>
        <w:rPr>
          <w:rFonts w:ascii="Calibri" w:hAnsi="Calibri"/>
          <w:sz w:val="22"/>
        </w:rPr>
        <w:t>(g) În secțiunea HS 4, apendicele C, următoarele trebuie încorporate după trimiterea la standardul „UNE-EN ISO 15876-3: 2017</w:t>
      </w:r>
      <w:r>
        <w:rPr>
          <w:rFonts w:ascii="Calibri" w:hAnsi="Calibri"/>
          <w:sz w:val="22"/>
        </w:rPr>
        <w:tab/>
        <w:t>Sisteme de conducte din plastic pentru instalații de apă caldă și rece. Polibutenă (PB). Partea 3: Accesorii” se introduc următoarele standarde:</w:t>
      </w:r>
    </w:p>
    <w:p w14:paraId="5151AE28" w14:textId="77777777" w:rsidR="000760AB" w:rsidRPr="000760AB" w:rsidRDefault="000760AB" w:rsidP="000760AB">
      <w:pPr>
        <w:spacing w:after="120" w:line="259" w:lineRule="auto"/>
        <w:ind w:left="284"/>
        <w:contextualSpacing/>
        <w:jc w:val="both"/>
        <w:rPr>
          <w:rFonts w:ascii="Calibri" w:eastAsia="Calibri" w:hAnsi="Calibri"/>
          <w:sz w:val="22"/>
          <w:szCs w:val="22"/>
        </w:rPr>
      </w:pPr>
      <w:r>
        <w:rPr>
          <w:rFonts w:ascii="Calibri" w:hAnsi="Calibri"/>
          <w:sz w:val="22"/>
        </w:rPr>
        <w:t xml:space="preserve">„UNE-EN ISO 15877-1:2009 Sisteme de conducte din plastic pentru instalații de apă caldă și rece. Poli (clorură de vinil) clorată (PVC-C). Partea 1: Dispoziții generale (+UNE-EN ISO 15877-1:2009/A1:2011)  </w:t>
      </w:r>
    </w:p>
    <w:p w14:paraId="459306CD" w14:textId="77777777" w:rsidR="000760AB" w:rsidRPr="000760AB" w:rsidRDefault="000760AB" w:rsidP="000760AB">
      <w:pPr>
        <w:spacing w:after="120" w:line="259" w:lineRule="auto"/>
        <w:ind w:left="284"/>
        <w:contextualSpacing/>
        <w:jc w:val="both"/>
        <w:rPr>
          <w:rFonts w:ascii="Calibri" w:eastAsia="Calibri" w:hAnsi="Calibri"/>
          <w:sz w:val="22"/>
          <w:szCs w:val="22"/>
          <w:lang w:eastAsia="en-US"/>
        </w:rPr>
      </w:pPr>
    </w:p>
    <w:p w14:paraId="3478D13F" w14:textId="77777777" w:rsidR="000760AB" w:rsidRPr="000760AB" w:rsidRDefault="000760AB" w:rsidP="000760AB">
      <w:pPr>
        <w:spacing w:after="120" w:line="259" w:lineRule="auto"/>
        <w:ind w:left="284"/>
        <w:contextualSpacing/>
        <w:jc w:val="both"/>
        <w:rPr>
          <w:rFonts w:ascii="Calibri" w:eastAsia="Calibri" w:hAnsi="Calibri"/>
          <w:sz w:val="22"/>
          <w:szCs w:val="22"/>
        </w:rPr>
      </w:pPr>
      <w:r>
        <w:rPr>
          <w:rFonts w:ascii="Calibri" w:hAnsi="Calibri"/>
          <w:sz w:val="22"/>
        </w:rPr>
        <w:t xml:space="preserve">UNE-EN ISO 15877-2:2009 Sisteme de conducte din plastic pentru instalații de apă caldă și rece. Poli (clorură de vinil) clorată (PVC-C). Partea 2: Conducte. (+UNE-EN ISO 15877-2:2009/A1:2011) </w:t>
      </w:r>
    </w:p>
    <w:p w14:paraId="1A003182" w14:textId="77777777" w:rsidR="000760AB" w:rsidRPr="000760AB" w:rsidRDefault="000760AB" w:rsidP="000760AB">
      <w:pPr>
        <w:spacing w:after="120" w:line="259" w:lineRule="auto"/>
        <w:ind w:left="284"/>
        <w:contextualSpacing/>
        <w:jc w:val="both"/>
        <w:rPr>
          <w:rFonts w:ascii="Calibri" w:eastAsia="Calibri" w:hAnsi="Calibri"/>
          <w:sz w:val="22"/>
          <w:szCs w:val="22"/>
          <w:lang w:eastAsia="en-US"/>
        </w:rPr>
      </w:pPr>
    </w:p>
    <w:p w14:paraId="147816FB" w14:textId="3B192627" w:rsidR="000760AB" w:rsidRDefault="000760AB" w:rsidP="000760AB">
      <w:pPr>
        <w:spacing w:after="120" w:line="259" w:lineRule="auto"/>
        <w:ind w:left="284"/>
        <w:contextualSpacing/>
        <w:jc w:val="both"/>
        <w:rPr>
          <w:rFonts w:ascii="Calibri" w:eastAsia="Calibri" w:hAnsi="Calibri"/>
          <w:sz w:val="22"/>
          <w:szCs w:val="22"/>
        </w:rPr>
      </w:pPr>
      <w:r>
        <w:rPr>
          <w:rFonts w:ascii="Calibri" w:hAnsi="Calibri"/>
          <w:sz w:val="22"/>
        </w:rPr>
        <w:t>UNE-EN ISO 15877-3:2009 Sisteme de conducte din plastic pentru instalații de apă caldă și rece. Poli (clorură de vinil) clorată (PVC-C). Partea 3: Accesorii. (+UNE-EN ISO 15877-3:2009/A1:2011)</w:t>
      </w:r>
    </w:p>
    <w:p w14:paraId="4ED97A3D" w14:textId="77777777" w:rsidR="00FD453F" w:rsidRPr="000760AB" w:rsidRDefault="00FD453F" w:rsidP="000760AB">
      <w:pPr>
        <w:spacing w:after="120" w:line="259" w:lineRule="auto"/>
        <w:ind w:left="284"/>
        <w:contextualSpacing/>
        <w:jc w:val="both"/>
        <w:rPr>
          <w:rFonts w:ascii="Calibri" w:eastAsia="Calibri" w:hAnsi="Calibri"/>
          <w:sz w:val="22"/>
          <w:szCs w:val="22"/>
          <w:lang w:eastAsia="en-US"/>
        </w:rPr>
      </w:pPr>
    </w:p>
    <w:bookmarkEnd w:id="25"/>
    <w:p w14:paraId="5E164AFD" w14:textId="77777777" w:rsidR="000760AB" w:rsidRPr="000760AB" w:rsidRDefault="000760AB" w:rsidP="000760AB">
      <w:pPr>
        <w:spacing w:after="160" w:line="259" w:lineRule="auto"/>
        <w:jc w:val="both"/>
        <w:rPr>
          <w:rFonts w:ascii="Calibri" w:eastAsia="Calibri" w:hAnsi="Calibri" w:cs="Calibri"/>
          <w:bCs/>
          <w:i/>
          <w:iCs/>
          <w:sz w:val="22"/>
          <w:szCs w:val="22"/>
        </w:rPr>
      </w:pPr>
      <w:r>
        <w:rPr>
          <w:rFonts w:ascii="Calibri" w:hAnsi="Calibri"/>
          <w:sz w:val="22"/>
        </w:rPr>
        <w:t xml:space="preserve">Prima dispoziție tranzitorie. </w:t>
      </w:r>
      <w:r>
        <w:rPr>
          <w:rFonts w:ascii="Calibri" w:hAnsi="Calibri"/>
          <w:i/>
          <w:sz w:val="22"/>
        </w:rPr>
        <w:t>Clădiri exceptate de la dispozițiile prezentului decret regal.</w:t>
      </w:r>
    </w:p>
    <w:p w14:paraId="1847A168"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 xml:space="preserve">Modificările aduse Codului tehnic al construcțiilor (CTE) adoptate prin prezentul decret regal nu se aplică clădirilor noi sau lucrărilor asupra clădirilor existente care, în ambele cazuri, au solicitat deja o autorizație de lucrări municipale la data intrării în vigoare a prezentului decret regal. </w:t>
      </w:r>
    </w:p>
    <w:p w14:paraId="0F07CFED"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Aceste lucrări încep în termenul maxim de eficiență al autorizației menționate, în conformitate cu normele sale de reglementare sau, în lipsa acestuia, în termen de șase luni de la acordarea autorizației respective. În caz contrar, proiectele trebuie adaptate la modificările aduse CTE aprobate prin prezentul decret regal.</w:t>
      </w:r>
    </w:p>
    <w:p w14:paraId="39C072F7" w14:textId="77777777" w:rsidR="000760AB" w:rsidRPr="000760AB" w:rsidRDefault="000760AB" w:rsidP="000760AB">
      <w:pPr>
        <w:spacing w:after="160" w:line="259" w:lineRule="auto"/>
        <w:jc w:val="both"/>
        <w:rPr>
          <w:rFonts w:ascii="Calibri" w:eastAsia="Calibri" w:hAnsi="Calibri" w:cs="Calibri"/>
          <w:bCs/>
          <w:i/>
          <w:iCs/>
          <w:sz w:val="22"/>
          <w:szCs w:val="22"/>
        </w:rPr>
      </w:pPr>
      <w:r>
        <w:rPr>
          <w:rFonts w:ascii="Calibri" w:hAnsi="Calibri"/>
          <w:sz w:val="22"/>
        </w:rPr>
        <w:t xml:space="preserve">A doua dispoziție tranzitorie. </w:t>
      </w:r>
      <w:r>
        <w:rPr>
          <w:rFonts w:ascii="Calibri" w:hAnsi="Calibri"/>
          <w:i/>
          <w:sz w:val="22"/>
        </w:rPr>
        <w:t>Clădirile pentru care aplicarea dispozițiilor prezentului decret regal este voluntară.</w:t>
      </w:r>
    </w:p>
    <w:p w14:paraId="27074C97"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 xml:space="preserve">Modificările Codului tehnic al construcțiilor aprobate prin prezentul decret regal se aplică în mod voluntar lucrărilor de construcție noi și lucrărilor asupra clădirilor existente pentru care, în ambele cazuri, se solicită o autorizație de lucrări municipale în termen de șase luni de la intrarea în vigoare a prezentului decret regal. </w:t>
      </w:r>
    </w:p>
    <w:p w14:paraId="5E12150B"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Aceste lucrări încep în termenul maxim de eficiență al autorizației menționate, în conformitate cu normele sale de reglementare sau, în lipsa acestuia, în termen de șase luni de la acordarea autorizației respective. În caz contrar, proiectele trebuie adaptate la modificările aduse CTE aprobate prin prezentul decret regal.</w:t>
      </w:r>
    </w:p>
    <w:p w14:paraId="76BE3F2E" w14:textId="77777777" w:rsidR="000760AB" w:rsidRPr="000760AB" w:rsidRDefault="000760AB" w:rsidP="000760AB">
      <w:pPr>
        <w:spacing w:after="160" w:line="259" w:lineRule="auto"/>
        <w:jc w:val="both"/>
        <w:rPr>
          <w:rFonts w:ascii="Calibri" w:eastAsia="Calibri" w:hAnsi="Calibri" w:cs="Calibri"/>
          <w:bCs/>
          <w:i/>
          <w:iCs/>
          <w:sz w:val="22"/>
          <w:szCs w:val="22"/>
        </w:rPr>
      </w:pPr>
      <w:r>
        <w:rPr>
          <w:rFonts w:ascii="Calibri" w:hAnsi="Calibri"/>
          <w:sz w:val="22"/>
        </w:rPr>
        <w:t xml:space="preserve">A treia dispoziție tranzitorie. </w:t>
      </w:r>
      <w:r>
        <w:rPr>
          <w:rFonts w:ascii="Calibri" w:hAnsi="Calibri"/>
          <w:i/>
          <w:sz w:val="22"/>
        </w:rPr>
        <w:t>Clădirile pentru care aplicarea dispozițiilor prezentului decret regal este obligatorie.</w:t>
      </w:r>
    </w:p>
    <w:p w14:paraId="7B8AAF09"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Aplicarea modificărilor aduse Codului tehnic al construcțiilor (CTE) adoptate prin prezentul decret regal este obligatorie pentru clădirile noi sau pentru lucrările asupra clădirilor existente care solicită o autorizație de lucrări municipale la mai mult de nouă luni de la intrarea în vigoare a prezentei dispoziții.</w:t>
      </w:r>
    </w:p>
    <w:p w14:paraId="1269D8B2" w14:textId="77777777" w:rsidR="000760AB" w:rsidRPr="000760AB" w:rsidRDefault="000760AB" w:rsidP="000760AB">
      <w:pPr>
        <w:spacing w:after="160" w:line="259" w:lineRule="auto"/>
        <w:jc w:val="both"/>
        <w:rPr>
          <w:rFonts w:ascii="Calibri" w:eastAsia="Calibri" w:hAnsi="Calibri" w:cs="Calibri"/>
          <w:bCs/>
          <w:i/>
          <w:iCs/>
          <w:sz w:val="22"/>
          <w:szCs w:val="22"/>
        </w:rPr>
      </w:pPr>
      <w:r>
        <w:rPr>
          <w:rFonts w:ascii="Calibri" w:hAnsi="Calibri"/>
          <w:sz w:val="22"/>
        </w:rPr>
        <w:lastRenderedPageBreak/>
        <w:t xml:space="preserve">Prima dispoziție finală. </w:t>
      </w:r>
      <w:r>
        <w:rPr>
          <w:rFonts w:ascii="Calibri" w:hAnsi="Calibri"/>
          <w:i/>
          <w:sz w:val="22"/>
        </w:rPr>
        <w:t>Modificarea Decretului regal 1053/2014 din 12 decembrie 2014 de aprobare a unei noi instrucțiuni tehnice complementare (ITC) BT 52 „Instalații cu scop special. Infrastructura pentru reîncărcarea vehiculelor electrice”, din regulamentele electrotehnice pentru joasă tensiune, aprobate prin Decretul regal 842/2002 din 2 august 2002, precum și din alte instrucțiuni tehnice complementare.</w:t>
      </w:r>
    </w:p>
    <w:p w14:paraId="01AAD1DA" w14:textId="77777777" w:rsidR="000760AB" w:rsidRPr="000760AB" w:rsidRDefault="000760AB" w:rsidP="000760AB">
      <w:pPr>
        <w:spacing w:after="160" w:line="259" w:lineRule="auto"/>
        <w:jc w:val="both"/>
        <w:rPr>
          <w:rFonts w:ascii="Calibri" w:eastAsia="Calibri" w:hAnsi="Calibri" w:cs="Calibri"/>
          <w:bCs/>
          <w:sz w:val="22"/>
          <w:szCs w:val="22"/>
        </w:rPr>
      </w:pPr>
      <w:r>
        <w:rPr>
          <w:rFonts w:ascii="Calibri" w:hAnsi="Calibri"/>
          <w:sz w:val="22"/>
        </w:rPr>
        <w:t xml:space="preserve">Decretul regal 1053/2014 din 12 decembrie 2014 de aprobare a unei noi instrucțiuni tehnice complementare (ITC) BT 52 „Instalații cu destinație specială. Infrastructura pentru reîncărcarea vehiculelor electrice”, din regulamentele electrotehnice de joasă tensiune, aprobate prin Decretul regal 842/2002 din 2 august 2002, precum și din alte instrucțiuni tehnice complementare, se modifică după cum urmează: </w:t>
      </w:r>
    </w:p>
    <w:p w14:paraId="1141399E"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1. Prima dispoziție suplimentară se modifică și are următoarea formulare:</w:t>
      </w:r>
    </w:p>
    <w:p w14:paraId="0E4C1654" w14:textId="77777777" w:rsidR="000760AB" w:rsidRPr="000760AB" w:rsidRDefault="000760AB" w:rsidP="000760AB">
      <w:pPr>
        <w:spacing w:after="160" w:line="259" w:lineRule="auto"/>
        <w:ind w:left="284"/>
        <w:jc w:val="both"/>
        <w:rPr>
          <w:rFonts w:ascii="Calibri" w:eastAsia="Calibri" w:hAnsi="Calibri"/>
          <w:sz w:val="22"/>
          <w:szCs w:val="22"/>
        </w:rPr>
      </w:pPr>
      <w:r>
        <w:rPr>
          <w:rFonts w:ascii="Calibri" w:hAnsi="Calibri"/>
          <w:sz w:val="22"/>
        </w:rPr>
        <w:t>„Prima dispoziție suplimentară. Facilități structurale minime pentru încărcarea vehiculelor electrice în parcări care nu sunt alocate clădirilor, nou construite sau care fac obiectul unor renovări majore, precum și pe drumurile publice.</w:t>
      </w:r>
    </w:p>
    <w:p w14:paraId="18015A47" w14:textId="77777777" w:rsidR="000760AB" w:rsidRPr="000760AB" w:rsidRDefault="000760AB" w:rsidP="000760AB">
      <w:pPr>
        <w:spacing w:after="160" w:line="259" w:lineRule="auto"/>
        <w:ind w:left="284"/>
        <w:jc w:val="both"/>
        <w:rPr>
          <w:rFonts w:ascii="Calibri" w:eastAsia="Calibri" w:hAnsi="Calibri"/>
          <w:sz w:val="22"/>
          <w:szCs w:val="22"/>
        </w:rPr>
      </w:pPr>
      <w:r>
        <w:rPr>
          <w:rFonts w:ascii="Calibri" w:hAnsi="Calibri"/>
          <w:sz w:val="22"/>
        </w:rPr>
        <w:t xml:space="preserve">1. În parcările nou construite sau în cele care fac obiectul unor renovări majore care nu sunt situate într-o clădire sau adiacente acesteia și, prin urmare, în afara domeniului de aplicare al Documentului de bază privind economiile de energie (DB HE) din Codul tehnic al construcțiilor, trebuie instalată cel puțin o stație de încărcare pentru fiecare 40 de locuri de parcare sau o fracțiune din acestea. O parcare este considerată a fi nou construită atunci când proiectul de construcție este prezentat administrației publice competente pentru prelucrare după intrarea în vigoare a prezentului decret regal. </w:t>
      </w:r>
    </w:p>
    <w:p w14:paraId="06F10D65" w14:textId="77777777" w:rsidR="000760AB" w:rsidRPr="000760AB" w:rsidRDefault="000760AB" w:rsidP="000760AB">
      <w:pPr>
        <w:spacing w:after="160" w:line="259" w:lineRule="auto"/>
        <w:ind w:left="284"/>
        <w:jc w:val="both"/>
        <w:rPr>
          <w:rFonts w:ascii="Calibri" w:eastAsia="Calibri" w:hAnsi="Calibri"/>
          <w:sz w:val="22"/>
          <w:szCs w:val="22"/>
        </w:rPr>
      </w:pPr>
      <w:r>
        <w:rPr>
          <w:rFonts w:ascii="Calibri" w:hAnsi="Calibri"/>
          <w:sz w:val="22"/>
        </w:rPr>
        <w:t>2. Trebuie garantate instalațiile necesare pentru alimentarea stațiilor de încărcare situate în locurile pentru vehiculele electrice de pe drumurile publice prevăzute în planurile de mobilitate durabilă supramunicipale sau municipale.”</w:t>
      </w:r>
    </w:p>
    <w:p w14:paraId="689B86A0"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2. Articolul 3.2 din INSTRUCȚIUNEA TEHNICĂ COMPLEMENTARĂ (ITC) BT-52 se modifică după cum urmează:</w:t>
      </w:r>
    </w:p>
    <w:p w14:paraId="3188850A"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 xml:space="preserve">„3.2 Instalarea în parcări sau locuri de parcare colective adiacente clădirilor sau complexelor de clădiri. </w:t>
      </w:r>
    </w:p>
    <w:p w14:paraId="5D648D19"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 xml:space="preserve">Instalațiile electrice pentru încărcarea </w:t>
      </w:r>
      <w:r>
        <w:rPr>
          <w:rFonts w:ascii="Calibri" w:hAnsi="Calibri"/>
          <w:color w:val="000000"/>
          <w:sz w:val="22"/>
        </w:rPr>
        <w:t>vehiculelor electrice</w:t>
      </w:r>
      <w:r>
        <w:rPr>
          <w:rFonts w:ascii="Calibri" w:hAnsi="Calibri"/>
          <w:sz w:val="22"/>
        </w:rPr>
        <w:t xml:space="preserve"> situate în parcări sau parcări în interiorul sau adiacente clădirilor sau locuințelor trebuie să respecte oricare dintre schemele descrise mai sus.</w:t>
      </w:r>
      <w:r>
        <w:rPr>
          <w:rFonts w:ascii="Calibri" w:hAnsi="Calibri"/>
          <w:color w:val="000000"/>
          <w:sz w:val="22"/>
        </w:rPr>
        <w:t xml:space="preserve"> </w:t>
      </w:r>
      <w:r>
        <w:rPr>
          <w:rFonts w:ascii="Calibri" w:hAnsi="Calibri"/>
          <w:sz w:val="22"/>
        </w:rPr>
        <w:t>În aceeași clădire se pot utiliza scheme diferite, cu condiția ca toate cerințele prevăzute în prezenta (ITC) BT-52 să fie îndeplinite.</w:t>
      </w:r>
    </w:p>
    <w:p w14:paraId="7585E852"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În schema 4a, circuitul de încărcare trebuie să respecte condițiile de instalare descrise în (ITC) BT-15, utilizând cabluri și sisteme de conducție de aceleași tipuri și caracteristici ca pentru o șuntare individuală, iar secțiunea cablului se calculează în conformitate cu cerințele generale din secțiunea 5 din prezenta ITC. Nu este necesar să se prevadă o extindere a secțiunii cablurilor pentru a determina diametrul sau dimensiunile transversale ale sistemului de conducție care urmează să fie utilizat.</w:t>
      </w:r>
    </w:p>
    <w:p w14:paraId="2D2E95BD"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Schema 4b se utilizează atunci când alimentarea stațiilor de încărcare este proiectată ca parte integrantă sau ca extensie a instalației electrice care deservește serviciile generale ale garajelor.</w:t>
      </w:r>
    </w:p>
    <w:p w14:paraId="6F33488D"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Atât în instalațiile existente, cât și în cele noi și pentru a facilita utilizarea schemei electrice selectate, tabelele care conțin protecții generale și alte dispozitive de încărcare a vehiculelor electrice pot fi amplasate în încăperile desemnate în acest scop sau în zonele comune.</w:t>
      </w:r>
    </w:p>
    <w:p w14:paraId="1D7341B6"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 xml:space="preserve">Preinstalarea electrică pentru încărcarea vehiculelor electrice în parcările situate sau adiacente clădirilor sau complexelor de clădiri facilitează utilizarea ulterioară a oricăruia dintre posibilele scheme de instalare. Aceasta include următoarele elemente: </w:t>
      </w:r>
    </w:p>
    <w:p w14:paraId="69AC9996"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lastRenderedPageBreak/>
        <w:t>(a) Instalarea sistemelor de conducere prin cablu de la centralizarea contoarelor și de pe drumurile principale ale parcărilor pentru a putea alimenta ulterior stațiile de încărcare care pot fi amplasate în spațiile de parcare individuale sau în parcările auto. În cazul în care preinstalarea este planificată pentru 100 % din spații, sistemele de conducție a cablurilor trebuie să ajungă la fiecare dintre spații. În cazul în care preinstalarea nu este planificată pentru 100 % din spații, trebuie definite spațiile avute în vedere pentru conformitatea cu dispoziția de reglementare a sistemelor de conducere a cablurilor, iar aceste sisteme trebuie să ajungă la fiecare dintre aceste spații.</w:t>
      </w:r>
    </w:p>
    <w:p w14:paraId="1D8D11B8"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(b) Centralizarea contoarelor trebuie dimensionată în conformitate cu schema electrică aleasă pentru încărcarea vehiculului electric și astfel cum este stabilită în (ITC) BT-16. Modulele de rezervă trebuie instalate pentru cel puțin 20 % din spațiile de garaj care nu sunt asociate unei locuințe și chiar dacă toate spațiile sunt asociate cu locuințele, cel puțin un modul de rezervă. Aceste module de rezervă trebuie să aibă capacitatea de a găzdui contorul principal și dispozitivele de protecție la supracurent asociate contorului, fie cu siguranțe, fie cu întrerupătoare de circuit.</w:t>
      </w:r>
    </w:p>
    <w:p w14:paraId="47ED8DD8" w14:textId="77777777" w:rsidR="000760AB" w:rsidRPr="000760AB" w:rsidRDefault="000760AB" w:rsidP="000760AB">
      <w:pPr>
        <w:spacing w:after="160" w:line="259" w:lineRule="auto"/>
        <w:ind w:left="284"/>
        <w:jc w:val="both"/>
        <w:rPr>
          <w:rFonts w:ascii="Calibri" w:eastAsia="Calibri" w:hAnsi="Calibri" w:cs="Calibri"/>
          <w:sz w:val="22"/>
          <w:szCs w:val="22"/>
        </w:rPr>
      </w:pPr>
      <w:r>
        <w:rPr>
          <w:rFonts w:ascii="Calibri" w:hAnsi="Calibri"/>
          <w:sz w:val="22"/>
        </w:rPr>
        <w:t>Prizele sau conectorii instalați în stația de încărcare și întrerupătoarele sale automate de protecție trebuie să respecte una dintre opțiunile indicate la punctul 5.4.”</w:t>
      </w:r>
    </w:p>
    <w:p w14:paraId="7F6774AD"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3. Punctul 5.4. primul paragraf din INSTRUCȚIA TEHNICĂ SUPLIMENTARĂ (ITC) BT-52 se modifică și are următoarea formulare:</w:t>
      </w:r>
    </w:p>
    <w:p w14:paraId="3EF40F8D" w14:textId="77777777" w:rsidR="000760AB" w:rsidRPr="000760AB" w:rsidRDefault="000760AB" w:rsidP="000760AB">
      <w:pPr>
        <w:spacing w:after="160" w:line="259" w:lineRule="auto"/>
        <w:ind w:left="284"/>
        <w:jc w:val="both"/>
        <w:rPr>
          <w:rFonts w:ascii="Calibri" w:eastAsia="Calibri" w:hAnsi="Calibri"/>
          <w:color w:val="FF0000"/>
          <w:sz w:val="22"/>
          <w:szCs w:val="22"/>
        </w:rPr>
      </w:pPr>
      <w:r>
        <w:rPr>
          <w:rFonts w:ascii="Calibri" w:hAnsi="Calibri"/>
          <w:sz w:val="22"/>
        </w:rPr>
        <w:t xml:space="preserve">„5.4 Punctul de conectare. </w:t>
      </w:r>
      <w:bookmarkStart w:id="26" w:name="_Hlk81468651"/>
      <w:r>
        <w:rPr>
          <w:rFonts w:ascii="Calibri" w:hAnsi="Calibri"/>
          <w:sz w:val="22"/>
        </w:rPr>
        <w:t xml:space="preserve">Punctul de conectare trebuie să fie amplasat lângă pătratul care urmează să fie furnizat și să fie instalat permanent într-o incintă. </w:t>
      </w:r>
    </w:p>
    <w:bookmarkEnd w:id="26"/>
    <w:p w14:paraId="3405740F" w14:textId="77777777" w:rsidR="000760AB" w:rsidRPr="000760AB" w:rsidRDefault="000760AB" w:rsidP="000760AB">
      <w:pPr>
        <w:spacing w:after="160" w:line="259" w:lineRule="auto"/>
        <w:ind w:left="284"/>
        <w:jc w:val="both"/>
        <w:rPr>
          <w:rFonts w:ascii="Calibri" w:eastAsia="Calibri" w:hAnsi="Calibri"/>
          <w:color w:val="FF0000"/>
          <w:sz w:val="22"/>
          <w:szCs w:val="22"/>
        </w:rPr>
      </w:pPr>
      <w:r>
        <w:rPr>
          <w:rFonts w:ascii="Calibri" w:hAnsi="Calibri"/>
          <w:sz w:val="22"/>
        </w:rPr>
        <w:t xml:space="preserve">Înălțimea minimă de instalare pentru prize și conectori trebuie să fie la 60 cm deasupra nivelului solului. </w:t>
      </w:r>
      <w:bookmarkStart w:id="27" w:name="_Hlk81468224"/>
      <w:r>
        <w:rPr>
          <w:rFonts w:ascii="Calibri" w:hAnsi="Calibri"/>
          <w:sz w:val="22"/>
        </w:rPr>
        <w:t>În cazul în care stația de încărcare este destinată uzului public, înălțimea maximă trebuie să fie de 120 cm. În locurile de parcare accesibile, prizele și conectorii trebuie să aibă un contrast cromatic cu împrejurimile, trebuie să fie amplasate la o înălțime cuprinsă între 80 și 120 cm, iar distanța până la joncțiunile de colț trebuie să fie de cel puțin 35 cm.”</w:t>
      </w:r>
      <w:bookmarkEnd w:id="27"/>
    </w:p>
    <w:p w14:paraId="50422323" w14:textId="77777777" w:rsidR="000760AB" w:rsidRPr="000760AB" w:rsidRDefault="000760AB" w:rsidP="000760AB">
      <w:pPr>
        <w:spacing w:after="160" w:line="259" w:lineRule="auto"/>
        <w:jc w:val="both"/>
        <w:rPr>
          <w:rFonts w:ascii="Calibri" w:eastAsia="Calibri" w:hAnsi="Calibri" w:cs="Calibri"/>
          <w:bCs/>
          <w:i/>
          <w:iCs/>
          <w:sz w:val="22"/>
          <w:szCs w:val="22"/>
        </w:rPr>
      </w:pPr>
      <w:r>
        <w:rPr>
          <w:rFonts w:ascii="Calibri" w:hAnsi="Calibri"/>
          <w:sz w:val="22"/>
        </w:rPr>
        <w:t xml:space="preserve">A doua dispoziție finală. </w:t>
      </w:r>
      <w:r>
        <w:rPr>
          <w:rFonts w:ascii="Calibri" w:hAnsi="Calibri"/>
          <w:i/>
          <w:sz w:val="22"/>
        </w:rPr>
        <w:t>Transpunerea în dreptul Uniunii Europene.</w:t>
      </w:r>
    </w:p>
    <w:p w14:paraId="144ADEB1"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 xml:space="preserve">Prezentul decret regal transpune în dreptul spaniol articolele 8 alineatul (2), 8 alineatul (4), 8 alineatul (5) și 8 alineatul (6) din Directiva 2010/31/UE a Parlamentului European și a Consiliului privind performanța energetică a clădirilor, astfel cum a fost modificată prin Directiva (UE) 2018/844 a Parlamentului European și a Consiliului din 30 mai 2018 de modificare a Directivei 2010/31/UE </w:t>
      </w:r>
      <w:bookmarkStart w:id="28" w:name="_Hlk92814279"/>
      <w:r>
        <w:rPr>
          <w:rFonts w:ascii="Calibri" w:hAnsi="Calibri"/>
          <w:sz w:val="22"/>
        </w:rPr>
        <w:t xml:space="preserve">privind performanța energetică a clădirilor </w:t>
      </w:r>
      <w:bookmarkEnd w:id="28"/>
      <w:r>
        <w:rPr>
          <w:rFonts w:ascii="Calibri" w:hAnsi="Calibri"/>
          <w:sz w:val="22"/>
        </w:rPr>
        <w:t>și a Directivei 2012/27/UE privind eficiența energetică.</w:t>
      </w:r>
    </w:p>
    <w:p w14:paraId="174DF223" w14:textId="77777777" w:rsidR="000760AB" w:rsidRPr="000760AB" w:rsidRDefault="000760AB" w:rsidP="000760AB">
      <w:pPr>
        <w:spacing w:after="160" w:line="259" w:lineRule="auto"/>
        <w:jc w:val="both"/>
        <w:rPr>
          <w:rFonts w:ascii="Calibri" w:eastAsia="Calibri" w:hAnsi="Calibri" w:cs="Calibri"/>
          <w:bCs/>
          <w:i/>
          <w:iCs/>
          <w:sz w:val="22"/>
          <w:szCs w:val="22"/>
        </w:rPr>
      </w:pPr>
      <w:r>
        <w:rPr>
          <w:rFonts w:ascii="Calibri" w:hAnsi="Calibri"/>
          <w:sz w:val="22"/>
        </w:rPr>
        <w:t xml:space="preserve">A treia dispoziție finală. </w:t>
      </w:r>
      <w:r>
        <w:rPr>
          <w:rFonts w:ascii="Calibri" w:hAnsi="Calibri"/>
          <w:i/>
          <w:sz w:val="22"/>
        </w:rPr>
        <w:t>Intrare în vigoare.</w:t>
      </w:r>
    </w:p>
    <w:p w14:paraId="244EE748" w14:textId="77777777" w:rsidR="000760AB" w:rsidRPr="000760AB" w:rsidRDefault="000760AB" w:rsidP="000760AB">
      <w:pPr>
        <w:spacing w:after="160" w:line="259" w:lineRule="auto"/>
        <w:jc w:val="both"/>
        <w:rPr>
          <w:rFonts w:ascii="Calibri" w:eastAsia="Calibri" w:hAnsi="Calibri" w:cs="Calibri"/>
          <w:sz w:val="22"/>
          <w:szCs w:val="22"/>
        </w:rPr>
      </w:pPr>
      <w:r>
        <w:rPr>
          <w:rFonts w:ascii="Calibri" w:hAnsi="Calibri"/>
          <w:sz w:val="22"/>
        </w:rPr>
        <w:t>Prezentul decret regal intră în vigoare la data publicării sale în Monitorul Oficial al Statului.</w:t>
      </w:r>
    </w:p>
    <w:p w14:paraId="020B8256" w14:textId="77777777" w:rsidR="000760AB" w:rsidRPr="000760AB" w:rsidRDefault="000760AB" w:rsidP="000760AB">
      <w:pPr>
        <w:spacing w:after="160" w:line="259" w:lineRule="auto"/>
        <w:jc w:val="both"/>
        <w:rPr>
          <w:rFonts w:ascii="Calibri" w:eastAsia="Calibri" w:hAnsi="Calibri" w:cs="Calibri"/>
          <w:sz w:val="20"/>
          <w:szCs w:val="20"/>
          <w:lang w:eastAsia="en-US"/>
        </w:rPr>
      </w:pPr>
    </w:p>
    <w:p w14:paraId="05F24353" w14:textId="77777777" w:rsidR="001F7365" w:rsidRPr="00081F25" w:rsidRDefault="001F7365" w:rsidP="001F7365">
      <w:pPr>
        <w:autoSpaceDE w:val="0"/>
        <w:autoSpaceDN w:val="0"/>
        <w:adjustRightInd w:val="0"/>
        <w:jc w:val="center"/>
        <w:rPr>
          <w:rFonts w:asciiTheme="minorHAnsi" w:hAnsiTheme="minorHAnsi" w:cstheme="minorHAnsi"/>
          <w:sz w:val="22"/>
          <w:szCs w:val="22"/>
        </w:rPr>
      </w:pPr>
      <w:r>
        <w:rPr>
          <w:rFonts w:asciiTheme="minorHAnsi" w:hAnsiTheme="minorHAnsi"/>
          <w:sz w:val="22"/>
        </w:rPr>
        <w:t>URMEAZĂ SĂ FIE ÎNAINTAT CONSILIULUI DE MINIȘTRI</w:t>
      </w:r>
    </w:p>
    <w:p w14:paraId="3A0D8D70" w14:textId="77777777" w:rsidR="001F7365" w:rsidRPr="00081F25" w:rsidRDefault="001F7365" w:rsidP="001F7365">
      <w:pPr>
        <w:autoSpaceDE w:val="0"/>
        <w:autoSpaceDN w:val="0"/>
        <w:adjustRightInd w:val="0"/>
        <w:jc w:val="center"/>
        <w:rPr>
          <w:rFonts w:asciiTheme="minorHAnsi" w:hAnsiTheme="minorHAnsi" w:cstheme="minorHAnsi"/>
          <w:sz w:val="22"/>
          <w:szCs w:val="22"/>
        </w:rPr>
      </w:pPr>
    </w:p>
    <w:p w14:paraId="34F7C3B3" w14:textId="77777777" w:rsidR="001F7365" w:rsidRPr="00081F25" w:rsidRDefault="001F7365" w:rsidP="001F7365">
      <w:pPr>
        <w:autoSpaceDE w:val="0"/>
        <w:autoSpaceDN w:val="0"/>
        <w:adjustRightInd w:val="0"/>
        <w:jc w:val="center"/>
        <w:rPr>
          <w:rFonts w:asciiTheme="minorHAnsi" w:hAnsiTheme="minorHAnsi" w:cstheme="minorHAnsi"/>
          <w:sz w:val="22"/>
          <w:szCs w:val="22"/>
        </w:rPr>
      </w:pPr>
      <w:r>
        <w:rPr>
          <w:rFonts w:asciiTheme="minorHAnsi" w:hAnsiTheme="minorHAnsi"/>
          <w:sz w:val="22"/>
        </w:rPr>
        <w:t>Madrid, la            2022</w:t>
      </w:r>
    </w:p>
    <w:p w14:paraId="201B84D8" w14:textId="77777777" w:rsidR="001F7365" w:rsidRPr="00081F25" w:rsidRDefault="001F7365" w:rsidP="001F7365">
      <w:pPr>
        <w:spacing w:after="160" w:line="259" w:lineRule="auto"/>
        <w:jc w:val="both"/>
        <w:rPr>
          <w:rFonts w:asciiTheme="minorHAnsi" w:eastAsia="Calibri" w:hAnsiTheme="minorHAnsi" w:cstheme="minorHAnsi"/>
          <w:sz w:val="20"/>
          <w:szCs w:val="20"/>
          <w:lang w:eastAsia="en-US"/>
        </w:rPr>
      </w:pPr>
    </w:p>
    <w:p w14:paraId="5AC40BA3" w14:textId="77777777" w:rsidR="001F7365" w:rsidRPr="00081F25" w:rsidRDefault="001F7365" w:rsidP="001F7365">
      <w:pPr>
        <w:spacing w:after="160" w:line="259" w:lineRule="auto"/>
        <w:jc w:val="both"/>
        <w:rPr>
          <w:rFonts w:asciiTheme="minorHAnsi" w:eastAsia="Calibri" w:hAnsiTheme="minorHAnsi" w:cstheme="minorHAnsi"/>
          <w:sz w:val="20"/>
          <w:szCs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1"/>
        <w:gridCol w:w="5141"/>
      </w:tblGrid>
      <w:tr w:rsidR="001F7365" w:rsidRPr="00081F25" w14:paraId="26BBB77F" w14:textId="77777777" w:rsidTr="000D4A40">
        <w:trPr>
          <w:trHeight w:val="2150"/>
        </w:trPr>
        <w:tc>
          <w:tcPr>
            <w:tcW w:w="5141" w:type="dxa"/>
            <w:tcBorders>
              <w:top w:val="nil"/>
              <w:left w:val="nil"/>
              <w:bottom w:val="nil"/>
              <w:right w:val="nil"/>
            </w:tcBorders>
            <w:shd w:val="clear" w:color="auto" w:fill="auto"/>
          </w:tcPr>
          <w:p w14:paraId="2DFF5CC2" w14:textId="77777777" w:rsidR="001F7365" w:rsidRPr="00081F25" w:rsidRDefault="001F7365" w:rsidP="000D4A40">
            <w:pPr>
              <w:autoSpaceDE w:val="0"/>
              <w:autoSpaceDN w:val="0"/>
              <w:adjustRightInd w:val="0"/>
              <w:jc w:val="center"/>
              <w:rPr>
                <w:rFonts w:asciiTheme="minorHAnsi" w:hAnsiTheme="minorHAnsi" w:cstheme="minorHAnsi"/>
                <w:sz w:val="22"/>
                <w:szCs w:val="22"/>
              </w:rPr>
            </w:pPr>
            <w:r>
              <w:rPr>
                <w:rFonts w:asciiTheme="minorHAnsi" w:hAnsiTheme="minorHAnsi"/>
                <w:sz w:val="22"/>
              </w:rPr>
              <w:lastRenderedPageBreak/>
              <w:t>MINISTRUL TRANSPORTURILOR, MOBILITĂȚII ȘI AGENDEI URBANE</w:t>
            </w:r>
          </w:p>
          <w:p w14:paraId="38965193" w14:textId="77777777" w:rsidR="001F7365" w:rsidRPr="00081F25" w:rsidRDefault="001F7365" w:rsidP="000D4A40">
            <w:pPr>
              <w:autoSpaceDE w:val="0"/>
              <w:autoSpaceDN w:val="0"/>
              <w:adjustRightInd w:val="0"/>
              <w:jc w:val="center"/>
              <w:rPr>
                <w:rFonts w:asciiTheme="minorHAnsi" w:hAnsiTheme="minorHAnsi" w:cstheme="minorHAnsi"/>
                <w:sz w:val="22"/>
                <w:szCs w:val="22"/>
              </w:rPr>
            </w:pPr>
          </w:p>
          <w:p w14:paraId="79C438BC" w14:textId="77777777" w:rsidR="001F7365" w:rsidRPr="00081F25" w:rsidRDefault="001F7365" w:rsidP="000D4A40">
            <w:pPr>
              <w:autoSpaceDE w:val="0"/>
              <w:autoSpaceDN w:val="0"/>
              <w:adjustRightInd w:val="0"/>
              <w:jc w:val="center"/>
              <w:rPr>
                <w:rFonts w:asciiTheme="minorHAnsi" w:hAnsiTheme="minorHAnsi" w:cstheme="minorHAnsi"/>
                <w:sz w:val="22"/>
                <w:szCs w:val="22"/>
              </w:rPr>
            </w:pPr>
          </w:p>
          <w:p w14:paraId="77C1774F" w14:textId="77777777" w:rsidR="001F7365" w:rsidRPr="00081F25" w:rsidRDefault="001F7365" w:rsidP="000D4A40">
            <w:pPr>
              <w:autoSpaceDE w:val="0"/>
              <w:autoSpaceDN w:val="0"/>
              <w:adjustRightInd w:val="0"/>
              <w:jc w:val="center"/>
              <w:rPr>
                <w:rFonts w:asciiTheme="minorHAnsi" w:hAnsiTheme="minorHAnsi" w:cstheme="minorHAnsi"/>
                <w:sz w:val="22"/>
                <w:szCs w:val="22"/>
              </w:rPr>
            </w:pPr>
          </w:p>
          <w:p w14:paraId="540B0B02" w14:textId="77777777" w:rsidR="001F7365" w:rsidRPr="00081F25" w:rsidRDefault="001F7365" w:rsidP="000D4A40">
            <w:pPr>
              <w:autoSpaceDE w:val="0"/>
              <w:autoSpaceDN w:val="0"/>
              <w:adjustRightInd w:val="0"/>
              <w:jc w:val="center"/>
              <w:rPr>
                <w:rFonts w:asciiTheme="minorHAnsi" w:hAnsiTheme="minorHAnsi" w:cstheme="minorHAnsi"/>
                <w:sz w:val="22"/>
                <w:szCs w:val="22"/>
              </w:rPr>
            </w:pPr>
          </w:p>
          <w:p w14:paraId="46B22890" w14:textId="77777777" w:rsidR="001F7365" w:rsidRPr="00081F25" w:rsidRDefault="001F7365" w:rsidP="000D4A40">
            <w:pPr>
              <w:autoSpaceDE w:val="0"/>
              <w:autoSpaceDN w:val="0"/>
              <w:adjustRightInd w:val="0"/>
              <w:jc w:val="center"/>
              <w:rPr>
                <w:rFonts w:asciiTheme="minorHAnsi" w:hAnsiTheme="minorHAnsi" w:cstheme="minorHAnsi"/>
                <w:sz w:val="22"/>
                <w:szCs w:val="22"/>
              </w:rPr>
            </w:pPr>
          </w:p>
          <w:p w14:paraId="3BCAF82D" w14:textId="77777777" w:rsidR="001F7365" w:rsidRPr="00081F25" w:rsidRDefault="001F7365" w:rsidP="000D4A40">
            <w:pPr>
              <w:autoSpaceDE w:val="0"/>
              <w:autoSpaceDN w:val="0"/>
              <w:adjustRightInd w:val="0"/>
              <w:jc w:val="center"/>
              <w:rPr>
                <w:rFonts w:asciiTheme="minorHAnsi" w:hAnsiTheme="minorHAnsi" w:cstheme="minorHAnsi"/>
                <w:sz w:val="22"/>
                <w:szCs w:val="22"/>
              </w:rPr>
            </w:pPr>
            <w:r>
              <w:rPr>
                <w:rFonts w:asciiTheme="minorHAnsi" w:hAnsiTheme="minorHAnsi"/>
                <w:sz w:val="22"/>
              </w:rPr>
              <w:t>Raquel Sánchez Jiménez</w:t>
            </w:r>
          </w:p>
        </w:tc>
        <w:tc>
          <w:tcPr>
            <w:tcW w:w="5141" w:type="dxa"/>
            <w:tcBorders>
              <w:top w:val="nil"/>
              <w:left w:val="nil"/>
              <w:bottom w:val="nil"/>
              <w:right w:val="nil"/>
            </w:tcBorders>
          </w:tcPr>
          <w:p w14:paraId="749FA458" w14:textId="77777777" w:rsidR="001F7365" w:rsidRPr="004A2722" w:rsidRDefault="001F7365" w:rsidP="000D4A40">
            <w:pPr>
              <w:autoSpaceDE w:val="0"/>
              <w:autoSpaceDN w:val="0"/>
              <w:adjustRightInd w:val="0"/>
              <w:jc w:val="center"/>
              <w:rPr>
                <w:rFonts w:asciiTheme="minorHAnsi" w:hAnsiTheme="minorHAnsi" w:cstheme="minorHAnsi"/>
                <w:sz w:val="22"/>
                <w:szCs w:val="22"/>
              </w:rPr>
            </w:pPr>
            <w:r>
              <w:rPr>
                <w:rFonts w:asciiTheme="minorHAnsi" w:hAnsiTheme="minorHAnsi"/>
                <w:sz w:val="22"/>
              </w:rPr>
              <w:t>AL TREILEA VICEPRIM-MINISTRU AL GUVERNULUI ȘI MINISTRUL TRANZIȚIEI ECOLOGICE ȘI PROVOCĂRII DEMOGRAFICE</w:t>
            </w:r>
          </w:p>
          <w:p w14:paraId="2B70C78B" w14:textId="77777777" w:rsidR="001F7365" w:rsidRPr="004A2722" w:rsidRDefault="001F7365" w:rsidP="000D4A40">
            <w:pPr>
              <w:autoSpaceDE w:val="0"/>
              <w:autoSpaceDN w:val="0"/>
              <w:adjustRightInd w:val="0"/>
              <w:rPr>
                <w:rFonts w:asciiTheme="minorHAnsi" w:hAnsiTheme="minorHAnsi" w:cstheme="minorHAnsi"/>
                <w:sz w:val="22"/>
                <w:szCs w:val="22"/>
                <w:lang w:val="es-ES_tradnl"/>
              </w:rPr>
            </w:pPr>
          </w:p>
          <w:p w14:paraId="20A3F7D7" w14:textId="77777777" w:rsidR="001F7365" w:rsidRPr="004A2722" w:rsidRDefault="001F7365" w:rsidP="000D4A40">
            <w:pPr>
              <w:autoSpaceDE w:val="0"/>
              <w:autoSpaceDN w:val="0"/>
              <w:adjustRightInd w:val="0"/>
              <w:rPr>
                <w:rFonts w:asciiTheme="minorHAnsi" w:hAnsiTheme="minorHAnsi" w:cstheme="minorHAnsi"/>
                <w:sz w:val="22"/>
                <w:szCs w:val="22"/>
                <w:lang w:val="es-ES_tradnl"/>
              </w:rPr>
            </w:pPr>
          </w:p>
          <w:p w14:paraId="4D67AC80" w14:textId="77777777" w:rsidR="001F7365" w:rsidRPr="004A2722" w:rsidRDefault="001F7365" w:rsidP="000D4A40">
            <w:pPr>
              <w:autoSpaceDE w:val="0"/>
              <w:autoSpaceDN w:val="0"/>
              <w:adjustRightInd w:val="0"/>
              <w:rPr>
                <w:rFonts w:asciiTheme="minorHAnsi" w:hAnsiTheme="minorHAnsi" w:cstheme="minorHAnsi"/>
                <w:sz w:val="22"/>
                <w:szCs w:val="22"/>
                <w:lang w:val="es-ES_tradnl"/>
              </w:rPr>
            </w:pPr>
          </w:p>
          <w:p w14:paraId="1D518996" w14:textId="77777777" w:rsidR="001F7365" w:rsidRPr="004A2722" w:rsidRDefault="001F7365" w:rsidP="000D4A40">
            <w:pPr>
              <w:autoSpaceDE w:val="0"/>
              <w:autoSpaceDN w:val="0"/>
              <w:adjustRightInd w:val="0"/>
              <w:rPr>
                <w:rFonts w:asciiTheme="minorHAnsi" w:hAnsiTheme="minorHAnsi" w:cstheme="minorHAnsi"/>
                <w:sz w:val="22"/>
                <w:szCs w:val="22"/>
                <w:lang w:val="es-ES_tradnl"/>
              </w:rPr>
            </w:pPr>
          </w:p>
          <w:p w14:paraId="5C180639" w14:textId="77777777" w:rsidR="001F7365" w:rsidRPr="004A2722" w:rsidRDefault="001F7365" w:rsidP="000D4A40">
            <w:pPr>
              <w:autoSpaceDE w:val="0"/>
              <w:autoSpaceDN w:val="0"/>
              <w:adjustRightInd w:val="0"/>
              <w:rPr>
                <w:rFonts w:asciiTheme="minorHAnsi" w:hAnsiTheme="minorHAnsi" w:cstheme="minorHAnsi"/>
                <w:sz w:val="22"/>
                <w:szCs w:val="22"/>
                <w:lang w:val="es-ES_tradnl"/>
              </w:rPr>
            </w:pPr>
          </w:p>
          <w:p w14:paraId="20B3A488" w14:textId="77777777" w:rsidR="001F7365" w:rsidRPr="00081F25" w:rsidRDefault="001F7365" w:rsidP="000D4A40">
            <w:pPr>
              <w:autoSpaceDE w:val="0"/>
              <w:autoSpaceDN w:val="0"/>
              <w:adjustRightInd w:val="0"/>
              <w:jc w:val="center"/>
              <w:rPr>
                <w:rFonts w:asciiTheme="minorHAnsi" w:hAnsiTheme="minorHAnsi" w:cstheme="minorHAnsi"/>
                <w:sz w:val="22"/>
                <w:szCs w:val="22"/>
              </w:rPr>
            </w:pPr>
            <w:r>
              <w:rPr>
                <w:rFonts w:asciiTheme="minorHAnsi" w:hAnsiTheme="minorHAnsi"/>
                <w:sz w:val="22"/>
              </w:rPr>
              <w:t>Teresa Ribera Rodríguez</w:t>
            </w:r>
          </w:p>
        </w:tc>
      </w:tr>
    </w:tbl>
    <w:p w14:paraId="15FD4F10" w14:textId="77777777" w:rsidR="008577E8" w:rsidRDefault="008577E8" w:rsidP="008577E8">
      <w:pPr>
        <w:pStyle w:val="FootnoteText"/>
        <w:tabs>
          <w:tab w:val="left" w:pos="-3969"/>
        </w:tabs>
        <w:spacing w:after="120"/>
        <w:ind w:left="567" w:right="55" w:firstLine="533"/>
        <w:jc w:val="both"/>
        <w:rPr>
          <w:rFonts w:ascii="Arial" w:hAnsi="Arial" w:cs="Arial"/>
          <w:sz w:val="24"/>
          <w:szCs w:val="24"/>
          <w:lang w:val="es-ES"/>
        </w:rPr>
      </w:pPr>
    </w:p>
    <w:sectPr w:rsidR="008577E8">
      <w:headerReference w:type="default" r:id="rId7"/>
      <w:footerReference w:type="even" r:id="rId8"/>
      <w:footerReference w:type="default" r:id="rId9"/>
      <w:headerReference w:type="first" r:id="rId10"/>
      <w:pgSz w:w="11906" w:h="16838" w:code="9"/>
      <w:pgMar w:top="1701" w:right="737" w:bottom="726" w:left="737" w:header="567"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BB55EE" w14:textId="77777777" w:rsidR="00B2514A" w:rsidRDefault="00B2514A">
      <w:r>
        <w:separator/>
      </w:r>
    </w:p>
  </w:endnote>
  <w:endnote w:type="continuationSeparator" w:id="0">
    <w:p w14:paraId="114C6AF7" w14:textId="77777777" w:rsidR="00B2514A" w:rsidRDefault="00B251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Noto Sans CJK SC Regular">
    <w:altName w:val="Times New Roman"/>
    <w:panose1 w:val="00000000000000000000"/>
    <w:charset w:val="00"/>
    <w:family w:val="roman"/>
    <w:notTrueType/>
    <w:pitch w:val="default"/>
  </w:font>
  <w:font w:name="Gill Sans MT">
    <w:altName w:val="Gill Sans MT"/>
    <w:charset w:val="EE"/>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31ADC" w14:textId="77777777" w:rsidR="00C93CCC" w:rsidRDefault="00C93CC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2DA43C3" w14:textId="77777777" w:rsidR="00C93CCC" w:rsidRDefault="00C93CC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7B7FA" w14:textId="7ED610BC" w:rsidR="00C93CCC" w:rsidRDefault="00C93CC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C3417">
      <w:rPr>
        <w:rStyle w:val="PageNumber"/>
      </w:rPr>
      <w:t>2</w:t>
    </w:r>
    <w:r>
      <w:rPr>
        <w:rStyle w:val="PageNumber"/>
      </w:rPr>
      <w:fldChar w:fldCharType="end"/>
    </w:r>
  </w:p>
  <w:p w14:paraId="7719E668" w14:textId="77777777" w:rsidR="00C93CCC" w:rsidRDefault="00C93CC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1755B1" w14:textId="77777777" w:rsidR="00B2514A" w:rsidRDefault="00B2514A">
      <w:r>
        <w:separator/>
      </w:r>
    </w:p>
  </w:footnote>
  <w:footnote w:type="continuationSeparator" w:id="0">
    <w:p w14:paraId="0D2EC536" w14:textId="77777777" w:rsidR="00B2514A" w:rsidRDefault="00B251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0" w:type="dxa"/>
        <w:right w:w="70" w:type="dxa"/>
      </w:tblCellMar>
      <w:tblLook w:val="0000" w:firstRow="0" w:lastRow="0" w:firstColumn="0" w:lastColumn="0" w:noHBand="0" w:noVBand="0"/>
    </w:tblPr>
    <w:tblGrid>
      <w:gridCol w:w="1346"/>
      <w:gridCol w:w="7726"/>
      <w:gridCol w:w="1843"/>
    </w:tblGrid>
    <w:tr w:rsidR="00C93CCC" w14:paraId="19D5BC5E" w14:textId="77777777">
      <w:trPr>
        <w:cantSplit/>
        <w:trHeight w:val="991"/>
        <w:jc w:val="center"/>
      </w:trPr>
      <w:tc>
        <w:tcPr>
          <w:tcW w:w="1346" w:type="dxa"/>
        </w:tcPr>
        <w:p w14:paraId="7D1E4812" w14:textId="77777777" w:rsidR="00C93CCC" w:rsidRDefault="00C93CCC">
          <w:pPr>
            <w:pStyle w:val="Header"/>
            <w:tabs>
              <w:tab w:val="clear" w:pos="4252"/>
              <w:tab w:val="clear" w:pos="8504"/>
            </w:tabs>
          </w:pPr>
        </w:p>
      </w:tc>
      <w:tc>
        <w:tcPr>
          <w:tcW w:w="7726" w:type="dxa"/>
        </w:tcPr>
        <w:p w14:paraId="0DBFE409" w14:textId="77777777" w:rsidR="00C93CCC" w:rsidRDefault="00C93CCC">
          <w:pPr>
            <w:pStyle w:val="Header"/>
            <w:tabs>
              <w:tab w:val="clear" w:pos="4252"/>
              <w:tab w:val="left" w:pos="2127"/>
              <w:tab w:val="left" w:pos="6521"/>
            </w:tabs>
          </w:pPr>
        </w:p>
      </w:tc>
      <w:bookmarkStart w:id="29" w:name="_MON_1030527131"/>
      <w:bookmarkEnd w:id="29"/>
      <w:tc>
        <w:tcPr>
          <w:tcW w:w="1843" w:type="dxa"/>
        </w:tcPr>
        <w:p w14:paraId="159BECBD" w14:textId="77777777" w:rsidR="00C93CCC" w:rsidRDefault="00C93CCC">
          <w:pPr>
            <w:pStyle w:val="Header"/>
            <w:tabs>
              <w:tab w:val="clear" w:pos="4252"/>
              <w:tab w:val="left" w:pos="6521"/>
            </w:tabs>
            <w:spacing w:before="120" w:after="120"/>
            <w:jc w:val="right"/>
            <w:rPr>
              <w:rFonts w:ascii="Gill Sans MT" w:hAnsi="Gill Sans MT"/>
              <w:sz w:val="10"/>
            </w:rPr>
          </w:pPr>
          <w:r>
            <w:object w:dxaOrig="1081" w:dyaOrig="1141" w14:anchorId="416483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85pt;height:44.35pt" fillcolor="window">
                <v:imagedata r:id="rId1" o:title=""/>
              </v:shape>
              <o:OLEObject Type="Embed" ProgID="Word.Picture.8" ShapeID="_x0000_i1025" DrawAspect="Content" ObjectID="_1724480691" r:id="rId2"/>
            </w:object>
          </w:r>
        </w:p>
      </w:tc>
    </w:tr>
  </w:tbl>
  <w:p w14:paraId="37A83458" w14:textId="77777777" w:rsidR="00C93CCC" w:rsidRDefault="00C93CCC">
    <w:pPr>
      <w:pStyle w:val="Header"/>
    </w:pPr>
  </w:p>
  <w:p w14:paraId="4AECF7C6" w14:textId="6EDD15A4" w:rsidR="00C93CCC" w:rsidRDefault="00FD453F">
    <w:pPr>
      <w:pStyle w:val="Header"/>
    </w:pPr>
    <w:r>
      <w:rPr>
        <w:noProof/>
        <w:sz w:val="20"/>
      </w:rPr>
      <mc:AlternateContent>
        <mc:Choice Requires="wps">
          <w:drawing>
            <wp:anchor distT="0" distB="0" distL="114300" distR="114300" simplePos="0" relativeHeight="251658240" behindDoc="0" locked="0" layoutInCell="0" allowOverlap="1" wp14:anchorId="4819963E" wp14:editId="4FA1022B">
              <wp:simplePos x="0" y="0"/>
              <wp:positionH relativeFrom="margin">
                <wp:posOffset>-107950</wp:posOffset>
              </wp:positionH>
              <wp:positionV relativeFrom="page">
                <wp:posOffset>1423035</wp:posOffset>
              </wp:positionV>
              <wp:extent cx="6840220" cy="86868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0220" cy="8686800"/>
                      </a:xfrm>
                      <a:prstGeom prst="rect">
                        <a:avLst/>
                      </a:prstGeom>
                      <a:solidFill>
                        <a:srgbClr val="FFFFFF"/>
                      </a:solidFill>
                      <a:ln w="9525">
                        <a:solidFill>
                          <a:srgbClr val="000000"/>
                        </a:solidFill>
                        <a:miter lim="800000"/>
                        <a:headEnd/>
                        <a:tailEnd/>
                      </a:ln>
                    </wps:spPr>
                    <wps:txbx>
                      <w:txbxContent>
                        <w:p w14:paraId="0C89DAC6" w14:textId="77777777" w:rsidR="00C93CCC" w:rsidRDefault="00C93C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19963E" id="_x0000_t202" coordsize="21600,21600" o:spt="202" path="m,l,21600r21600,l21600,xe">
              <v:stroke joinstyle="miter"/>
              <v:path gradientshapeok="t" o:connecttype="rect"/>
            </v:shapetype>
            <v:shape id="Text Box 2" o:spid="_x0000_s1026" type="#_x0000_t202" style="position:absolute;margin-left:-8.5pt;margin-top:112.05pt;width:538.6pt;height:684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" o:allowincell="f">
              <v:textbox>
                <w:txbxContent>
                  <w:p w14:paraId="0C89DAC6" w14:textId="77777777" w:rsidR="00C93CCC" w:rsidRDefault="00C93CCC"/>
                </w:txbxContent>
              </v:textbox>
              <w10:wrap anchorx="margin"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877" w:type="dxa"/>
      <w:jc w:val="center"/>
      <w:tblLayout w:type="fixed"/>
      <w:tblCellMar>
        <w:left w:w="70" w:type="dxa"/>
        <w:right w:w="70" w:type="dxa"/>
      </w:tblCellMar>
      <w:tblLook w:val="0000" w:firstRow="0" w:lastRow="0" w:firstColumn="0" w:lastColumn="0" w:noHBand="0" w:noVBand="0"/>
    </w:tblPr>
    <w:tblGrid>
      <w:gridCol w:w="1357"/>
      <w:gridCol w:w="3728"/>
      <w:gridCol w:w="2020"/>
      <w:gridCol w:w="3772"/>
    </w:tblGrid>
    <w:tr w:rsidR="00546D77" w14:paraId="1E577442" w14:textId="77777777" w:rsidTr="00546D77">
      <w:trPr>
        <w:cantSplit/>
        <w:trHeight w:val="427"/>
        <w:jc w:val="center"/>
      </w:trPr>
      <w:tc>
        <w:tcPr>
          <w:tcW w:w="1357" w:type="dxa"/>
          <w:vMerge w:val="restart"/>
        </w:tcPr>
        <w:p w14:paraId="6CB9E49B" w14:textId="77777777" w:rsidR="00546D77" w:rsidRDefault="00546D77">
          <w:pPr>
            <w:pStyle w:val="Header"/>
            <w:tabs>
              <w:tab w:val="clear" w:pos="4252"/>
              <w:tab w:val="clear" w:pos="8504"/>
            </w:tabs>
            <w:ind w:left="-41" w:right="1318"/>
          </w:pPr>
          <w:r>
            <w:object w:dxaOrig="1081" w:dyaOrig="1141" w14:anchorId="18A5A6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6.95pt;height:59.45pt" fillcolor="window">
                <v:imagedata r:id="rId1" o:title=""/>
              </v:shape>
              <o:OLEObject Type="Embed" ProgID="Word.Picture.8" ShapeID="_x0000_i1026" DrawAspect="Content" ObjectID="_1724480692" r:id="rId2"/>
            </w:object>
          </w:r>
        </w:p>
      </w:tc>
      <w:tc>
        <w:tcPr>
          <w:tcW w:w="3728" w:type="dxa"/>
          <w:vMerge w:val="restart"/>
        </w:tcPr>
        <w:p w14:paraId="6198FA01" w14:textId="77777777" w:rsidR="00546D77" w:rsidRPr="008D3E08" w:rsidRDefault="00546D77">
          <w:pPr>
            <w:pStyle w:val="Header"/>
            <w:tabs>
              <w:tab w:val="clear" w:pos="4252"/>
              <w:tab w:val="left" w:pos="-819"/>
              <w:tab w:val="left" w:pos="6521"/>
            </w:tabs>
            <w:ind w:right="-7"/>
            <w:rPr>
              <w:sz w:val="22"/>
              <w:szCs w:val="22"/>
            </w:rPr>
          </w:pPr>
          <w:r>
            <w:rPr>
              <w:sz w:val="22"/>
            </w:rPr>
            <w:t xml:space="preserve">MINISTERUL </w:t>
          </w:r>
        </w:p>
        <w:p w14:paraId="72B91BEF" w14:textId="0FE9D540" w:rsidR="00546D77" w:rsidRPr="008D3E08" w:rsidRDefault="00546D77">
          <w:pPr>
            <w:pStyle w:val="Header"/>
            <w:tabs>
              <w:tab w:val="clear" w:pos="4252"/>
              <w:tab w:val="left" w:pos="-819"/>
              <w:tab w:val="left" w:pos="6521"/>
            </w:tabs>
            <w:ind w:right="-7"/>
            <w:rPr>
              <w:sz w:val="22"/>
              <w:szCs w:val="22"/>
            </w:rPr>
          </w:pPr>
          <w:r>
            <w:rPr>
              <w:sz w:val="22"/>
            </w:rPr>
            <w:t>TRANSPORTULUI, MOBILITĂȚII ȘI POLITICII URBANE</w:t>
          </w:r>
        </w:p>
        <w:p w14:paraId="17DC2EEB" w14:textId="77777777" w:rsidR="008D3E08" w:rsidRPr="008D3E08" w:rsidRDefault="008D3E08">
          <w:pPr>
            <w:pStyle w:val="Header"/>
            <w:tabs>
              <w:tab w:val="clear" w:pos="4252"/>
              <w:tab w:val="left" w:pos="-819"/>
              <w:tab w:val="left" w:pos="6521"/>
            </w:tabs>
            <w:ind w:right="-7"/>
            <w:rPr>
              <w:sz w:val="22"/>
              <w:szCs w:val="22"/>
            </w:rPr>
          </w:pPr>
        </w:p>
        <w:p w14:paraId="76421220" w14:textId="2838AE55" w:rsidR="008D3E08" w:rsidRDefault="008D3E08">
          <w:pPr>
            <w:pStyle w:val="Header"/>
            <w:tabs>
              <w:tab w:val="clear" w:pos="4252"/>
              <w:tab w:val="left" w:pos="-819"/>
              <w:tab w:val="left" w:pos="6521"/>
            </w:tabs>
            <w:ind w:right="-7"/>
            <w:rPr>
              <w:rFonts w:ascii="Gill Sans MT" w:hAnsi="Gill Sans MT"/>
              <w:sz w:val="16"/>
            </w:rPr>
          </w:pPr>
          <w:r>
            <w:rPr>
              <w:sz w:val="22"/>
            </w:rPr>
            <w:t>MINISTERUL TRANZIȚIEI ECOLOGICE ȘI PROVOCĂRII DEMOGRAFICE</w:t>
          </w:r>
        </w:p>
      </w:tc>
      <w:tc>
        <w:tcPr>
          <w:tcW w:w="2020" w:type="dxa"/>
          <w:vMerge w:val="restart"/>
        </w:tcPr>
        <w:p w14:paraId="5FBE566D" w14:textId="77777777" w:rsidR="00546D77" w:rsidRDefault="00546D77">
          <w:pPr>
            <w:pStyle w:val="Header"/>
            <w:tabs>
              <w:tab w:val="clear" w:pos="4252"/>
              <w:tab w:val="left" w:pos="-819"/>
              <w:tab w:val="left" w:pos="6521"/>
            </w:tabs>
            <w:rPr>
              <w:rFonts w:ascii="Gill Sans MT" w:hAnsi="Gill Sans MT"/>
              <w:sz w:val="16"/>
            </w:rPr>
          </w:pPr>
        </w:p>
      </w:tc>
      <w:tc>
        <w:tcPr>
          <w:tcW w:w="3772" w:type="dxa"/>
        </w:tcPr>
        <w:p w14:paraId="240676BB" w14:textId="77777777" w:rsidR="00546D77" w:rsidRDefault="00546D77">
          <w:pPr>
            <w:pStyle w:val="Header"/>
            <w:tabs>
              <w:tab w:val="clear" w:pos="4252"/>
              <w:tab w:val="left" w:pos="6521"/>
            </w:tabs>
            <w:spacing w:before="100"/>
          </w:pPr>
        </w:p>
        <w:p w14:paraId="2705A353" w14:textId="77777777" w:rsidR="00546D77" w:rsidRDefault="00546D77">
          <w:pPr>
            <w:pStyle w:val="Header"/>
            <w:tabs>
              <w:tab w:val="clear" w:pos="4252"/>
              <w:tab w:val="left" w:pos="6521"/>
            </w:tabs>
            <w:spacing w:before="100"/>
          </w:pPr>
        </w:p>
      </w:tc>
    </w:tr>
    <w:tr w:rsidR="00546D77" w14:paraId="4DD47A0F" w14:textId="77777777" w:rsidTr="00546D77">
      <w:trPr>
        <w:cantSplit/>
        <w:trHeight w:hRule="exact" w:val="100"/>
        <w:jc w:val="center"/>
      </w:trPr>
      <w:tc>
        <w:tcPr>
          <w:tcW w:w="1357" w:type="dxa"/>
          <w:vMerge/>
        </w:tcPr>
        <w:p w14:paraId="1C13B7EF" w14:textId="77777777" w:rsidR="00546D77" w:rsidRDefault="00546D77">
          <w:pPr>
            <w:pStyle w:val="Header"/>
            <w:tabs>
              <w:tab w:val="clear" w:pos="4252"/>
              <w:tab w:val="clear" w:pos="8504"/>
            </w:tabs>
            <w:ind w:left="-41" w:right="1176"/>
          </w:pPr>
        </w:p>
      </w:tc>
      <w:tc>
        <w:tcPr>
          <w:tcW w:w="3728" w:type="dxa"/>
          <w:vMerge/>
        </w:tcPr>
        <w:p w14:paraId="3B8408E4" w14:textId="77777777" w:rsidR="00546D77" w:rsidRDefault="00546D77">
          <w:pPr>
            <w:pStyle w:val="Header"/>
            <w:tabs>
              <w:tab w:val="clear" w:pos="4252"/>
              <w:tab w:val="left" w:pos="-819"/>
              <w:tab w:val="left" w:pos="6521"/>
            </w:tabs>
            <w:rPr>
              <w:rFonts w:ascii="Gill Sans MT" w:hAnsi="Gill Sans MT"/>
              <w:sz w:val="16"/>
            </w:rPr>
          </w:pPr>
        </w:p>
      </w:tc>
      <w:tc>
        <w:tcPr>
          <w:tcW w:w="2020" w:type="dxa"/>
          <w:vMerge/>
        </w:tcPr>
        <w:p w14:paraId="5355EE17" w14:textId="77777777" w:rsidR="00546D77" w:rsidRDefault="00546D77">
          <w:pPr>
            <w:pStyle w:val="Header"/>
            <w:tabs>
              <w:tab w:val="clear" w:pos="4252"/>
              <w:tab w:val="left" w:pos="-819"/>
              <w:tab w:val="left" w:pos="6521"/>
            </w:tabs>
            <w:rPr>
              <w:rFonts w:ascii="Gill Sans MT" w:hAnsi="Gill Sans MT"/>
              <w:sz w:val="16"/>
            </w:rPr>
          </w:pPr>
        </w:p>
      </w:tc>
      <w:tc>
        <w:tcPr>
          <w:tcW w:w="3772" w:type="dxa"/>
        </w:tcPr>
        <w:p w14:paraId="229BCB56" w14:textId="77777777" w:rsidR="00546D77" w:rsidRDefault="00546D77">
          <w:pPr>
            <w:pStyle w:val="Header"/>
            <w:tabs>
              <w:tab w:val="clear" w:pos="4252"/>
              <w:tab w:val="left" w:pos="6521"/>
            </w:tabs>
            <w:ind w:right="782"/>
            <w:rPr>
              <w:rFonts w:ascii="Gill Sans MT" w:hAnsi="Gill Sans MT"/>
              <w:sz w:val="14"/>
            </w:rPr>
          </w:pPr>
        </w:p>
      </w:tc>
    </w:tr>
    <w:tr w:rsidR="00546D77" w14:paraId="5B3C05C1" w14:textId="77777777" w:rsidTr="00546D77">
      <w:trPr>
        <w:cantSplit/>
        <w:trHeight w:hRule="exact" w:val="427"/>
        <w:jc w:val="center"/>
      </w:trPr>
      <w:tc>
        <w:tcPr>
          <w:tcW w:w="1357" w:type="dxa"/>
          <w:vMerge/>
        </w:tcPr>
        <w:p w14:paraId="6B5B66CA" w14:textId="77777777" w:rsidR="00546D77" w:rsidRDefault="00546D77">
          <w:pPr>
            <w:pStyle w:val="Header"/>
            <w:tabs>
              <w:tab w:val="clear" w:pos="4252"/>
              <w:tab w:val="clear" w:pos="8504"/>
            </w:tabs>
            <w:ind w:left="-41" w:right="1176"/>
          </w:pPr>
        </w:p>
      </w:tc>
      <w:tc>
        <w:tcPr>
          <w:tcW w:w="3728" w:type="dxa"/>
          <w:vMerge/>
        </w:tcPr>
        <w:p w14:paraId="2C834F51" w14:textId="77777777" w:rsidR="00546D77" w:rsidRDefault="00546D77">
          <w:pPr>
            <w:pStyle w:val="Header"/>
            <w:tabs>
              <w:tab w:val="clear" w:pos="4252"/>
              <w:tab w:val="left" w:pos="-819"/>
              <w:tab w:val="left" w:pos="6521"/>
            </w:tabs>
            <w:rPr>
              <w:rFonts w:ascii="Gill Sans MT" w:hAnsi="Gill Sans MT"/>
              <w:sz w:val="16"/>
            </w:rPr>
          </w:pPr>
        </w:p>
      </w:tc>
      <w:tc>
        <w:tcPr>
          <w:tcW w:w="2020" w:type="dxa"/>
          <w:vMerge/>
        </w:tcPr>
        <w:p w14:paraId="44869AAF" w14:textId="77777777" w:rsidR="00546D77" w:rsidRDefault="00546D77">
          <w:pPr>
            <w:pStyle w:val="Header"/>
            <w:tabs>
              <w:tab w:val="clear" w:pos="4252"/>
              <w:tab w:val="left" w:pos="-819"/>
              <w:tab w:val="left" w:pos="6521"/>
            </w:tabs>
            <w:rPr>
              <w:rFonts w:ascii="Gill Sans MT" w:hAnsi="Gill Sans MT"/>
              <w:sz w:val="16"/>
            </w:rPr>
          </w:pPr>
        </w:p>
      </w:tc>
      <w:tc>
        <w:tcPr>
          <w:tcW w:w="3772" w:type="dxa"/>
          <w:tcBorders>
            <w:top w:val="single" w:sz="4" w:space="0" w:color="auto"/>
            <w:left w:val="single" w:sz="4" w:space="0" w:color="auto"/>
            <w:bottom w:val="single" w:sz="4" w:space="0" w:color="auto"/>
            <w:right w:val="single" w:sz="4" w:space="0" w:color="auto"/>
          </w:tcBorders>
        </w:tcPr>
        <w:p w14:paraId="7AE9179E" w14:textId="77777777" w:rsidR="00546D77" w:rsidRDefault="00546D77">
          <w:pPr>
            <w:pStyle w:val="Header"/>
            <w:tabs>
              <w:tab w:val="clear" w:pos="4252"/>
              <w:tab w:val="left" w:pos="6521"/>
            </w:tabs>
            <w:spacing w:before="100"/>
            <w:ind w:right="782"/>
          </w:pPr>
          <w:r>
            <w:rPr>
              <w:rFonts w:ascii="Gill Sans MT" w:hAnsi="Gill Sans MT"/>
              <w:sz w:val="14"/>
            </w:rPr>
            <w:t>REF.:</w:t>
          </w:r>
        </w:p>
      </w:tc>
    </w:tr>
    <w:tr w:rsidR="00546D77" w14:paraId="245FEC80" w14:textId="77777777" w:rsidTr="00546D77">
      <w:trPr>
        <w:cantSplit/>
        <w:trHeight w:hRule="exact" w:val="600"/>
        <w:jc w:val="center"/>
      </w:trPr>
      <w:tc>
        <w:tcPr>
          <w:tcW w:w="1357" w:type="dxa"/>
          <w:vMerge/>
        </w:tcPr>
        <w:p w14:paraId="28B5929C" w14:textId="77777777" w:rsidR="00546D77" w:rsidRDefault="00546D77">
          <w:pPr>
            <w:pStyle w:val="Header"/>
            <w:tabs>
              <w:tab w:val="clear" w:pos="4252"/>
              <w:tab w:val="clear" w:pos="8504"/>
            </w:tabs>
            <w:ind w:left="-41" w:right="1176"/>
          </w:pPr>
        </w:p>
      </w:tc>
      <w:tc>
        <w:tcPr>
          <w:tcW w:w="3728" w:type="dxa"/>
          <w:vMerge/>
        </w:tcPr>
        <w:p w14:paraId="58C627D0" w14:textId="77777777" w:rsidR="00546D77" w:rsidRDefault="00546D77">
          <w:pPr>
            <w:pStyle w:val="Header"/>
            <w:tabs>
              <w:tab w:val="clear" w:pos="4252"/>
              <w:tab w:val="left" w:pos="-819"/>
              <w:tab w:val="left" w:pos="6521"/>
            </w:tabs>
            <w:rPr>
              <w:rFonts w:ascii="Gill Sans MT" w:hAnsi="Gill Sans MT"/>
              <w:sz w:val="16"/>
            </w:rPr>
          </w:pPr>
        </w:p>
      </w:tc>
      <w:tc>
        <w:tcPr>
          <w:tcW w:w="2020" w:type="dxa"/>
          <w:vMerge/>
        </w:tcPr>
        <w:p w14:paraId="44F238CB" w14:textId="77777777" w:rsidR="00546D77" w:rsidRDefault="00546D77">
          <w:pPr>
            <w:pStyle w:val="Header"/>
            <w:tabs>
              <w:tab w:val="clear" w:pos="4252"/>
              <w:tab w:val="left" w:pos="-819"/>
              <w:tab w:val="left" w:pos="6521"/>
            </w:tabs>
            <w:rPr>
              <w:rFonts w:ascii="Gill Sans MT" w:hAnsi="Gill Sans MT"/>
              <w:sz w:val="16"/>
            </w:rPr>
          </w:pPr>
        </w:p>
      </w:tc>
      <w:tc>
        <w:tcPr>
          <w:tcW w:w="3772" w:type="dxa"/>
          <w:tcBorders>
            <w:top w:val="single" w:sz="4" w:space="0" w:color="auto"/>
            <w:left w:val="single" w:sz="4" w:space="0" w:color="auto"/>
            <w:bottom w:val="single" w:sz="4" w:space="0" w:color="auto"/>
            <w:right w:val="single" w:sz="4" w:space="0" w:color="auto"/>
          </w:tcBorders>
        </w:tcPr>
        <w:p w14:paraId="1B79A29C" w14:textId="77777777" w:rsidR="00546D77" w:rsidRDefault="00546D77">
          <w:pPr>
            <w:pStyle w:val="Header"/>
            <w:tabs>
              <w:tab w:val="clear" w:pos="4252"/>
              <w:tab w:val="left" w:pos="6521"/>
            </w:tabs>
            <w:spacing w:before="100"/>
            <w:ind w:right="782"/>
          </w:pPr>
          <w:r>
            <w:rPr>
              <w:rFonts w:ascii="Gill Sans MT" w:hAnsi="Gill Sans MT"/>
              <w:sz w:val="14"/>
            </w:rPr>
            <w:t>REF.C.M.:</w:t>
          </w:r>
        </w:p>
      </w:tc>
    </w:tr>
  </w:tbl>
  <w:p w14:paraId="0F00BC53" w14:textId="5A2A6B0E" w:rsidR="00C93CCC" w:rsidRDefault="00FD453F">
    <w:pPr>
      <w:pStyle w:val="Header"/>
    </w:pPr>
    <w:r>
      <w:rPr>
        <w:noProof/>
        <w:sz w:val="20"/>
      </w:rPr>
      <mc:AlternateContent>
        <mc:Choice Requires="wps">
          <w:drawing>
            <wp:anchor distT="0" distB="0" distL="114300" distR="114300" simplePos="0" relativeHeight="251657216" behindDoc="0" locked="0" layoutInCell="0" allowOverlap="1" wp14:anchorId="25F39437" wp14:editId="6D6516D9">
              <wp:simplePos x="0" y="0"/>
              <wp:positionH relativeFrom="margin">
                <wp:posOffset>-107950</wp:posOffset>
              </wp:positionH>
              <wp:positionV relativeFrom="page">
                <wp:posOffset>5080000</wp:posOffset>
              </wp:positionV>
              <wp:extent cx="6840220" cy="51695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0220" cy="5169535"/>
                      </a:xfrm>
                      <a:prstGeom prst="rect">
                        <a:avLst/>
                      </a:prstGeom>
                      <a:solidFill>
                        <a:srgbClr val="FFFFFF"/>
                      </a:solidFill>
                      <a:ln w="9525">
                        <a:solidFill>
                          <a:srgbClr val="000000"/>
                        </a:solidFill>
                        <a:miter lim="800000"/>
                        <a:headEnd/>
                        <a:tailEnd/>
                      </a:ln>
                    </wps:spPr>
                    <wps:txbx>
                      <w:txbxContent>
                        <w:p w14:paraId="0930644B" w14:textId="77777777" w:rsidR="00C93CCC" w:rsidRDefault="00C93C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F39437" id="_x0000_t202" coordsize="21600,21600" o:spt="202" path="m,l,21600r21600,l21600,xe">
              <v:stroke joinstyle="miter"/>
              <v:path gradientshapeok="t" o:connecttype="rect"/>
            </v:shapetype>
            <v:shape id="Text Box 1" o:spid="_x0000_s1027" type="#_x0000_t202" style="position:absolute;margin-left:-8.5pt;margin-top:400pt;width:538.6pt;height:407.0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" o:allowincell="f">
              <v:textbox>
                <w:txbxContent>
                  <w:p w14:paraId="0930644B" w14:textId="77777777" w:rsidR="00C93CCC" w:rsidRDefault="00C93CCC"/>
                </w:txbxContent>
              </v:textbox>
              <w10:wrap anchorx="margin"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96B14"/>
    <w:multiLevelType w:val="hybridMultilevel"/>
    <w:tmpl w:val="542C774E"/>
    <w:lvl w:ilvl="0" w:tplc="B2BAFBE0">
      <w:start w:val="1"/>
      <w:numFmt w:val="decimal"/>
      <w:lvlText w:val="%1"/>
      <w:lvlJc w:val="left"/>
      <w:pPr>
        <w:ind w:left="29115" w:hanging="840"/>
      </w:pPr>
      <w:rPr>
        <w:rFonts w:hint="default"/>
      </w:rPr>
    </w:lvl>
    <w:lvl w:ilvl="1" w:tplc="0C0A0019" w:tentative="1">
      <w:start w:val="1"/>
      <w:numFmt w:val="lowerLetter"/>
      <w:lvlText w:val="%2."/>
      <w:lvlJc w:val="left"/>
      <w:pPr>
        <w:ind w:left="29355" w:hanging="360"/>
      </w:pPr>
    </w:lvl>
    <w:lvl w:ilvl="2" w:tplc="0C0A001B" w:tentative="1">
      <w:start w:val="1"/>
      <w:numFmt w:val="lowerRoman"/>
      <w:lvlText w:val="%3."/>
      <w:lvlJc w:val="right"/>
      <w:pPr>
        <w:ind w:left="30075" w:hanging="180"/>
      </w:pPr>
    </w:lvl>
    <w:lvl w:ilvl="3" w:tplc="0C0A000F" w:tentative="1">
      <w:start w:val="1"/>
      <w:numFmt w:val="decimal"/>
      <w:lvlText w:val="%4."/>
      <w:lvlJc w:val="left"/>
      <w:pPr>
        <w:ind w:left="30795" w:hanging="360"/>
      </w:pPr>
    </w:lvl>
    <w:lvl w:ilvl="4" w:tplc="0C0A0019" w:tentative="1">
      <w:start w:val="1"/>
      <w:numFmt w:val="lowerLetter"/>
      <w:lvlText w:val="%5."/>
      <w:lvlJc w:val="left"/>
      <w:pPr>
        <w:ind w:left="31515" w:hanging="360"/>
      </w:pPr>
    </w:lvl>
    <w:lvl w:ilvl="5" w:tplc="0C0A001B" w:tentative="1">
      <w:start w:val="1"/>
      <w:numFmt w:val="lowerRoman"/>
      <w:lvlText w:val="%6."/>
      <w:lvlJc w:val="right"/>
      <w:pPr>
        <w:ind w:left="32235" w:hanging="180"/>
      </w:pPr>
    </w:lvl>
    <w:lvl w:ilvl="6" w:tplc="0C0A000F" w:tentative="1">
      <w:start w:val="1"/>
      <w:numFmt w:val="decimal"/>
      <w:lvlText w:val="%7."/>
      <w:lvlJc w:val="left"/>
      <w:pPr>
        <w:ind w:left="-32581" w:hanging="360"/>
      </w:pPr>
    </w:lvl>
    <w:lvl w:ilvl="7" w:tplc="0C0A0019" w:tentative="1">
      <w:start w:val="1"/>
      <w:numFmt w:val="lowerLetter"/>
      <w:lvlText w:val="%8."/>
      <w:lvlJc w:val="left"/>
      <w:pPr>
        <w:ind w:left="-31861" w:hanging="360"/>
      </w:pPr>
    </w:lvl>
    <w:lvl w:ilvl="8" w:tplc="0C0A001B" w:tentative="1">
      <w:start w:val="1"/>
      <w:numFmt w:val="lowerRoman"/>
      <w:lvlText w:val="%9."/>
      <w:lvlJc w:val="right"/>
      <w:pPr>
        <w:ind w:left="-31141" w:hanging="180"/>
      </w:pPr>
    </w:lvl>
  </w:abstractNum>
  <w:abstractNum w:abstractNumId="1" w15:restartNumberingAfterBreak="0">
    <w:nsid w:val="037E37B5"/>
    <w:multiLevelType w:val="hybridMultilevel"/>
    <w:tmpl w:val="3EA0DAC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7A45B39"/>
    <w:multiLevelType w:val="hybridMultilevel"/>
    <w:tmpl w:val="C6BEE674"/>
    <w:lvl w:ilvl="0" w:tplc="0C0A0017">
      <w:start w:val="1"/>
      <w:numFmt w:val="lowerLetter"/>
      <w:lvlText w:val="%1)"/>
      <w:lvlJc w:val="left"/>
      <w:pPr>
        <w:ind w:left="1287" w:hanging="360"/>
      </w:p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3" w15:restartNumberingAfterBreak="0">
    <w:nsid w:val="0885190B"/>
    <w:multiLevelType w:val="hybridMultilevel"/>
    <w:tmpl w:val="EDF21534"/>
    <w:lvl w:ilvl="0" w:tplc="0C0A0017">
      <w:start w:val="1"/>
      <w:numFmt w:val="lowerLetter"/>
      <w:lvlText w:val="%1)"/>
      <w:lvlJc w:val="left"/>
      <w:pPr>
        <w:ind w:left="1776" w:hanging="360"/>
      </w:pPr>
    </w:lvl>
    <w:lvl w:ilvl="1" w:tplc="0C0A0019" w:tentative="1">
      <w:start w:val="1"/>
      <w:numFmt w:val="lowerLetter"/>
      <w:lvlText w:val="%2."/>
      <w:lvlJc w:val="left"/>
      <w:pPr>
        <w:ind w:left="2496" w:hanging="360"/>
      </w:pPr>
    </w:lvl>
    <w:lvl w:ilvl="2" w:tplc="0C0A001B" w:tentative="1">
      <w:start w:val="1"/>
      <w:numFmt w:val="lowerRoman"/>
      <w:lvlText w:val="%3."/>
      <w:lvlJc w:val="right"/>
      <w:pPr>
        <w:ind w:left="3216" w:hanging="180"/>
      </w:pPr>
    </w:lvl>
    <w:lvl w:ilvl="3" w:tplc="0C0A000F" w:tentative="1">
      <w:start w:val="1"/>
      <w:numFmt w:val="decimal"/>
      <w:lvlText w:val="%4."/>
      <w:lvlJc w:val="left"/>
      <w:pPr>
        <w:ind w:left="3936" w:hanging="360"/>
      </w:pPr>
    </w:lvl>
    <w:lvl w:ilvl="4" w:tplc="0C0A0019" w:tentative="1">
      <w:start w:val="1"/>
      <w:numFmt w:val="lowerLetter"/>
      <w:lvlText w:val="%5."/>
      <w:lvlJc w:val="left"/>
      <w:pPr>
        <w:ind w:left="4656" w:hanging="360"/>
      </w:pPr>
    </w:lvl>
    <w:lvl w:ilvl="5" w:tplc="0C0A001B" w:tentative="1">
      <w:start w:val="1"/>
      <w:numFmt w:val="lowerRoman"/>
      <w:lvlText w:val="%6."/>
      <w:lvlJc w:val="right"/>
      <w:pPr>
        <w:ind w:left="5376" w:hanging="180"/>
      </w:pPr>
    </w:lvl>
    <w:lvl w:ilvl="6" w:tplc="0C0A000F" w:tentative="1">
      <w:start w:val="1"/>
      <w:numFmt w:val="decimal"/>
      <w:lvlText w:val="%7."/>
      <w:lvlJc w:val="left"/>
      <w:pPr>
        <w:ind w:left="6096" w:hanging="360"/>
      </w:pPr>
    </w:lvl>
    <w:lvl w:ilvl="7" w:tplc="0C0A0019" w:tentative="1">
      <w:start w:val="1"/>
      <w:numFmt w:val="lowerLetter"/>
      <w:lvlText w:val="%8."/>
      <w:lvlJc w:val="left"/>
      <w:pPr>
        <w:ind w:left="6816" w:hanging="360"/>
      </w:pPr>
    </w:lvl>
    <w:lvl w:ilvl="8" w:tplc="0C0A001B" w:tentative="1">
      <w:start w:val="1"/>
      <w:numFmt w:val="lowerRoman"/>
      <w:lvlText w:val="%9."/>
      <w:lvlJc w:val="right"/>
      <w:pPr>
        <w:ind w:left="7536" w:hanging="180"/>
      </w:pPr>
    </w:lvl>
  </w:abstractNum>
  <w:abstractNum w:abstractNumId="4" w15:restartNumberingAfterBreak="0">
    <w:nsid w:val="0E2128D4"/>
    <w:multiLevelType w:val="hybridMultilevel"/>
    <w:tmpl w:val="76C60BD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0106A9D"/>
    <w:multiLevelType w:val="hybridMultilevel"/>
    <w:tmpl w:val="60C833B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1261454"/>
    <w:multiLevelType w:val="hybridMultilevel"/>
    <w:tmpl w:val="131C936C"/>
    <w:lvl w:ilvl="0" w:tplc="2EB8C15A">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27253EF"/>
    <w:multiLevelType w:val="multilevel"/>
    <w:tmpl w:val="666816CA"/>
    <w:lvl w:ilvl="0">
      <w:start w:val="1"/>
      <w:numFmt w:val="bullet"/>
      <w:lvlText w:val=""/>
      <w:lvlJc w:val="left"/>
      <w:pPr>
        <w:ind w:left="1069" w:hanging="360"/>
      </w:pPr>
      <w:rPr>
        <w:rFonts w:ascii="Symbol" w:hAnsi="Symbol" w:cs="Symbol" w:hint="default"/>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cs="Wingdings" w:hint="default"/>
      </w:rPr>
    </w:lvl>
    <w:lvl w:ilvl="3">
      <w:start w:val="1"/>
      <w:numFmt w:val="bullet"/>
      <w:lvlText w:val=""/>
      <w:lvlJc w:val="left"/>
      <w:pPr>
        <w:ind w:left="3229" w:hanging="360"/>
      </w:pPr>
      <w:rPr>
        <w:rFonts w:ascii="Symbol" w:hAnsi="Symbol" w:cs="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cs="Wingdings" w:hint="default"/>
      </w:rPr>
    </w:lvl>
    <w:lvl w:ilvl="6">
      <w:start w:val="1"/>
      <w:numFmt w:val="bullet"/>
      <w:lvlText w:val=""/>
      <w:lvlJc w:val="left"/>
      <w:pPr>
        <w:ind w:left="5389" w:hanging="360"/>
      </w:pPr>
      <w:rPr>
        <w:rFonts w:ascii="Symbol" w:hAnsi="Symbol" w:cs="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cs="Wingdings" w:hint="default"/>
      </w:rPr>
    </w:lvl>
  </w:abstractNum>
  <w:abstractNum w:abstractNumId="8" w15:restartNumberingAfterBreak="0">
    <w:nsid w:val="19FA4502"/>
    <w:multiLevelType w:val="multilevel"/>
    <w:tmpl w:val="F062902C"/>
    <w:lvl w:ilvl="0">
      <w:start w:val="1"/>
      <w:numFmt w:val="lowerLetter"/>
      <w:lvlText w:val="%1)"/>
      <w:lvlJc w:val="left"/>
      <w:pPr>
        <w:ind w:left="644" w:hanging="360"/>
      </w:pPr>
      <w:rPr>
        <w:strike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B832F5F"/>
    <w:multiLevelType w:val="hybridMultilevel"/>
    <w:tmpl w:val="C7525166"/>
    <w:lvl w:ilvl="0" w:tplc="9264891E">
      <w:start w:val="1"/>
      <w:numFmt w:val="lowerLetter"/>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10" w15:restartNumberingAfterBreak="0">
    <w:nsid w:val="1DCD7FAC"/>
    <w:multiLevelType w:val="multilevel"/>
    <w:tmpl w:val="768EBD0A"/>
    <w:lvl w:ilvl="0">
      <w:start w:val="15"/>
      <w:numFmt w:val="decimal"/>
      <w:lvlText w:val="%1"/>
      <w:lvlJc w:val="left"/>
      <w:pPr>
        <w:ind w:left="375" w:hanging="375"/>
      </w:pPr>
      <w:rPr>
        <w:rFonts w:hint="default"/>
      </w:rPr>
    </w:lvl>
    <w:lvl w:ilvl="1">
      <w:start w:val="6"/>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1" w15:restartNumberingAfterBreak="0">
    <w:nsid w:val="1FBB6F6B"/>
    <w:multiLevelType w:val="hybridMultilevel"/>
    <w:tmpl w:val="68A05250"/>
    <w:lvl w:ilvl="0" w:tplc="0C0A0017">
      <w:start w:val="1"/>
      <w:numFmt w:val="lowerLetter"/>
      <w:lvlText w:val="%1)"/>
      <w:lvlJc w:val="left"/>
      <w:pPr>
        <w:ind w:left="3337"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3F2211B"/>
    <w:multiLevelType w:val="multilevel"/>
    <w:tmpl w:val="614C401A"/>
    <w:styleLink w:val="WWNum3"/>
    <w:lvl w:ilvl="0">
      <w:start w:val="1"/>
      <w:numFmt w:val="decimal"/>
      <w:lvlText w:val="%1."/>
      <w:lvlJc w:val="left"/>
      <w:pPr>
        <w:ind w:left="360" w:hanging="360"/>
      </w:pPr>
    </w:lvl>
    <w:lvl w:ilvl="1">
      <w:start w:val="1"/>
      <w:numFmt w:val="none"/>
      <w:suff w:val="nothing"/>
      <w:lvlText w:val="%2"/>
      <w:lvlJc w:val="left"/>
      <w:pPr>
        <w:ind w:left="1080" w:hanging="360"/>
      </w:pPr>
    </w:lvl>
    <w:lvl w:ilvl="2">
      <w:start w:val="1"/>
      <w:numFmt w:val="none"/>
      <w:suff w:val="nothing"/>
      <w:lvlText w:val="%3"/>
      <w:lvlJc w:val="left"/>
      <w:pPr>
        <w:ind w:left="1440" w:hanging="360"/>
      </w:pPr>
    </w:lvl>
    <w:lvl w:ilvl="3">
      <w:start w:val="1"/>
      <w:numFmt w:val="none"/>
      <w:suff w:val="nothing"/>
      <w:lvlText w:val="%4"/>
      <w:lvlJc w:val="left"/>
      <w:pPr>
        <w:ind w:left="1800" w:hanging="360"/>
      </w:pPr>
    </w:lvl>
    <w:lvl w:ilvl="4">
      <w:start w:val="1"/>
      <w:numFmt w:val="none"/>
      <w:suff w:val="nothing"/>
      <w:lvlText w:val="%5"/>
      <w:lvlJc w:val="left"/>
      <w:pPr>
        <w:ind w:left="2160" w:hanging="360"/>
      </w:pPr>
    </w:lvl>
    <w:lvl w:ilvl="5">
      <w:start w:val="1"/>
      <w:numFmt w:val="none"/>
      <w:suff w:val="nothing"/>
      <w:lvlText w:val="%6"/>
      <w:lvlJc w:val="left"/>
      <w:pPr>
        <w:ind w:left="2520" w:hanging="360"/>
      </w:pPr>
    </w:lvl>
    <w:lvl w:ilvl="6">
      <w:start w:val="1"/>
      <w:numFmt w:val="none"/>
      <w:suff w:val="nothing"/>
      <w:lvlText w:val="%7"/>
      <w:lvlJc w:val="left"/>
      <w:pPr>
        <w:ind w:left="2880" w:hanging="360"/>
      </w:pPr>
    </w:lvl>
    <w:lvl w:ilvl="7">
      <w:start w:val="1"/>
      <w:numFmt w:val="none"/>
      <w:suff w:val="nothing"/>
      <w:lvlText w:val="%8"/>
      <w:lvlJc w:val="left"/>
      <w:pPr>
        <w:ind w:left="3240" w:hanging="360"/>
      </w:pPr>
    </w:lvl>
    <w:lvl w:ilvl="8">
      <w:start w:val="1"/>
      <w:numFmt w:val="none"/>
      <w:suff w:val="nothing"/>
      <w:lvlText w:val="%9"/>
      <w:lvlJc w:val="left"/>
      <w:pPr>
        <w:ind w:left="3600" w:hanging="360"/>
      </w:pPr>
    </w:lvl>
  </w:abstractNum>
  <w:abstractNum w:abstractNumId="13" w15:restartNumberingAfterBreak="0">
    <w:nsid w:val="26D74DAF"/>
    <w:multiLevelType w:val="hybridMultilevel"/>
    <w:tmpl w:val="CBD8B54E"/>
    <w:lvl w:ilvl="0" w:tplc="0C0A0017">
      <w:start w:val="1"/>
      <w:numFmt w:val="lowerLetter"/>
      <w:lvlText w:val="%1)"/>
      <w:lvlJc w:val="left"/>
      <w:pPr>
        <w:ind w:left="1287" w:hanging="360"/>
      </w:p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14" w15:restartNumberingAfterBreak="0">
    <w:nsid w:val="2D7A4F97"/>
    <w:multiLevelType w:val="hybridMultilevel"/>
    <w:tmpl w:val="CCE87788"/>
    <w:lvl w:ilvl="0" w:tplc="3C366EA8">
      <w:start w:val="1"/>
      <w:numFmt w:val="lowerLetter"/>
      <w:lvlText w:val="%1)"/>
      <w:lvlJc w:val="left"/>
      <w:pPr>
        <w:ind w:left="373" w:hanging="360"/>
      </w:pPr>
      <w:rPr>
        <w:rFonts w:hint="default"/>
      </w:rPr>
    </w:lvl>
    <w:lvl w:ilvl="1" w:tplc="0C0A0019" w:tentative="1">
      <w:start w:val="1"/>
      <w:numFmt w:val="lowerLetter"/>
      <w:lvlText w:val="%2."/>
      <w:lvlJc w:val="left"/>
      <w:pPr>
        <w:ind w:left="1093" w:hanging="360"/>
      </w:pPr>
    </w:lvl>
    <w:lvl w:ilvl="2" w:tplc="0C0A001B" w:tentative="1">
      <w:start w:val="1"/>
      <w:numFmt w:val="lowerRoman"/>
      <w:lvlText w:val="%3."/>
      <w:lvlJc w:val="right"/>
      <w:pPr>
        <w:ind w:left="1813" w:hanging="180"/>
      </w:pPr>
    </w:lvl>
    <w:lvl w:ilvl="3" w:tplc="0C0A000F" w:tentative="1">
      <w:start w:val="1"/>
      <w:numFmt w:val="decimal"/>
      <w:lvlText w:val="%4."/>
      <w:lvlJc w:val="left"/>
      <w:pPr>
        <w:ind w:left="2533" w:hanging="360"/>
      </w:pPr>
    </w:lvl>
    <w:lvl w:ilvl="4" w:tplc="0C0A0019" w:tentative="1">
      <w:start w:val="1"/>
      <w:numFmt w:val="lowerLetter"/>
      <w:lvlText w:val="%5."/>
      <w:lvlJc w:val="left"/>
      <w:pPr>
        <w:ind w:left="3253" w:hanging="360"/>
      </w:pPr>
    </w:lvl>
    <w:lvl w:ilvl="5" w:tplc="0C0A001B" w:tentative="1">
      <w:start w:val="1"/>
      <w:numFmt w:val="lowerRoman"/>
      <w:lvlText w:val="%6."/>
      <w:lvlJc w:val="right"/>
      <w:pPr>
        <w:ind w:left="3973" w:hanging="180"/>
      </w:pPr>
    </w:lvl>
    <w:lvl w:ilvl="6" w:tplc="0C0A000F" w:tentative="1">
      <w:start w:val="1"/>
      <w:numFmt w:val="decimal"/>
      <w:lvlText w:val="%7."/>
      <w:lvlJc w:val="left"/>
      <w:pPr>
        <w:ind w:left="4693" w:hanging="360"/>
      </w:pPr>
    </w:lvl>
    <w:lvl w:ilvl="7" w:tplc="0C0A0019" w:tentative="1">
      <w:start w:val="1"/>
      <w:numFmt w:val="lowerLetter"/>
      <w:lvlText w:val="%8."/>
      <w:lvlJc w:val="left"/>
      <w:pPr>
        <w:ind w:left="5413" w:hanging="360"/>
      </w:pPr>
    </w:lvl>
    <w:lvl w:ilvl="8" w:tplc="0C0A001B" w:tentative="1">
      <w:start w:val="1"/>
      <w:numFmt w:val="lowerRoman"/>
      <w:lvlText w:val="%9."/>
      <w:lvlJc w:val="right"/>
      <w:pPr>
        <w:ind w:left="6133" w:hanging="180"/>
      </w:pPr>
    </w:lvl>
  </w:abstractNum>
  <w:abstractNum w:abstractNumId="15" w15:restartNumberingAfterBreak="0">
    <w:nsid w:val="33EA6229"/>
    <w:multiLevelType w:val="hybridMultilevel"/>
    <w:tmpl w:val="14BCE4D6"/>
    <w:lvl w:ilvl="0" w:tplc="0C0A000F">
      <w:start w:val="1"/>
      <w:numFmt w:val="decimal"/>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6" w15:restartNumberingAfterBreak="0">
    <w:nsid w:val="38E60D7E"/>
    <w:multiLevelType w:val="hybridMultilevel"/>
    <w:tmpl w:val="7400A82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3DD4218E"/>
    <w:multiLevelType w:val="hybridMultilevel"/>
    <w:tmpl w:val="B40A7106"/>
    <w:lvl w:ilvl="0" w:tplc="1EEEEE46">
      <w:start w:val="4"/>
      <w:numFmt w:val="bullet"/>
      <w:lvlText w:val="-"/>
      <w:lvlJc w:val="left"/>
      <w:pPr>
        <w:ind w:left="720" w:hanging="360"/>
      </w:pPr>
      <w:rPr>
        <w:rFonts w:ascii="Calibri" w:eastAsia="Calibri"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8" w15:restartNumberingAfterBreak="0">
    <w:nsid w:val="3F1E1148"/>
    <w:multiLevelType w:val="hybridMultilevel"/>
    <w:tmpl w:val="5922E64A"/>
    <w:lvl w:ilvl="0" w:tplc="0C0A0017">
      <w:start w:val="1"/>
      <w:numFmt w:val="lowerLetter"/>
      <w:lvlText w:val="%1)"/>
      <w:lvlJc w:val="left"/>
      <w:pPr>
        <w:ind w:left="1287" w:hanging="360"/>
      </w:p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19" w15:restartNumberingAfterBreak="0">
    <w:nsid w:val="44DF5CF3"/>
    <w:multiLevelType w:val="hybridMultilevel"/>
    <w:tmpl w:val="836675F0"/>
    <w:lvl w:ilvl="0" w:tplc="74E61344">
      <w:start w:val="2"/>
      <w:numFmt w:val="bullet"/>
      <w:lvlText w:val="-"/>
      <w:lvlJc w:val="left"/>
      <w:pPr>
        <w:ind w:left="6456" w:hanging="360"/>
      </w:pPr>
      <w:rPr>
        <w:rFonts w:ascii="Calibri" w:eastAsiaTheme="minorHAnsi"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45324F99"/>
    <w:multiLevelType w:val="hybridMultilevel"/>
    <w:tmpl w:val="0EB6E110"/>
    <w:lvl w:ilvl="0" w:tplc="10388CB2">
      <w:start w:val="1"/>
      <w:numFmt w:val="low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1" w15:restartNumberingAfterBreak="0">
    <w:nsid w:val="46AF73D0"/>
    <w:multiLevelType w:val="hybridMultilevel"/>
    <w:tmpl w:val="4B264938"/>
    <w:lvl w:ilvl="0" w:tplc="0C0A0017">
      <w:start w:val="1"/>
      <w:numFmt w:val="lowerLetter"/>
      <w:lvlText w:val="%1)"/>
      <w:lvlJc w:val="left"/>
      <w:pPr>
        <w:ind w:left="704" w:hanging="42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2" w15:restartNumberingAfterBreak="0">
    <w:nsid w:val="48BD3646"/>
    <w:multiLevelType w:val="hybridMultilevel"/>
    <w:tmpl w:val="EB6644F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4AB7108E"/>
    <w:multiLevelType w:val="hybridMultilevel"/>
    <w:tmpl w:val="B512019C"/>
    <w:lvl w:ilvl="0" w:tplc="9F2A7DC0">
      <w:start w:val="2"/>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4B276012"/>
    <w:multiLevelType w:val="hybridMultilevel"/>
    <w:tmpl w:val="264A6ABA"/>
    <w:lvl w:ilvl="0" w:tplc="99B8C12C">
      <w:start w:val="1"/>
      <w:numFmt w:val="decimal"/>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25" w15:restartNumberingAfterBreak="0">
    <w:nsid w:val="54742056"/>
    <w:multiLevelType w:val="hybridMultilevel"/>
    <w:tmpl w:val="E222D0B2"/>
    <w:lvl w:ilvl="0" w:tplc="6FDEFA32">
      <w:start w:val="1"/>
      <w:numFmt w:val="low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6" w15:restartNumberingAfterBreak="0">
    <w:nsid w:val="65F81EE4"/>
    <w:multiLevelType w:val="hybridMultilevel"/>
    <w:tmpl w:val="C4CAF34C"/>
    <w:lvl w:ilvl="0" w:tplc="0C0A0017">
      <w:start w:val="1"/>
      <w:numFmt w:val="lowerLetter"/>
      <w:lvlText w:val="%1)"/>
      <w:lvlJc w:val="left"/>
      <w:pPr>
        <w:ind w:left="644"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68A1395B"/>
    <w:multiLevelType w:val="hybridMultilevel"/>
    <w:tmpl w:val="670A681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6975788C"/>
    <w:multiLevelType w:val="hybridMultilevel"/>
    <w:tmpl w:val="CAACE7F4"/>
    <w:lvl w:ilvl="0" w:tplc="4CEAFD42">
      <w:start w:val="1"/>
      <w:numFmt w:val="bullet"/>
      <w:lvlText w:val=""/>
      <w:lvlJc w:val="left"/>
      <w:pPr>
        <w:ind w:left="1004" w:hanging="360"/>
      </w:pPr>
      <w:rPr>
        <w:rFonts w:ascii="Symbol" w:hAnsi="Symbol" w:hint="default"/>
      </w:rPr>
    </w:lvl>
    <w:lvl w:ilvl="1" w:tplc="040A0003" w:tentative="1">
      <w:start w:val="1"/>
      <w:numFmt w:val="bullet"/>
      <w:lvlText w:val="o"/>
      <w:lvlJc w:val="left"/>
      <w:pPr>
        <w:ind w:left="1724" w:hanging="360"/>
      </w:pPr>
      <w:rPr>
        <w:rFonts w:ascii="Courier New" w:hAnsi="Courier New" w:cs="Courier New" w:hint="default"/>
      </w:rPr>
    </w:lvl>
    <w:lvl w:ilvl="2" w:tplc="040A0005" w:tentative="1">
      <w:start w:val="1"/>
      <w:numFmt w:val="bullet"/>
      <w:lvlText w:val=""/>
      <w:lvlJc w:val="left"/>
      <w:pPr>
        <w:ind w:left="2444" w:hanging="360"/>
      </w:pPr>
      <w:rPr>
        <w:rFonts w:ascii="Wingdings" w:hAnsi="Wingdings" w:hint="default"/>
      </w:rPr>
    </w:lvl>
    <w:lvl w:ilvl="3" w:tplc="040A0001" w:tentative="1">
      <w:start w:val="1"/>
      <w:numFmt w:val="bullet"/>
      <w:lvlText w:val=""/>
      <w:lvlJc w:val="left"/>
      <w:pPr>
        <w:ind w:left="3164" w:hanging="360"/>
      </w:pPr>
      <w:rPr>
        <w:rFonts w:ascii="Symbol" w:hAnsi="Symbol" w:hint="default"/>
      </w:rPr>
    </w:lvl>
    <w:lvl w:ilvl="4" w:tplc="040A0003" w:tentative="1">
      <w:start w:val="1"/>
      <w:numFmt w:val="bullet"/>
      <w:lvlText w:val="o"/>
      <w:lvlJc w:val="left"/>
      <w:pPr>
        <w:ind w:left="3884" w:hanging="360"/>
      </w:pPr>
      <w:rPr>
        <w:rFonts w:ascii="Courier New" w:hAnsi="Courier New" w:cs="Courier New" w:hint="default"/>
      </w:rPr>
    </w:lvl>
    <w:lvl w:ilvl="5" w:tplc="040A0005" w:tentative="1">
      <w:start w:val="1"/>
      <w:numFmt w:val="bullet"/>
      <w:lvlText w:val=""/>
      <w:lvlJc w:val="left"/>
      <w:pPr>
        <w:ind w:left="4604" w:hanging="360"/>
      </w:pPr>
      <w:rPr>
        <w:rFonts w:ascii="Wingdings" w:hAnsi="Wingdings" w:hint="default"/>
      </w:rPr>
    </w:lvl>
    <w:lvl w:ilvl="6" w:tplc="040A0001" w:tentative="1">
      <w:start w:val="1"/>
      <w:numFmt w:val="bullet"/>
      <w:lvlText w:val=""/>
      <w:lvlJc w:val="left"/>
      <w:pPr>
        <w:ind w:left="5324" w:hanging="360"/>
      </w:pPr>
      <w:rPr>
        <w:rFonts w:ascii="Symbol" w:hAnsi="Symbol" w:hint="default"/>
      </w:rPr>
    </w:lvl>
    <w:lvl w:ilvl="7" w:tplc="040A0003" w:tentative="1">
      <w:start w:val="1"/>
      <w:numFmt w:val="bullet"/>
      <w:lvlText w:val="o"/>
      <w:lvlJc w:val="left"/>
      <w:pPr>
        <w:ind w:left="6044" w:hanging="360"/>
      </w:pPr>
      <w:rPr>
        <w:rFonts w:ascii="Courier New" w:hAnsi="Courier New" w:cs="Courier New" w:hint="default"/>
      </w:rPr>
    </w:lvl>
    <w:lvl w:ilvl="8" w:tplc="040A0005" w:tentative="1">
      <w:start w:val="1"/>
      <w:numFmt w:val="bullet"/>
      <w:lvlText w:val=""/>
      <w:lvlJc w:val="left"/>
      <w:pPr>
        <w:ind w:left="6764" w:hanging="360"/>
      </w:pPr>
      <w:rPr>
        <w:rFonts w:ascii="Wingdings" w:hAnsi="Wingdings" w:hint="default"/>
      </w:rPr>
    </w:lvl>
  </w:abstractNum>
  <w:abstractNum w:abstractNumId="29" w15:restartNumberingAfterBreak="0">
    <w:nsid w:val="69C14C67"/>
    <w:multiLevelType w:val="hybridMultilevel"/>
    <w:tmpl w:val="3EA0DAC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6E93567D"/>
    <w:multiLevelType w:val="hybridMultilevel"/>
    <w:tmpl w:val="76C60BD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732804DE"/>
    <w:multiLevelType w:val="hybridMultilevel"/>
    <w:tmpl w:val="043CBBB6"/>
    <w:lvl w:ilvl="0" w:tplc="DD4072F8">
      <w:start w:val="7"/>
      <w:numFmt w:val="bullet"/>
      <w:lvlText w:val="-"/>
      <w:lvlJc w:val="left"/>
      <w:pPr>
        <w:ind w:left="927" w:hanging="360"/>
      </w:pPr>
      <w:rPr>
        <w:rFonts w:ascii="Arial" w:eastAsiaTheme="minorHAnsi" w:hAnsi="Arial" w:cs="Arial" w:hint="default"/>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32" w15:restartNumberingAfterBreak="0">
    <w:nsid w:val="74CD22FD"/>
    <w:multiLevelType w:val="multilevel"/>
    <w:tmpl w:val="DFA8C284"/>
    <w:lvl w:ilvl="0">
      <w:start w:val="15"/>
      <w:numFmt w:val="decimal"/>
      <w:lvlText w:val="%1"/>
      <w:lvlJc w:val="left"/>
      <w:pPr>
        <w:ind w:left="375" w:hanging="375"/>
      </w:pPr>
      <w:rPr>
        <w:rFonts w:hint="default"/>
      </w:rPr>
    </w:lvl>
    <w:lvl w:ilvl="1">
      <w:start w:val="6"/>
      <w:numFmt w:val="decimal"/>
      <w:lvlText w:val="%1.%2"/>
      <w:lvlJc w:val="left"/>
      <w:pPr>
        <w:ind w:left="1317" w:hanging="375"/>
      </w:pPr>
      <w:rPr>
        <w:rFonts w:hint="default"/>
      </w:rPr>
    </w:lvl>
    <w:lvl w:ilvl="2">
      <w:start w:val="1"/>
      <w:numFmt w:val="decimal"/>
      <w:lvlText w:val="%1.%2.%3"/>
      <w:lvlJc w:val="left"/>
      <w:pPr>
        <w:ind w:left="2604" w:hanging="720"/>
      </w:pPr>
      <w:rPr>
        <w:rFonts w:hint="default"/>
      </w:rPr>
    </w:lvl>
    <w:lvl w:ilvl="3">
      <w:start w:val="1"/>
      <w:numFmt w:val="decimal"/>
      <w:lvlText w:val="%1.%2.%3.%4"/>
      <w:lvlJc w:val="left"/>
      <w:pPr>
        <w:ind w:left="3546" w:hanging="720"/>
      </w:pPr>
      <w:rPr>
        <w:rFonts w:hint="default"/>
      </w:rPr>
    </w:lvl>
    <w:lvl w:ilvl="4">
      <w:start w:val="1"/>
      <w:numFmt w:val="decimal"/>
      <w:lvlText w:val="%1.%2.%3.%4.%5"/>
      <w:lvlJc w:val="left"/>
      <w:pPr>
        <w:ind w:left="4848" w:hanging="1080"/>
      </w:pPr>
      <w:rPr>
        <w:rFonts w:hint="default"/>
      </w:rPr>
    </w:lvl>
    <w:lvl w:ilvl="5">
      <w:start w:val="1"/>
      <w:numFmt w:val="decimal"/>
      <w:lvlText w:val="%1.%2.%3.%4.%5.%6"/>
      <w:lvlJc w:val="left"/>
      <w:pPr>
        <w:ind w:left="5790" w:hanging="1080"/>
      </w:pPr>
      <w:rPr>
        <w:rFonts w:hint="default"/>
      </w:rPr>
    </w:lvl>
    <w:lvl w:ilvl="6">
      <w:start w:val="1"/>
      <w:numFmt w:val="decimal"/>
      <w:lvlText w:val="%1.%2.%3.%4.%5.%6.%7"/>
      <w:lvlJc w:val="left"/>
      <w:pPr>
        <w:ind w:left="7092" w:hanging="1440"/>
      </w:pPr>
      <w:rPr>
        <w:rFonts w:hint="default"/>
      </w:rPr>
    </w:lvl>
    <w:lvl w:ilvl="7">
      <w:start w:val="1"/>
      <w:numFmt w:val="decimal"/>
      <w:lvlText w:val="%1.%2.%3.%4.%5.%6.%7.%8"/>
      <w:lvlJc w:val="left"/>
      <w:pPr>
        <w:ind w:left="8034" w:hanging="1440"/>
      </w:pPr>
      <w:rPr>
        <w:rFonts w:hint="default"/>
      </w:rPr>
    </w:lvl>
    <w:lvl w:ilvl="8">
      <w:start w:val="1"/>
      <w:numFmt w:val="decimal"/>
      <w:lvlText w:val="%1.%2.%3.%4.%5.%6.%7.%8.%9"/>
      <w:lvlJc w:val="left"/>
      <w:pPr>
        <w:ind w:left="8976" w:hanging="1440"/>
      </w:pPr>
      <w:rPr>
        <w:rFonts w:hint="default"/>
      </w:rPr>
    </w:lvl>
  </w:abstractNum>
  <w:abstractNum w:abstractNumId="33" w15:restartNumberingAfterBreak="0">
    <w:nsid w:val="7BBB7816"/>
    <w:multiLevelType w:val="hybridMultilevel"/>
    <w:tmpl w:val="4EE4F858"/>
    <w:lvl w:ilvl="0" w:tplc="0C0A000F">
      <w:start w:val="1"/>
      <w:numFmt w:val="decimal"/>
      <w:lvlText w:val="%1."/>
      <w:lvlJc w:val="left"/>
      <w:pPr>
        <w:ind w:left="1287" w:hanging="360"/>
      </w:p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num w:numId="1" w16cid:durableId="806165444">
    <w:abstractNumId w:val="13"/>
  </w:num>
  <w:num w:numId="2" w16cid:durableId="640647079">
    <w:abstractNumId w:val="3"/>
  </w:num>
  <w:num w:numId="3" w16cid:durableId="776681883">
    <w:abstractNumId w:val="2"/>
  </w:num>
  <w:num w:numId="4" w16cid:durableId="295841785">
    <w:abstractNumId w:val="18"/>
  </w:num>
  <w:num w:numId="5" w16cid:durableId="838276280">
    <w:abstractNumId w:val="28"/>
  </w:num>
  <w:num w:numId="6" w16cid:durableId="571279413">
    <w:abstractNumId w:val="31"/>
  </w:num>
  <w:num w:numId="7" w16cid:durableId="782578975">
    <w:abstractNumId w:val="12"/>
  </w:num>
  <w:num w:numId="8" w16cid:durableId="1270163073">
    <w:abstractNumId w:val="12"/>
    <w:lvlOverride w:ilvl="0">
      <w:startOverride w:val="1"/>
    </w:lvlOverride>
  </w:num>
  <w:num w:numId="9" w16cid:durableId="158887420">
    <w:abstractNumId w:val="1"/>
  </w:num>
  <w:num w:numId="10" w16cid:durableId="1676878742">
    <w:abstractNumId w:val="29"/>
  </w:num>
  <w:num w:numId="11" w16cid:durableId="2055226268">
    <w:abstractNumId w:val="5"/>
  </w:num>
  <w:num w:numId="12" w16cid:durableId="1522432203">
    <w:abstractNumId w:val="20"/>
  </w:num>
  <w:num w:numId="13" w16cid:durableId="291982446">
    <w:abstractNumId w:val="19"/>
  </w:num>
  <w:num w:numId="14" w16cid:durableId="2104302648">
    <w:abstractNumId w:val="0"/>
  </w:num>
  <w:num w:numId="15" w16cid:durableId="594635587">
    <w:abstractNumId w:val="24"/>
  </w:num>
  <w:num w:numId="16" w16cid:durableId="649208695">
    <w:abstractNumId w:val="9"/>
  </w:num>
  <w:num w:numId="17" w16cid:durableId="1010789022">
    <w:abstractNumId w:val="11"/>
  </w:num>
  <w:num w:numId="18" w16cid:durableId="772552138">
    <w:abstractNumId w:val="14"/>
  </w:num>
  <w:num w:numId="19" w16cid:durableId="338392972">
    <w:abstractNumId w:val="16"/>
  </w:num>
  <w:num w:numId="20" w16cid:durableId="677078459">
    <w:abstractNumId w:val="22"/>
  </w:num>
  <w:num w:numId="21" w16cid:durableId="888809413">
    <w:abstractNumId w:val="15"/>
  </w:num>
  <w:num w:numId="22" w16cid:durableId="487944804">
    <w:abstractNumId w:val="10"/>
  </w:num>
  <w:num w:numId="23" w16cid:durableId="1331299523">
    <w:abstractNumId w:val="32"/>
  </w:num>
  <w:num w:numId="24" w16cid:durableId="262542336">
    <w:abstractNumId w:val="6"/>
  </w:num>
  <w:num w:numId="25" w16cid:durableId="669719516">
    <w:abstractNumId w:val="4"/>
  </w:num>
  <w:num w:numId="26" w16cid:durableId="809595804">
    <w:abstractNumId w:val="17"/>
  </w:num>
  <w:num w:numId="27" w16cid:durableId="940382160">
    <w:abstractNumId w:val="30"/>
  </w:num>
  <w:num w:numId="28" w16cid:durableId="644630731">
    <w:abstractNumId w:val="27"/>
  </w:num>
  <w:num w:numId="29" w16cid:durableId="43845050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65157183">
    <w:abstractNumId w:val="26"/>
  </w:num>
  <w:num w:numId="31" w16cid:durableId="681014506">
    <w:abstractNumId w:val="33"/>
  </w:num>
  <w:num w:numId="32" w16cid:durableId="82923998">
    <w:abstractNumId w:val="8"/>
  </w:num>
  <w:num w:numId="33" w16cid:durableId="609434477">
    <w:abstractNumId w:val="7"/>
  </w:num>
  <w:num w:numId="34" w16cid:durableId="1394111462">
    <w:abstractNumId w:val="23"/>
  </w:num>
  <w:num w:numId="35" w16cid:durableId="581530033">
    <w:abstractNumId w:val="25"/>
  </w:num>
  <w:num w:numId="36" w16cid:durableId="98462943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3CCC"/>
    <w:rsid w:val="000370F1"/>
    <w:rsid w:val="000760AB"/>
    <w:rsid w:val="000C089F"/>
    <w:rsid w:val="001F7365"/>
    <w:rsid w:val="002B64A6"/>
    <w:rsid w:val="0041121D"/>
    <w:rsid w:val="004D344F"/>
    <w:rsid w:val="00513973"/>
    <w:rsid w:val="00546D77"/>
    <w:rsid w:val="00717198"/>
    <w:rsid w:val="007C6042"/>
    <w:rsid w:val="008577E8"/>
    <w:rsid w:val="008D3E08"/>
    <w:rsid w:val="00991C0F"/>
    <w:rsid w:val="009B305A"/>
    <w:rsid w:val="00B00277"/>
    <w:rsid w:val="00B2514A"/>
    <w:rsid w:val="00B369EC"/>
    <w:rsid w:val="00BC3417"/>
    <w:rsid w:val="00C93CCC"/>
    <w:rsid w:val="00CE0018"/>
    <w:rsid w:val="00D60A1D"/>
    <w:rsid w:val="00E379B2"/>
    <w:rsid w:val="00E605F9"/>
    <w:rsid w:val="00EA33B6"/>
    <w:rsid w:val="00EB4797"/>
    <w:rsid w:val="00F00583"/>
    <w:rsid w:val="00F34379"/>
    <w:rsid w:val="00F43C1F"/>
    <w:rsid w:val="00F96586"/>
    <w:rsid w:val="00FD453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DB9D97"/>
  <w15:chartTrackingRefBased/>
  <w15:docId w15:val="{D5C0325E-C9FD-4E76-A1D4-6A1D1B83B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Body Text Indent 2"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
    <w:qFormat/>
    <w:rsid w:val="000760AB"/>
    <w:pPr>
      <w:keepNext/>
      <w:spacing w:before="240" w:after="60"/>
      <w:outlineLvl w:val="0"/>
    </w:pPr>
    <w:rPr>
      <w:rFonts w:ascii="Calibri Light" w:hAnsi="Calibri Light"/>
      <w:color w:val="2E74B5"/>
      <w:sz w:val="32"/>
      <w:szCs w:val="32"/>
    </w:rPr>
  </w:style>
  <w:style w:type="paragraph" w:styleId="Heading2">
    <w:name w:val="heading 2"/>
    <w:basedOn w:val="Normal"/>
    <w:next w:val="Normal"/>
    <w:link w:val="Heading2Char"/>
    <w:uiPriority w:val="9"/>
    <w:semiHidden/>
    <w:unhideWhenUsed/>
    <w:qFormat/>
    <w:rsid w:val="000760AB"/>
    <w:pPr>
      <w:keepNext/>
      <w:spacing w:before="240" w:after="60"/>
      <w:outlineLvl w:val="1"/>
    </w:pPr>
    <w:rPr>
      <w:rFonts w:ascii="Calibri Light" w:hAnsi="Calibri Light"/>
      <w:color w:val="2E74B5"/>
      <w:sz w:val="26"/>
      <w:szCs w:val="26"/>
    </w:rPr>
  </w:style>
  <w:style w:type="paragraph" w:styleId="Heading4">
    <w:name w:val="heading 4"/>
    <w:basedOn w:val="Normal"/>
    <w:next w:val="Normal"/>
    <w:link w:val="Heading4Char"/>
    <w:uiPriority w:val="9"/>
    <w:unhideWhenUsed/>
    <w:qFormat/>
    <w:rsid w:val="000760AB"/>
    <w:pPr>
      <w:keepNext/>
      <w:suppressAutoHyphens/>
      <w:spacing w:before="240" w:after="60"/>
      <w:outlineLvl w:val="3"/>
    </w:pPr>
    <w:rPr>
      <w:rFonts w:ascii="Calibri" w:hAnsi="Calibri"/>
      <w:b/>
      <w:bCs/>
      <w:sz w:val="28"/>
      <w:szCs w:val="28"/>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252"/>
        <w:tab w:val="right" w:pos="8504"/>
      </w:tabs>
    </w:pPr>
  </w:style>
  <w:style w:type="paragraph" w:styleId="Footer">
    <w:name w:val="footer"/>
    <w:basedOn w:val="Normal"/>
    <w:link w:val="FooterChar"/>
    <w:uiPriority w:val="99"/>
    <w:pPr>
      <w:tabs>
        <w:tab w:val="center" w:pos="4252"/>
        <w:tab w:val="right" w:pos="8504"/>
      </w:tabs>
    </w:pPr>
  </w:style>
  <w:style w:type="character" w:styleId="PageNumber">
    <w:name w:val="page number"/>
    <w:basedOn w:val="DefaultParagraphFont"/>
  </w:style>
  <w:style w:type="paragraph" w:styleId="BlockText">
    <w:name w:val="Block Text"/>
    <w:basedOn w:val="Normal"/>
    <w:pPr>
      <w:ind w:left="540" w:right="892"/>
      <w:jc w:val="both"/>
    </w:pPr>
    <w:rPr>
      <w:rFonts w:ascii="Arial" w:hAnsi="Arial"/>
      <w:sz w:val="28"/>
    </w:rPr>
  </w:style>
  <w:style w:type="paragraph" w:styleId="FootnoteText">
    <w:name w:val="footnote text"/>
    <w:basedOn w:val="Normal"/>
    <w:link w:val="FootnoteTextChar"/>
    <w:rsid w:val="008577E8"/>
    <w:rPr>
      <w:sz w:val="20"/>
      <w:szCs w:val="20"/>
    </w:rPr>
  </w:style>
  <w:style w:type="character" w:customStyle="1" w:styleId="FootnoteTextChar">
    <w:name w:val="Footnote Text Char"/>
    <w:link w:val="FootnoteText"/>
    <w:rsid w:val="008577E8"/>
    <w:rPr>
      <w:lang w:val="ro-RO" w:eastAsia="es-ES" w:bidi="ar-SA"/>
    </w:rPr>
  </w:style>
  <w:style w:type="paragraph" w:customStyle="1" w:styleId="Ttulo11">
    <w:name w:val="Título 11"/>
    <w:basedOn w:val="Normal"/>
    <w:next w:val="Normal"/>
    <w:uiPriority w:val="9"/>
    <w:qFormat/>
    <w:rsid w:val="000760AB"/>
    <w:pPr>
      <w:keepNext/>
      <w:keepLines/>
      <w:spacing w:before="240" w:line="259" w:lineRule="auto"/>
      <w:outlineLvl w:val="0"/>
    </w:pPr>
    <w:rPr>
      <w:rFonts w:ascii="Calibri Light" w:hAnsi="Calibri Light"/>
      <w:color w:val="2E74B5"/>
      <w:sz w:val="32"/>
      <w:szCs w:val="32"/>
      <w:lang w:eastAsia="en-US"/>
    </w:rPr>
  </w:style>
  <w:style w:type="paragraph" w:customStyle="1" w:styleId="Ttulo21">
    <w:name w:val="Título 21"/>
    <w:basedOn w:val="Normal"/>
    <w:next w:val="Normal"/>
    <w:uiPriority w:val="9"/>
    <w:semiHidden/>
    <w:unhideWhenUsed/>
    <w:qFormat/>
    <w:rsid w:val="000760AB"/>
    <w:pPr>
      <w:keepNext/>
      <w:keepLines/>
      <w:spacing w:before="40" w:line="259" w:lineRule="auto"/>
      <w:outlineLvl w:val="1"/>
    </w:pPr>
    <w:rPr>
      <w:rFonts w:ascii="Calibri Light" w:hAnsi="Calibri Light"/>
      <w:color w:val="2E74B5"/>
      <w:sz w:val="26"/>
      <w:szCs w:val="26"/>
      <w:lang w:eastAsia="en-US"/>
    </w:rPr>
  </w:style>
  <w:style w:type="character" w:customStyle="1" w:styleId="Heading4Char">
    <w:name w:val="Heading 4 Char"/>
    <w:basedOn w:val="DefaultParagraphFont"/>
    <w:link w:val="Heading4"/>
    <w:uiPriority w:val="9"/>
    <w:rsid w:val="000760AB"/>
    <w:rPr>
      <w:rFonts w:ascii="Calibri" w:hAnsi="Calibri"/>
      <w:b/>
      <w:bCs/>
      <w:sz w:val="28"/>
      <w:szCs w:val="28"/>
      <w:lang w:eastAsia="zh-CN"/>
    </w:rPr>
  </w:style>
  <w:style w:type="numbering" w:customStyle="1" w:styleId="Sinlista1">
    <w:name w:val="Sin lista1"/>
    <w:next w:val="NoList"/>
    <w:uiPriority w:val="99"/>
    <w:semiHidden/>
    <w:unhideWhenUsed/>
    <w:rsid w:val="000760AB"/>
  </w:style>
  <w:style w:type="character" w:customStyle="1" w:styleId="Heading1Char">
    <w:name w:val="Heading 1 Char"/>
    <w:link w:val="Heading1"/>
    <w:uiPriority w:val="9"/>
    <w:rsid w:val="000760AB"/>
    <w:rPr>
      <w:rFonts w:ascii="Calibri Light" w:eastAsia="Times New Roman" w:hAnsi="Calibri Light" w:cs="Times New Roman"/>
      <w:color w:val="2E74B5"/>
      <w:sz w:val="32"/>
      <w:szCs w:val="32"/>
    </w:rPr>
  </w:style>
  <w:style w:type="character" w:customStyle="1" w:styleId="Heading2Char">
    <w:name w:val="Heading 2 Char"/>
    <w:link w:val="Heading2"/>
    <w:uiPriority w:val="9"/>
    <w:semiHidden/>
    <w:rsid w:val="000760AB"/>
    <w:rPr>
      <w:rFonts w:ascii="Calibri Light" w:eastAsia="Times New Roman" w:hAnsi="Calibri Light" w:cs="Times New Roman"/>
      <w:color w:val="2E74B5"/>
      <w:sz w:val="26"/>
      <w:szCs w:val="26"/>
    </w:rPr>
  </w:style>
  <w:style w:type="paragraph" w:customStyle="1" w:styleId="Prrafodelista1">
    <w:name w:val="Párrafo de lista1"/>
    <w:basedOn w:val="Normal"/>
    <w:next w:val="ListParagraph"/>
    <w:uiPriority w:val="34"/>
    <w:qFormat/>
    <w:rsid w:val="000760AB"/>
    <w:pPr>
      <w:spacing w:after="160" w:line="259" w:lineRule="auto"/>
      <w:ind w:left="720"/>
      <w:contextualSpacing/>
    </w:pPr>
    <w:rPr>
      <w:rFonts w:ascii="Calibri" w:eastAsia="Calibri" w:hAnsi="Calibri"/>
      <w:sz w:val="22"/>
      <w:szCs w:val="22"/>
      <w:lang w:eastAsia="en-US"/>
    </w:rPr>
  </w:style>
  <w:style w:type="character" w:styleId="CommentReference">
    <w:name w:val="annotation reference"/>
    <w:unhideWhenUsed/>
    <w:rsid w:val="000760AB"/>
    <w:rPr>
      <w:sz w:val="16"/>
      <w:szCs w:val="16"/>
    </w:rPr>
  </w:style>
  <w:style w:type="paragraph" w:customStyle="1" w:styleId="Textocomentario1">
    <w:name w:val="Texto comentario1"/>
    <w:basedOn w:val="Normal"/>
    <w:next w:val="CommentText"/>
    <w:link w:val="TextocomentarioCar"/>
    <w:unhideWhenUsed/>
    <w:qFormat/>
    <w:rsid w:val="000760AB"/>
    <w:pPr>
      <w:spacing w:after="160"/>
    </w:pPr>
    <w:rPr>
      <w:sz w:val="20"/>
      <w:szCs w:val="20"/>
    </w:rPr>
  </w:style>
  <w:style w:type="character" w:customStyle="1" w:styleId="TextocomentarioCar">
    <w:name w:val="Texto comentario Car"/>
    <w:link w:val="Textocomentario1"/>
    <w:rsid w:val="000760AB"/>
    <w:rPr>
      <w:sz w:val="20"/>
      <w:szCs w:val="20"/>
    </w:rPr>
  </w:style>
  <w:style w:type="paragraph" w:customStyle="1" w:styleId="Textodeglobo1">
    <w:name w:val="Texto de globo1"/>
    <w:basedOn w:val="Normal"/>
    <w:next w:val="BalloonText"/>
    <w:link w:val="TextodegloboCar"/>
    <w:uiPriority w:val="99"/>
    <w:semiHidden/>
    <w:unhideWhenUsed/>
    <w:rsid w:val="000760AB"/>
    <w:rPr>
      <w:rFonts w:ascii="Segoe UI" w:hAnsi="Segoe UI" w:cs="Segoe UI"/>
      <w:sz w:val="18"/>
      <w:szCs w:val="18"/>
    </w:rPr>
  </w:style>
  <w:style w:type="character" w:customStyle="1" w:styleId="TextodegloboCar">
    <w:name w:val="Texto de globo Car"/>
    <w:link w:val="Textodeglobo1"/>
    <w:uiPriority w:val="99"/>
    <w:semiHidden/>
    <w:rsid w:val="000760AB"/>
    <w:rPr>
      <w:rFonts w:ascii="Segoe UI" w:hAnsi="Segoe UI" w:cs="Segoe UI"/>
      <w:sz w:val="18"/>
      <w:szCs w:val="18"/>
    </w:rPr>
  </w:style>
  <w:style w:type="paragraph" w:customStyle="1" w:styleId="Asuntodelcomentario1">
    <w:name w:val="Asunto del comentario1"/>
    <w:basedOn w:val="CommentText"/>
    <w:next w:val="CommentText"/>
    <w:uiPriority w:val="99"/>
    <w:semiHidden/>
    <w:unhideWhenUsed/>
    <w:rsid w:val="000760AB"/>
    <w:pPr>
      <w:spacing w:after="160"/>
    </w:pPr>
    <w:rPr>
      <w:rFonts w:ascii="Calibri" w:eastAsia="Calibri" w:hAnsi="Calibri"/>
      <w:b/>
      <w:bCs/>
      <w:lang w:eastAsia="en-US"/>
    </w:rPr>
  </w:style>
  <w:style w:type="character" w:customStyle="1" w:styleId="CommentSubjectChar">
    <w:name w:val="Comment Subject Char"/>
    <w:link w:val="CommentSubject"/>
    <w:uiPriority w:val="99"/>
    <w:semiHidden/>
    <w:rsid w:val="000760AB"/>
    <w:rPr>
      <w:b/>
      <w:bCs/>
      <w:sz w:val="20"/>
      <w:szCs w:val="20"/>
    </w:rPr>
  </w:style>
  <w:style w:type="character" w:customStyle="1" w:styleId="HeaderChar">
    <w:name w:val="Header Char"/>
    <w:basedOn w:val="DefaultParagraphFont"/>
    <w:link w:val="Header"/>
    <w:uiPriority w:val="99"/>
    <w:rsid w:val="000760AB"/>
    <w:rPr>
      <w:sz w:val="24"/>
      <w:szCs w:val="24"/>
    </w:rPr>
  </w:style>
  <w:style w:type="character" w:customStyle="1" w:styleId="FooterChar">
    <w:name w:val="Footer Char"/>
    <w:basedOn w:val="DefaultParagraphFont"/>
    <w:link w:val="Footer"/>
    <w:uiPriority w:val="99"/>
    <w:rsid w:val="000760AB"/>
    <w:rPr>
      <w:sz w:val="24"/>
      <w:szCs w:val="24"/>
    </w:rPr>
  </w:style>
  <w:style w:type="table" w:customStyle="1" w:styleId="Tablaconcuadrcula1">
    <w:name w:val="Tabla con cuadrícula1"/>
    <w:basedOn w:val="TableNormal"/>
    <w:next w:val="TableGrid"/>
    <w:uiPriority w:val="39"/>
    <w:rsid w:val="000760A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760AB"/>
    <w:pPr>
      <w:autoSpaceDE w:val="0"/>
      <w:autoSpaceDN w:val="0"/>
      <w:adjustRightInd w:val="0"/>
    </w:pPr>
    <w:rPr>
      <w:rFonts w:ascii="Arial" w:eastAsia="Calibri" w:hAnsi="Arial" w:cs="Arial"/>
      <w:color w:val="000000"/>
      <w:sz w:val="24"/>
      <w:szCs w:val="24"/>
      <w:lang w:eastAsia="en-US"/>
    </w:rPr>
  </w:style>
  <w:style w:type="character" w:customStyle="1" w:styleId="st1">
    <w:name w:val="st1"/>
    <w:basedOn w:val="DefaultParagraphFont"/>
    <w:rsid w:val="000760AB"/>
  </w:style>
  <w:style w:type="paragraph" w:customStyle="1" w:styleId="CTENumeracion">
    <w:name w:val="CTE_Numeracion"/>
    <w:basedOn w:val="Normal"/>
    <w:qFormat/>
    <w:rsid w:val="000760AB"/>
    <w:pPr>
      <w:spacing w:before="60" w:after="60"/>
      <w:ind w:left="357" w:hanging="357"/>
      <w:jc w:val="both"/>
    </w:pPr>
    <w:rPr>
      <w:rFonts w:ascii="Arial" w:hAnsi="Arial"/>
      <w:sz w:val="20"/>
    </w:rPr>
  </w:style>
  <w:style w:type="character" w:customStyle="1" w:styleId="CTEModTachaprob">
    <w:name w:val="CTE_Mod_Tach_aprob"/>
    <w:rsid w:val="000760AB"/>
    <w:rPr>
      <w:strike w:val="0"/>
      <w:dstrike w:val="0"/>
      <w:shd w:val="clear" w:color="auto" w:fill="FFFF00"/>
    </w:rPr>
  </w:style>
  <w:style w:type="paragraph" w:styleId="BodyTextIndent2">
    <w:name w:val="Body Text Indent 2"/>
    <w:basedOn w:val="Normal"/>
    <w:link w:val="BodyTextIndent2Char"/>
    <w:uiPriority w:val="99"/>
    <w:unhideWhenUsed/>
    <w:rsid w:val="000760AB"/>
    <w:pPr>
      <w:suppressAutoHyphens/>
      <w:spacing w:after="120" w:line="480" w:lineRule="auto"/>
      <w:ind w:left="283"/>
    </w:pPr>
    <w:rPr>
      <w:sz w:val="20"/>
      <w:szCs w:val="20"/>
      <w:lang w:eastAsia="zh-CN"/>
    </w:rPr>
  </w:style>
  <w:style w:type="character" w:customStyle="1" w:styleId="BodyTextIndent2Char">
    <w:name w:val="Body Text Indent 2 Char"/>
    <w:basedOn w:val="DefaultParagraphFont"/>
    <w:link w:val="BodyTextIndent2"/>
    <w:uiPriority w:val="99"/>
    <w:rsid w:val="000760AB"/>
    <w:rPr>
      <w:lang w:eastAsia="zh-CN"/>
    </w:rPr>
  </w:style>
  <w:style w:type="paragraph" w:customStyle="1" w:styleId="CteTtulo3">
    <w:name w:val="CteTítulo3"/>
    <w:basedOn w:val="Normal"/>
    <w:next w:val="Normal"/>
    <w:autoRedefine/>
    <w:rsid w:val="000760AB"/>
    <w:pPr>
      <w:keepNext/>
      <w:numPr>
        <w:ilvl w:val="2"/>
      </w:numPr>
      <w:spacing w:before="60" w:after="120"/>
      <w:ind w:left="851"/>
      <w:jc w:val="both"/>
      <w:outlineLvl w:val="3"/>
    </w:pPr>
    <w:rPr>
      <w:rFonts w:ascii="Arial" w:hAnsi="Arial"/>
      <w:b/>
      <w:bCs/>
      <w:sz w:val="22"/>
      <w:szCs w:val="22"/>
      <w:lang w:eastAsia="zh-CN"/>
    </w:rPr>
  </w:style>
  <w:style w:type="paragraph" w:customStyle="1" w:styleId="CteAnejo-TituloSeccion">
    <w:name w:val="CteAnejo-TituloSeccion"/>
    <w:basedOn w:val="Normal"/>
    <w:rsid w:val="000760AB"/>
    <w:pPr>
      <w:keepNext/>
      <w:spacing w:before="480" w:after="160"/>
      <w:outlineLvl w:val="0"/>
    </w:pPr>
    <w:rPr>
      <w:rFonts w:ascii="Arial" w:hAnsi="Arial"/>
      <w:b/>
      <w:bCs/>
      <w:sz w:val="32"/>
    </w:rPr>
  </w:style>
  <w:style w:type="character" w:customStyle="1" w:styleId="EstiloCTEModTachaprob16ptNegritaSinTachado">
    <w:name w:val="Estilo CTE_Mod_Tach_aprob + 16 pt Negrita Sin Tachado"/>
    <w:rsid w:val="000760AB"/>
    <w:rPr>
      <w:rFonts w:ascii="Arial" w:hAnsi="Arial"/>
      <w:b/>
      <w:bCs/>
      <w:strike/>
      <w:dstrike w:val="0"/>
      <w:sz w:val="32"/>
      <w:bdr w:val="none" w:sz="0" w:space="0" w:color="auto"/>
      <w:shd w:val="clear" w:color="auto" w:fill="auto"/>
    </w:rPr>
  </w:style>
  <w:style w:type="character" w:customStyle="1" w:styleId="EstiloCTEModTachaprobSinTachado">
    <w:name w:val="Estilo CTE_Mod_Tach_aprob + Sin Tachado"/>
    <w:rsid w:val="000760AB"/>
    <w:rPr>
      <w:strike/>
      <w:dstrike w:val="0"/>
      <w:bdr w:val="none" w:sz="0" w:space="0" w:color="auto"/>
      <w:shd w:val="clear" w:color="auto" w:fill="auto"/>
    </w:rPr>
  </w:style>
  <w:style w:type="paragraph" w:customStyle="1" w:styleId="Textoindependiente1">
    <w:name w:val="Texto independiente1"/>
    <w:basedOn w:val="Normal"/>
    <w:next w:val="BodyText"/>
    <w:link w:val="TextoindependienteCar"/>
    <w:uiPriority w:val="99"/>
    <w:semiHidden/>
    <w:unhideWhenUsed/>
    <w:rsid w:val="000760AB"/>
    <w:pPr>
      <w:spacing w:after="120" w:line="259" w:lineRule="auto"/>
    </w:pPr>
    <w:rPr>
      <w:sz w:val="20"/>
      <w:szCs w:val="20"/>
    </w:rPr>
  </w:style>
  <w:style w:type="character" w:customStyle="1" w:styleId="TextoindependienteCar">
    <w:name w:val="Texto independiente Car"/>
    <w:basedOn w:val="DefaultParagraphFont"/>
    <w:link w:val="Textoindependiente1"/>
    <w:uiPriority w:val="99"/>
    <w:semiHidden/>
    <w:rsid w:val="000760AB"/>
  </w:style>
  <w:style w:type="paragraph" w:customStyle="1" w:styleId="nota">
    <w:name w:val="nota"/>
    <w:basedOn w:val="Normal"/>
    <w:rsid w:val="000760AB"/>
    <w:pPr>
      <w:tabs>
        <w:tab w:val="left" w:pos="1122"/>
        <w:tab w:val="left" w:pos="1309"/>
      </w:tabs>
      <w:jc w:val="both"/>
    </w:pPr>
    <w:rPr>
      <w:rFonts w:ascii="Arial" w:hAnsi="Arial" w:cs="Arial"/>
      <w:bCs/>
      <w:sz w:val="20"/>
    </w:rPr>
  </w:style>
  <w:style w:type="paragraph" w:customStyle="1" w:styleId="Ttulo1CTE">
    <w:name w:val="Título1CTE"/>
    <w:basedOn w:val="Heading1"/>
    <w:next w:val="Normal"/>
    <w:autoRedefine/>
    <w:rsid w:val="000760AB"/>
  </w:style>
  <w:style w:type="paragraph" w:customStyle="1" w:styleId="artculo-tex">
    <w:name w:val="artículo-tex"/>
    <w:basedOn w:val="Normal"/>
    <w:rsid w:val="000760AB"/>
    <w:pPr>
      <w:pBdr>
        <w:top w:val="single" w:sz="4" w:space="1" w:color="00000A"/>
        <w:left w:val="single" w:sz="4" w:space="4" w:color="00000A"/>
        <w:bottom w:val="single" w:sz="4" w:space="1" w:color="00000A"/>
        <w:right w:val="single" w:sz="4" w:space="4" w:color="00000A"/>
      </w:pBdr>
      <w:suppressAutoHyphens/>
      <w:autoSpaceDN w:val="0"/>
      <w:spacing w:before="60" w:after="60"/>
      <w:textAlignment w:val="baseline"/>
    </w:pPr>
    <w:rPr>
      <w:rFonts w:ascii="Arial" w:eastAsia="Arial" w:hAnsi="Arial" w:cs="Arial"/>
      <w:kern w:val="3"/>
      <w:sz w:val="22"/>
      <w:lang w:bidi="hi-IN"/>
    </w:rPr>
  </w:style>
  <w:style w:type="numbering" w:customStyle="1" w:styleId="WWNum3">
    <w:name w:val="WWNum3"/>
    <w:basedOn w:val="NoList"/>
    <w:rsid w:val="000760AB"/>
    <w:pPr>
      <w:numPr>
        <w:numId w:val="7"/>
      </w:numPr>
    </w:pPr>
  </w:style>
  <w:style w:type="paragraph" w:customStyle="1" w:styleId="Revisin1">
    <w:name w:val="Revisión1"/>
    <w:next w:val="Revision"/>
    <w:hidden/>
    <w:uiPriority w:val="99"/>
    <w:semiHidden/>
    <w:rsid w:val="000760AB"/>
    <w:rPr>
      <w:rFonts w:ascii="Calibri" w:eastAsia="Calibri" w:hAnsi="Calibri"/>
      <w:sz w:val="22"/>
      <w:szCs w:val="22"/>
      <w:lang w:eastAsia="en-US"/>
    </w:rPr>
  </w:style>
  <w:style w:type="paragraph" w:customStyle="1" w:styleId="NormalWeb1">
    <w:name w:val="Normal (Web)1"/>
    <w:basedOn w:val="Normal"/>
    <w:next w:val="NormalWeb"/>
    <w:uiPriority w:val="99"/>
    <w:semiHidden/>
    <w:unhideWhenUsed/>
    <w:rsid w:val="000760AB"/>
    <w:pPr>
      <w:spacing w:before="100" w:beforeAutospacing="1" w:after="100" w:afterAutospacing="1"/>
    </w:pPr>
    <w:rPr>
      <w:rFonts w:eastAsia="Calibri"/>
    </w:rPr>
  </w:style>
  <w:style w:type="paragraph" w:customStyle="1" w:styleId="CTENormal">
    <w:name w:val="CTE_Normal"/>
    <w:basedOn w:val="Normal"/>
    <w:qFormat/>
    <w:rsid w:val="000760AB"/>
    <w:pPr>
      <w:spacing w:before="200" w:after="100"/>
    </w:pPr>
    <w:rPr>
      <w:rFonts w:ascii="Arial" w:eastAsia="Arial" w:hAnsi="Arial" w:cs="Arial"/>
      <w:kern w:val="2"/>
      <w:sz w:val="22"/>
      <w:lang w:eastAsia="zh-CN" w:bidi="hi-IN"/>
    </w:rPr>
  </w:style>
  <w:style w:type="paragraph" w:customStyle="1" w:styleId="CteTtulo2">
    <w:name w:val="CteTítulo2"/>
    <w:basedOn w:val="Heading2"/>
    <w:qFormat/>
    <w:rsid w:val="000760AB"/>
  </w:style>
  <w:style w:type="character" w:customStyle="1" w:styleId="Ninguno">
    <w:name w:val="Ninguno"/>
    <w:rsid w:val="000760AB"/>
  </w:style>
  <w:style w:type="character" w:customStyle="1" w:styleId="Ttulo1Car1">
    <w:name w:val="Título 1 Car1"/>
    <w:basedOn w:val="DefaultParagraphFont"/>
    <w:rsid w:val="000760AB"/>
    <w:rPr>
      <w:rFonts w:asciiTheme="majorHAnsi" w:eastAsiaTheme="majorEastAsia" w:hAnsiTheme="majorHAnsi" w:cstheme="majorBidi"/>
      <w:b/>
      <w:bCs/>
      <w:kern w:val="32"/>
      <w:sz w:val="32"/>
      <w:szCs w:val="32"/>
    </w:rPr>
  </w:style>
  <w:style w:type="character" w:customStyle="1" w:styleId="Ttulo2Car1">
    <w:name w:val="Título 2 Car1"/>
    <w:basedOn w:val="DefaultParagraphFont"/>
    <w:semiHidden/>
    <w:rsid w:val="000760AB"/>
    <w:rPr>
      <w:rFonts w:asciiTheme="majorHAnsi" w:eastAsiaTheme="majorEastAsia" w:hAnsiTheme="majorHAnsi" w:cstheme="majorBidi"/>
      <w:b/>
      <w:bCs/>
      <w:i/>
      <w:iCs/>
      <w:sz w:val="28"/>
      <w:szCs w:val="28"/>
    </w:rPr>
  </w:style>
  <w:style w:type="paragraph" w:styleId="ListParagraph">
    <w:name w:val="List Paragraph"/>
    <w:basedOn w:val="Normal"/>
    <w:uiPriority w:val="34"/>
    <w:qFormat/>
    <w:rsid w:val="000760AB"/>
    <w:pPr>
      <w:ind w:left="708"/>
    </w:pPr>
  </w:style>
  <w:style w:type="paragraph" w:styleId="CommentText">
    <w:name w:val="annotation text"/>
    <w:basedOn w:val="Normal"/>
    <w:link w:val="CommentTextChar"/>
    <w:rsid w:val="000760AB"/>
    <w:rPr>
      <w:sz w:val="20"/>
      <w:szCs w:val="20"/>
    </w:rPr>
  </w:style>
  <w:style w:type="character" w:customStyle="1" w:styleId="CommentTextChar">
    <w:name w:val="Comment Text Char"/>
    <w:basedOn w:val="DefaultParagraphFont"/>
    <w:link w:val="CommentText"/>
    <w:rsid w:val="000760AB"/>
  </w:style>
  <w:style w:type="paragraph" w:styleId="BalloonText">
    <w:name w:val="Balloon Text"/>
    <w:basedOn w:val="Normal"/>
    <w:link w:val="BalloonTextChar"/>
    <w:semiHidden/>
    <w:unhideWhenUsed/>
    <w:rsid w:val="000760AB"/>
    <w:rPr>
      <w:rFonts w:ascii="Segoe UI" w:hAnsi="Segoe UI" w:cs="Segoe UI"/>
      <w:sz w:val="18"/>
      <w:szCs w:val="18"/>
    </w:rPr>
  </w:style>
  <w:style w:type="character" w:customStyle="1" w:styleId="BalloonTextChar">
    <w:name w:val="Balloon Text Char"/>
    <w:basedOn w:val="DefaultParagraphFont"/>
    <w:link w:val="BalloonText"/>
    <w:semiHidden/>
    <w:rsid w:val="000760AB"/>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0760AB"/>
    <w:rPr>
      <w:b/>
      <w:bCs/>
    </w:rPr>
  </w:style>
  <w:style w:type="character" w:customStyle="1" w:styleId="AsuntodelcomentarioCar1">
    <w:name w:val="Asunto del comentario Car1"/>
    <w:basedOn w:val="CommentTextChar"/>
    <w:semiHidden/>
    <w:rsid w:val="000760AB"/>
    <w:rPr>
      <w:b/>
      <w:bCs/>
    </w:rPr>
  </w:style>
  <w:style w:type="table" w:styleId="TableGrid">
    <w:name w:val="Table Grid"/>
    <w:basedOn w:val="TableNormal"/>
    <w:rsid w:val="000760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0760AB"/>
    <w:pPr>
      <w:spacing w:after="120"/>
    </w:pPr>
  </w:style>
  <w:style w:type="character" w:customStyle="1" w:styleId="BodyTextChar">
    <w:name w:val="Body Text Char"/>
    <w:basedOn w:val="DefaultParagraphFont"/>
    <w:link w:val="BodyText"/>
    <w:rsid w:val="000760AB"/>
    <w:rPr>
      <w:sz w:val="24"/>
      <w:szCs w:val="24"/>
    </w:rPr>
  </w:style>
  <w:style w:type="paragraph" w:styleId="Revision">
    <w:name w:val="Revision"/>
    <w:hidden/>
    <w:uiPriority w:val="99"/>
    <w:semiHidden/>
    <w:rsid w:val="000760AB"/>
    <w:rPr>
      <w:sz w:val="24"/>
      <w:szCs w:val="24"/>
    </w:rPr>
  </w:style>
  <w:style w:type="paragraph" w:styleId="NormalWeb">
    <w:name w:val="Normal (Web)"/>
    <w:basedOn w:val="Normal"/>
    <w:rsid w:val="000760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F:\PLANTILLAS\R.D.%20BLANCA.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R.D. BLANCA</Template>
  <TotalTime>0</TotalTime>
  <Pages>17</Pages>
  <Words>7713</Words>
  <Characters>45822</Characters>
  <Application>Microsoft Office Word</Application>
  <DocSecurity>0</DocSecurity>
  <Lines>636</Lines>
  <Paragraphs>286</Paragraphs>
  <ScaleCrop>false</ScaleCrop>
  <HeadingPairs>
    <vt:vector size="2" baseType="variant">
      <vt:variant>
        <vt:lpstr>Título</vt:lpstr>
      </vt:variant>
      <vt:variant>
        <vt:i4>1</vt:i4>
      </vt:variant>
    </vt:vector>
  </HeadingPairs>
  <TitlesOfParts>
    <vt:vector size="1" baseType="lpstr">
      <vt:lpstr>Se propone al Consejo de Ministros la aprobación del siguiente proyecto de disposición:</vt:lpstr>
    </vt:vector>
  </TitlesOfParts>
  <Company/>
  <LinksUpToDate>false</LinksUpToDate>
  <CharactersWithSpaces>53249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 propone al Consejo de Ministros la aprobación del siguiente proyecto de disposición:</dc:title>
  <dc:subject/>
  <dc:creator>mlasalgado</dc:creator>
  <cp:keywords>class='Internal'</cp:keywords>
  <dc:description/>
  <cp:lastModifiedBy>Ines Varvodic</cp:lastModifiedBy>
  <cp:revision>2</cp:revision>
  <cp:lastPrinted>2002-07-26T08:33:00Z</cp:lastPrinted>
  <dcterms:created xsi:type="dcterms:W3CDTF">2022-09-12T07:38:00Z</dcterms:created>
  <dcterms:modified xsi:type="dcterms:W3CDTF">2022-09-12T07:38:00Z</dcterms:modified>
</cp:coreProperties>
</file>