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4DFE" w:rsidRDefault="00F24DFE" w:rsidP="00D216A8">
      <w:pPr>
        <w:jc w:val="both"/>
      </w:pPr>
      <w:r w:rsidRPr="00D216A8">
        <w:t>DECRETO</w:t>
      </w:r>
    </w:p>
    <w:p w:rsidR="00F24DFE" w:rsidRDefault="00F24DFE" w:rsidP="00D216A8">
      <w:pPr>
        <w:jc w:val="both"/>
      </w:pPr>
    </w:p>
    <w:p w:rsidR="00F24DFE" w:rsidRPr="00D216A8" w:rsidRDefault="00F24DFE" w:rsidP="00D216A8">
      <w:pPr>
        <w:jc w:val="both"/>
      </w:pPr>
      <w:r w:rsidRPr="00D216A8">
        <w:t>Approvazione di norme tecniche di prevenzione incendi per gli edifici sottoposti a tutela ai sensi del decreto legislativo 22 gennaio 2004, n, 42, aperti al pubblico, contenenti una o più attività ricomprese nell’allegato I al decreto del Presidente della Repubblica 1° agosto 2011, n.151, ivi individuate con il numero 72, ad esclusione di musei gallerie, esposizioni, mostre, biblioteche e archivi, ai sensi dell’art.15 del decreto legislativo 8 marzo 2006, n. 139</w:t>
      </w:r>
    </w:p>
    <w:p w:rsidR="00F24DFE" w:rsidRPr="00D216A8" w:rsidRDefault="00F24DFE" w:rsidP="00D216A8">
      <w:pPr>
        <w:jc w:val="both"/>
      </w:pPr>
    </w:p>
    <w:p w:rsidR="00F24DFE" w:rsidRPr="00D216A8" w:rsidRDefault="00F24DFE" w:rsidP="00D216A8">
      <w:pPr>
        <w:jc w:val="center"/>
        <w:rPr>
          <w:sz w:val="28"/>
          <w:szCs w:val="28"/>
        </w:rPr>
      </w:pPr>
      <w:r w:rsidRPr="00D216A8">
        <w:rPr>
          <w:rFonts w:cs="TimesNewRomanPSMT"/>
          <w:sz w:val="28"/>
          <w:szCs w:val="28"/>
        </w:rPr>
        <w:t>Il Ministro dell’interno</w:t>
      </w:r>
    </w:p>
    <w:p w:rsidR="00F24DFE" w:rsidRPr="00D216A8" w:rsidRDefault="00F24DFE">
      <w:pPr>
        <w:jc w:val="center"/>
        <w:rPr>
          <w:sz w:val="28"/>
          <w:szCs w:val="28"/>
        </w:rPr>
      </w:pPr>
      <w:r w:rsidRPr="00D216A8">
        <w:rPr>
          <w:rFonts w:cs="TimesNewRomanPSMT"/>
          <w:sz w:val="28"/>
          <w:szCs w:val="28"/>
        </w:rPr>
        <w:t>di concerto con</w:t>
      </w:r>
    </w:p>
    <w:p w:rsidR="00F24DFE" w:rsidRPr="00D216A8" w:rsidRDefault="00F24DFE">
      <w:pPr>
        <w:jc w:val="center"/>
        <w:rPr>
          <w:sz w:val="28"/>
          <w:szCs w:val="28"/>
        </w:rPr>
      </w:pPr>
      <w:r w:rsidRPr="00D216A8">
        <w:rPr>
          <w:rFonts w:cs="TimesNewRomanPSMT"/>
          <w:sz w:val="28"/>
          <w:szCs w:val="28"/>
        </w:rPr>
        <w:t>il Ministro della cultura</w:t>
      </w:r>
    </w:p>
    <w:p w:rsidR="00F24DFE" w:rsidRDefault="00F24DFE">
      <w:pPr>
        <w:jc w:val="both"/>
        <w:rPr>
          <w:rFonts w:ascii="TimesNewRomanPSMT" w:hAnsi="TimesNewRomanPSMT" w:cs="TimesNewRomanPSMT"/>
          <w:sz w:val="21"/>
          <w:szCs w:val="21"/>
        </w:rPr>
      </w:pPr>
    </w:p>
    <w:p w:rsidR="00F24DFE" w:rsidRDefault="00F24DFE" w:rsidP="00BC073C">
      <w:pPr>
        <w:ind w:firstLine="720"/>
        <w:jc w:val="both"/>
      </w:pPr>
      <w:r>
        <w:t xml:space="preserve">Visto il decreto legislativo 8 marzo 2006, n. 139, recante “Riassetto delle disposizioni relative alle funzioni ed ai compiti del Corpo nazionale dei vigili del fuoco, a norma dell’articolo 11 della legge 29 luglio 2003, n. </w:t>
      </w:r>
      <w:smartTag w:uri="urn:schemas-microsoft-com:office:smarttags" w:element="metricconverter">
        <w:smartTagPr>
          <w:attr w:name="ProductID" w:val="229”"/>
        </w:smartTagPr>
        <w:r>
          <w:t>229”</w:t>
        </w:r>
      </w:smartTag>
      <w:r>
        <w:t>, e successive modificazioni;</w:t>
      </w:r>
    </w:p>
    <w:p w:rsidR="00F24DFE" w:rsidRDefault="00F24DFE" w:rsidP="00BC073C">
      <w:pPr>
        <w:ind w:firstLine="720"/>
        <w:jc w:val="both"/>
      </w:pPr>
    </w:p>
    <w:p w:rsidR="00F24DFE" w:rsidRDefault="00F24DFE" w:rsidP="00BC073C">
      <w:pPr>
        <w:ind w:firstLine="720"/>
        <w:jc w:val="both"/>
      </w:pPr>
      <w:r>
        <w:t xml:space="preserve">Visto il decreto legislativo 22 gennaio 2004, n. 42 recante “Codice dei beni culturali e del paesaggio, ai sensi ai sensi dell'articolo 10 della legge 6 luglio 2002, n. </w:t>
      </w:r>
      <w:smartTag w:uri="urn:schemas-microsoft-com:office:smarttags" w:element="metricconverter">
        <w:smartTagPr>
          <w:attr w:name="ProductID" w:val="137”"/>
        </w:smartTagPr>
        <w:r>
          <w:t>137”</w:t>
        </w:r>
      </w:smartTag>
      <w:r>
        <w:t xml:space="preserve"> e successive modificazioni;</w:t>
      </w:r>
    </w:p>
    <w:p w:rsidR="00F24DFE" w:rsidRDefault="00F24DFE" w:rsidP="00BC073C">
      <w:pPr>
        <w:spacing w:before="240"/>
        <w:ind w:firstLine="720"/>
        <w:jc w:val="both"/>
      </w:pPr>
      <w:r>
        <w:t>Visto il decreto del Presidente della Repubblica 1° agosto 2011, n. 151, recante “Regolamento per la semplificazione della disciplina dei procedimenti relativi alla prevenzione degli incendi, a norma dell’articolo 49, comma 4</w:t>
      </w:r>
      <w:r>
        <w:rPr>
          <w:i/>
          <w:iCs/>
        </w:rPr>
        <w:t>-quater</w:t>
      </w:r>
      <w:r>
        <w:t xml:space="preserve">, del decreto-legge 31 maggio 2010, n. 78, convertito, con modificazioni, dalla legge 30 luglio 2010, n. </w:t>
      </w:r>
      <w:smartTag w:uri="urn:schemas-microsoft-com:office:smarttags" w:element="metricconverter">
        <w:smartTagPr>
          <w:attr w:name="ProductID" w:val="122”"/>
        </w:smartTagPr>
        <w:r>
          <w:t>122”</w:t>
        </w:r>
      </w:smartTag>
      <w:r>
        <w:t xml:space="preserve"> e successive modificazioni;</w:t>
      </w:r>
    </w:p>
    <w:p w:rsidR="00F24DFE" w:rsidRDefault="00F24DFE" w:rsidP="00BC073C">
      <w:pPr>
        <w:spacing w:before="240"/>
        <w:ind w:firstLine="720"/>
        <w:jc w:val="both"/>
      </w:pPr>
      <w:r>
        <w:t xml:space="preserve">Visto il decreto del Ministro dell’interno 7 agosto 2012, recante “Disposizioni relative alle modalità di presentazione delle istanze concernenti i procedimenti di prevenzione incendi e alla documentazione da allegare, ai sensi dell’articolo 2, comma 7, del decreto del Presidente della Repubblica 1° agosto 2011, n. </w:t>
      </w:r>
      <w:smartTag w:uri="urn:schemas-microsoft-com:office:smarttags" w:element="metricconverter">
        <w:smartTagPr>
          <w:attr w:name="ProductID" w:val="151”"/>
        </w:smartTagPr>
        <w:r>
          <w:t>151”</w:t>
        </w:r>
      </w:smartTag>
      <w:r>
        <w:t xml:space="preserve">, pubblicato nella </w:t>
      </w:r>
      <w:r>
        <w:rPr>
          <w:iCs/>
        </w:rPr>
        <w:t xml:space="preserve">Gazzetta ufficiale </w:t>
      </w:r>
      <w:r>
        <w:t>della Repubblica italiana, n. 201 del 29 agosto 2012;</w:t>
      </w:r>
    </w:p>
    <w:p w:rsidR="00F24DFE" w:rsidRDefault="00F24DFE" w:rsidP="00BC073C">
      <w:pPr>
        <w:spacing w:before="240"/>
        <w:ind w:firstLine="720"/>
        <w:jc w:val="both"/>
      </w:pPr>
      <w:r>
        <w:t xml:space="preserve">Visto il decreto del Ministro dell’interno 3 agosto 2015, recante “Approvazione di norme tecniche di prevenzione incendi, ai sensi dell’articolo 15 del decreto legislativo 8 marzo 2006, n. </w:t>
      </w:r>
      <w:smartTag w:uri="urn:schemas-microsoft-com:office:smarttags" w:element="metricconverter">
        <w:smartTagPr>
          <w:attr w:name="ProductID" w:val="139”"/>
        </w:smartTagPr>
        <w:r>
          <w:t>139”</w:t>
        </w:r>
      </w:smartTag>
      <w:r>
        <w:t xml:space="preserve">, e successive modificazioni, pubblicato nella </w:t>
      </w:r>
      <w:r>
        <w:rPr>
          <w:iCs/>
        </w:rPr>
        <w:t xml:space="preserve">Gazzetta ufficiale </w:t>
      </w:r>
      <w:r>
        <w:t>della Repubblica italiana, n. 192 del 20 agosto 2015;</w:t>
      </w:r>
    </w:p>
    <w:p w:rsidR="00F24DFE" w:rsidRDefault="00F24DFE" w:rsidP="00BC073C">
      <w:pPr>
        <w:spacing w:before="240"/>
        <w:ind w:firstLine="720"/>
        <w:jc w:val="both"/>
      </w:pPr>
      <w:r>
        <w:t>Visto il decreto del Presidente del Consiglio dei Ministri 2 dicembre 2019, n. 169, recante “Regolamento di organizzazione del Ministero per i beni e le attività culturali e per il turismo, degli uffici di diretta collaborazione del Ministro e dell’organismo indipendente di valutazione della performance”;</w:t>
      </w:r>
    </w:p>
    <w:p w:rsidR="00F24DFE" w:rsidRDefault="00F24DFE" w:rsidP="00BC073C">
      <w:pPr>
        <w:spacing w:before="240"/>
        <w:ind w:firstLine="720"/>
        <w:jc w:val="both"/>
      </w:pPr>
      <w:r>
        <w:t>Sentito il Comitato centrale tecnico-scientifico per la prevenzione incendi di cui all’articolo 21 del decreto legislativo 8 marzo 2006, n. 139;</w:t>
      </w:r>
    </w:p>
    <w:p w:rsidR="00F24DFE" w:rsidRDefault="00F24DFE" w:rsidP="00BC073C">
      <w:pPr>
        <w:spacing w:before="240"/>
        <w:ind w:firstLine="720"/>
        <w:jc w:val="both"/>
      </w:pPr>
      <w:r>
        <w:t>Ritenuto di dover definire, nell’ambito delle norme tecniche di cui al decreto del Ministro dell’interno 3 agosto 2015, specifiche misure tecniche di prevenzione incendi per gli edifici sottoposti a tutela ai sensi del decreto legislativo 22 gennaio 2004, n. 42, aperti al pubblico, contenenti una o più attività ricomprese nell’allegato I al decreto del Presidente della Repubblica 1° agosto 2011, n. 151, ad esclusione di musei, gallerie, esposizioni, mostre, biblioteche e archivi;</w:t>
      </w:r>
    </w:p>
    <w:p w:rsidR="00F24DFE" w:rsidRDefault="00F24DFE" w:rsidP="00BC073C">
      <w:pPr>
        <w:spacing w:before="240"/>
        <w:ind w:firstLine="720"/>
        <w:jc w:val="both"/>
        <w:rPr>
          <w:color w:val="000000"/>
        </w:rPr>
      </w:pPr>
      <w:r>
        <w:rPr>
          <w:color w:val="000000"/>
        </w:rPr>
        <w:t>Espletata la procedura di informazione ai sensi della direttiva (UE) 2015/1535;</w:t>
      </w:r>
    </w:p>
    <w:p w:rsidR="00F24DFE" w:rsidRDefault="00F24DFE">
      <w:pPr>
        <w:spacing w:before="240"/>
        <w:jc w:val="both"/>
      </w:pPr>
    </w:p>
    <w:p w:rsidR="00F24DFE" w:rsidRDefault="00F24DFE">
      <w:pPr>
        <w:jc w:val="center"/>
        <w:rPr>
          <w:i/>
        </w:rPr>
      </w:pPr>
      <w:r>
        <w:rPr>
          <w:i/>
        </w:rPr>
        <w:t>Decreta</w:t>
      </w:r>
    </w:p>
    <w:p w:rsidR="00F24DFE" w:rsidRDefault="00F24DFE">
      <w:pPr>
        <w:jc w:val="center"/>
      </w:pPr>
    </w:p>
    <w:p w:rsidR="00F24DFE" w:rsidRDefault="00F24DFE">
      <w:pPr>
        <w:jc w:val="center"/>
      </w:pPr>
      <w:r>
        <w:t>Art. 1</w:t>
      </w:r>
    </w:p>
    <w:p w:rsidR="00F24DFE" w:rsidRDefault="00F24DFE">
      <w:pPr>
        <w:jc w:val="center"/>
        <w:rPr>
          <w:i/>
        </w:rPr>
      </w:pPr>
      <w:r>
        <w:rPr>
          <w:i/>
        </w:rPr>
        <w:t>(Nuove norme tecniche di prevenzione incendi per edifici sottoposti a tutela)</w:t>
      </w:r>
    </w:p>
    <w:p w:rsidR="00F24DFE" w:rsidRDefault="00F24DFE">
      <w:pPr>
        <w:jc w:val="both"/>
      </w:pPr>
    </w:p>
    <w:p w:rsidR="00F24DFE" w:rsidRDefault="00F24DFE">
      <w:pPr>
        <w:jc w:val="both"/>
      </w:pPr>
      <w:r>
        <w:rPr>
          <w:color w:val="000000"/>
        </w:rPr>
        <w:t>1. Sono approvate le norme tecniche di prevenzione incendi di cui all’allegato 1, che costituisce parte integrante del presente decreto, per gl</w:t>
      </w:r>
      <w:r>
        <w:t>i edifici sottoposti a tutela ai sensi del decreto legislativo 22 gennaio 2004, n. 42, aperti al pubblico, contenenti una o più attività ricomprese nell’allegato I al decreto del Presidente della Repubblica 1° agosto 2011, n. 151, ivi individuate con il numero 72, ad esclusione di musei, gallerie, esposizioni, mostre, biblioteche e archivi.</w:t>
      </w:r>
    </w:p>
    <w:p w:rsidR="00F24DFE" w:rsidRDefault="00F24DFE">
      <w:pPr>
        <w:jc w:val="both"/>
      </w:pPr>
    </w:p>
    <w:p w:rsidR="00F24DFE" w:rsidRDefault="00F24DFE">
      <w:pPr>
        <w:jc w:val="center"/>
      </w:pPr>
      <w:r>
        <w:t>Art. 2</w:t>
      </w:r>
    </w:p>
    <w:p w:rsidR="00F24DFE" w:rsidRDefault="00F24DFE">
      <w:pPr>
        <w:jc w:val="center"/>
        <w:rPr>
          <w:i/>
        </w:rPr>
      </w:pPr>
      <w:r>
        <w:rPr>
          <w:i/>
        </w:rPr>
        <w:t>(Campo di applicazione)</w:t>
      </w:r>
    </w:p>
    <w:p w:rsidR="00F24DFE" w:rsidRDefault="00F24DFE">
      <w:pPr>
        <w:jc w:val="both"/>
      </w:pPr>
    </w:p>
    <w:p w:rsidR="00F24DFE" w:rsidRDefault="00F24DFE">
      <w:pPr>
        <w:jc w:val="both"/>
      </w:pPr>
      <w:r>
        <w:t>1. Le norme tecniche di cui all’articolo 1 si possono applicare agli edifici sottoposti a tutela ai sensi del decreto legislativo 22 gennaio 2004, n. 42, aperti al pubblico, contenenti una o più attività ricomprese nell’allegato I del decreto del Presidente della Repubblica 1° agosto 2011, n. 151, ivi individuate con il numero 72, ad esclusione di musei, gallerie, esposizioni, mostre, biblioteche e archivi, esistenti alla data di entrata in vigore del presente decreto ovvero a quelle di nuova realizzazione.</w:t>
      </w:r>
    </w:p>
    <w:p w:rsidR="00F24DFE" w:rsidRDefault="00F24DFE">
      <w:pPr>
        <w:jc w:val="both"/>
      </w:pPr>
    </w:p>
    <w:p w:rsidR="00F24DFE" w:rsidRDefault="00F24DFE">
      <w:pPr>
        <w:jc w:val="both"/>
      </w:pPr>
      <w:r>
        <w:t>2. Le norme tecniche di cui all’articolo 1 si possono applicare in combinazione alle pertinenti regole tecniche verticali contenute nella sezione V, Allegato 1, del decreto del Ministro dell’interno 3 agosto 2015.</w:t>
      </w:r>
    </w:p>
    <w:p w:rsidR="00F24DFE" w:rsidRDefault="00F24DFE">
      <w:pPr>
        <w:jc w:val="both"/>
      </w:pPr>
    </w:p>
    <w:p w:rsidR="00F24DFE" w:rsidRDefault="00F24DFE">
      <w:pPr>
        <w:jc w:val="center"/>
      </w:pPr>
      <w:r>
        <w:t>Art. 3</w:t>
      </w:r>
    </w:p>
    <w:p w:rsidR="00F24DFE" w:rsidRDefault="00F24DFE">
      <w:pPr>
        <w:jc w:val="center"/>
        <w:rPr>
          <w:i/>
        </w:rPr>
      </w:pPr>
      <w:r>
        <w:rPr>
          <w:i/>
        </w:rPr>
        <w:t>(Modifiche al decreto del Ministro dell’interno 3 agosto 2015)</w:t>
      </w:r>
    </w:p>
    <w:p w:rsidR="00F24DFE" w:rsidRDefault="00F24DFE">
      <w:pPr>
        <w:jc w:val="both"/>
      </w:pPr>
    </w:p>
    <w:p w:rsidR="00F24DFE" w:rsidRDefault="00F24DFE">
      <w:pPr>
        <w:jc w:val="both"/>
      </w:pPr>
      <w:r>
        <w:t>1. All’articolo 2, comma 1, del decreto del Ministro dell’interno 3 agosto 2015, dopo il numero «72,» la dicitura: «limitatamente agli edifici sottoposti a tutela ai sensi del decreto legislativo 22 gennaio 2004, n. 42, aperti al pubblico, destinati a contenere musei, gallerie, esposizioni, mostre, biblioteche e archivi;» è soppressa.</w:t>
      </w:r>
    </w:p>
    <w:p w:rsidR="00F24DFE" w:rsidRDefault="00F24DFE">
      <w:pPr>
        <w:jc w:val="both"/>
      </w:pPr>
    </w:p>
    <w:p w:rsidR="00F24DFE" w:rsidRDefault="00F24DFE">
      <w:pPr>
        <w:jc w:val="both"/>
      </w:pPr>
      <w:r>
        <w:t>2. All’allegato 1 del decreto del Ministro dell’interno 3 agosto 2015, nella sezione V «Regole tecniche verticali», è aggiunto il seguente capitolo «V.12 - Altre attività in edifici tutelati», contenente le norme tecniche di prevenzione incendi per gli edifici sottoposti a tutela ai sensi del decreto legislativo 22 gennaio 2004, n. 42, aperti al pubblico, contenenti una o più attività ricomprese nell’allegato I al decreto del Presidente della Repubblica 1° agosto 2011, n. 151, ad esclusione di musei, gallerie, esposizioni, mostre, biblioteche e archivi, di cui all’articolo 1.</w:t>
      </w:r>
    </w:p>
    <w:p w:rsidR="00F24DFE" w:rsidRDefault="00F24DFE">
      <w:pPr>
        <w:jc w:val="both"/>
      </w:pPr>
    </w:p>
    <w:p w:rsidR="00F24DFE" w:rsidRDefault="00F24DFE">
      <w:pPr>
        <w:jc w:val="center"/>
      </w:pPr>
      <w:r>
        <w:t>Art. 4.</w:t>
      </w:r>
    </w:p>
    <w:p w:rsidR="00F24DFE" w:rsidRDefault="00F24DFE">
      <w:pPr>
        <w:jc w:val="center"/>
        <w:rPr>
          <w:i/>
        </w:rPr>
      </w:pPr>
      <w:r>
        <w:rPr>
          <w:i/>
        </w:rPr>
        <w:t>(Norme finali)</w:t>
      </w:r>
    </w:p>
    <w:p w:rsidR="00F24DFE" w:rsidRDefault="00F24DFE">
      <w:pPr>
        <w:jc w:val="both"/>
      </w:pPr>
    </w:p>
    <w:p w:rsidR="00F24DFE" w:rsidRDefault="00F24DFE">
      <w:pPr>
        <w:jc w:val="both"/>
      </w:pPr>
      <w:r>
        <w:t>1. Il presente decreto entra in vigore il trentesimo giorno successivo alla data di pubblicazione nella Gazzetta ufficiale della Repubblica italiana.</w:t>
      </w:r>
    </w:p>
    <w:p w:rsidR="00F24DFE" w:rsidRDefault="00F24DFE"/>
    <w:p w:rsidR="00F24DFE" w:rsidRDefault="00F24DFE">
      <w:r>
        <w:t xml:space="preserve">Roma, </w:t>
      </w:r>
    </w:p>
    <w:p w:rsidR="00F24DFE" w:rsidRDefault="00F24DFE"/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4"/>
        <w:gridCol w:w="4743"/>
      </w:tblGrid>
      <w:tr w:rsidR="00F24DFE" w:rsidTr="00007E08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F24DFE" w:rsidRPr="00007E08" w:rsidRDefault="00F24DFE" w:rsidP="00007E08">
            <w:pPr>
              <w:jc w:val="center"/>
              <w:rPr>
                <w:sz w:val="22"/>
                <w:szCs w:val="22"/>
              </w:rPr>
            </w:pPr>
            <w:r w:rsidRPr="00007E08">
              <w:rPr>
                <w:sz w:val="22"/>
                <w:szCs w:val="22"/>
              </w:rPr>
              <w:t>IL MINISTRO DELL’INTERNO</w:t>
            </w:r>
          </w:p>
          <w:p w:rsidR="00F24DFE" w:rsidRPr="00007E08" w:rsidRDefault="00F24DFE" w:rsidP="00007E08">
            <w:pPr>
              <w:jc w:val="center"/>
              <w:rPr>
                <w:sz w:val="22"/>
                <w:szCs w:val="22"/>
              </w:rPr>
            </w:pPr>
            <w:r w:rsidRPr="00007E08">
              <w:rPr>
                <w:sz w:val="22"/>
                <w:szCs w:val="22"/>
              </w:rPr>
              <w:t>Lamorgese</w:t>
            </w:r>
          </w:p>
          <w:p w:rsidR="00F24DFE" w:rsidRPr="00007E08" w:rsidRDefault="00F24DFE" w:rsidP="00007E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:rsidR="00F24DFE" w:rsidRPr="00007E08" w:rsidRDefault="00F24DFE" w:rsidP="00007E08">
            <w:pPr>
              <w:jc w:val="center"/>
              <w:rPr>
                <w:sz w:val="22"/>
                <w:szCs w:val="22"/>
              </w:rPr>
            </w:pPr>
            <w:r w:rsidRPr="00007E08">
              <w:rPr>
                <w:sz w:val="22"/>
                <w:szCs w:val="22"/>
              </w:rPr>
              <w:t>IL MINISTRO DELLA CULTURA</w:t>
            </w:r>
          </w:p>
          <w:p w:rsidR="00F24DFE" w:rsidRPr="00007E08" w:rsidRDefault="00F24DFE" w:rsidP="00007E08">
            <w:pPr>
              <w:jc w:val="center"/>
              <w:rPr>
                <w:sz w:val="22"/>
                <w:szCs w:val="22"/>
              </w:rPr>
            </w:pPr>
            <w:r w:rsidRPr="00007E08">
              <w:rPr>
                <w:sz w:val="22"/>
                <w:szCs w:val="22"/>
              </w:rPr>
              <w:t>Franceschini</w:t>
            </w:r>
          </w:p>
          <w:p w:rsidR="00F24DFE" w:rsidRPr="00007E08" w:rsidRDefault="00F24DFE" w:rsidP="00007E08">
            <w:pPr>
              <w:jc w:val="center"/>
              <w:rPr>
                <w:sz w:val="22"/>
                <w:szCs w:val="22"/>
              </w:rPr>
            </w:pPr>
          </w:p>
        </w:tc>
      </w:tr>
    </w:tbl>
    <w:p w:rsidR="00F24DFE" w:rsidRDefault="00F24DFE" w:rsidP="006C0FA7">
      <w:pPr>
        <w:jc w:val="right"/>
      </w:pPr>
      <w:r>
        <w:t>Allegato 1</w:t>
      </w:r>
    </w:p>
    <w:p w:rsidR="00F24DFE" w:rsidRDefault="00F24DFE"/>
    <w:p w:rsidR="00F24DFE" w:rsidRDefault="00F24DFE"/>
    <w:p w:rsidR="00F24DFE" w:rsidRDefault="00F24DFE" w:rsidP="006C0FA7">
      <w:pPr>
        <w:pStyle w:val="Heading2"/>
        <w:spacing w:after="510"/>
        <w:rPr>
          <w:color w:val="000000"/>
        </w:rPr>
      </w:pPr>
      <w:bookmarkStart w:id="0" w:name="__RefHeading___Toc2152_3957911219"/>
      <w:bookmarkEnd w:id="0"/>
      <w:r>
        <w:rPr>
          <w:color w:val="000000"/>
        </w:rPr>
        <w:t>Altre attività in edifici tutelati</w:t>
      </w:r>
    </w:p>
    <w:p w:rsidR="00F24DFE" w:rsidRPr="006C0FA7" w:rsidRDefault="00F24DFE" w:rsidP="006C0FA7">
      <w:pPr>
        <w:pStyle w:val="TOC2"/>
        <w:tabs>
          <w:tab w:val="clear" w:pos="9355"/>
        </w:tabs>
        <w:rPr>
          <w:sz w:val="24"/>
        </w:rPr>
      </w:pPr>
      <w:r w:rsidRPr="006C0FA7">
        <w:rPr>
          <w:sz w:val="24"/>
        </w:rPr>
        <w:fldChar w:fldCharType="begin"/>
      </w:r>
      <w:r w:rsidRPr="006C0FA7">
        <w:rPr>
          <w:sz w:val="24"/>
        </w:rPr>
        <w:instrText>TOC \o "1-4" \n 3-9 \h</w:instrText>
      </w:r>
      <w:r w:rsidRPr="006C0FA7">
        <w:rPr>
          <w:sz w:val="24"/>
        </w:rPr>
        <w:fldChar w:fldCharType="separate"/>
      </w:r>
    </w:p>
    <w:p w:rsidR="00F24DFE" w:rsidRPr="006C0FA7" w:rsidRDefault="00F24DFE" w:rsidP="006C0FA7">
      <w:pPr>
        <w:pStyle w:val="TOC3"/>
        <w:rPr>
          <w:sz w:val="24"/>
        </w:rPr>
      </w:pPr>
      <w:hyperlink w:anchor="__RefHeading___Toc2154_3957911219">
        <w:r w:rsidRPr="006C0FA7">
          <w:rPr>
            <w:rStyle w:val="Saltoaindice"/>
            <w:sz w:val="24"/>
          </w:rPr>
          <w:t>Campo di applicazione</w:t>
        </w:r>
      </w:hyperlink>
    </w:p>
    <w:p w:rsidR="00F24DFE" w:rsidRPr="006C0FA7" w:rsidRDefault="00F24DFE" w:rsidP="006C0FA7">
      <w:pPr>
        <w:pStyle w:val="TOC3"/>
        <w:rPr>
          <w:sz w:val="24"/>
        </w:rPr>
      </w:pPr>
      <w:hyperlink w:anchor="__RefHeading___Toc2156_3957911219">
        <w:r w:rsidRPr="006C0FA7">
          <w:rPr>
            <w:rStyle w:val="Saltoaindice"/>
            <w:sz w:val="24"/>
          </w:rPr>
          <w:t>Definizioni</w:t>
        </w:r>
      </w:hyperlink>
    </w:p>
    <w:p w:rsidR="00F24DFE" w:rsidRPr="006C0FA7" w:rsidRDefault="00F24DFE" w:rsidP="006C0FA7">
      <w:pPr>
        <w:pStyle w:val="TOC3"/>
        <w:rPr>
          <w:sz w:val="24"/>
        </w:rPr>
      </w:pPr>
      <w:hyperlink w:anchor="__RefHeading___Toc2158_3957911219">
        <w:r w:rsidRPr="006C0FA7">
          <w:rPr>
            <w:rStyle w:val="Saltoaindice"/>
            <w:sz w:val="24"/>
          </w:rPr>
          <w:t>Classificazioni</w:t>
        </w:r>
      </w:hyperlink>
    </w:p>
    <w:p w:rsidR="00F24DFE" w:rsidRPr="006C0FA7" w:rsidRDefault="00F24DFE" w:rsidP="006C0FA7">
      <w:pPr>
        <w:pStyle w:val="TOC3"/>
        <w:rPr>
          <w:sz w:val="24"/>
        </w:rPr>
      </w:pPr>
      <w:hyperlink w:anchor="__RefHeading___Toc2390_3957911219">
        <w:r w:rsidRPr="006C0FA7">
          <w:rPr>
            <w:rStyle w:val="Saltoaindice"/>
            <w:sz w:val="24"/>
          </w:rPr>
          <w:t>Valutazione del rischio di incendio</w:t>
        </w:r>
      </w:hyperlink>
    </w:p>
    <w:p w:rsidR="00F24DFE" w:rsidRPr="006C0FA7" w:rsidRDefault="00F24DFE" w:rsidP="006C0FA7">
      <w:pPr>
        <w:pStyle w:val="TOC3"/>
        <w:rPr>
          <w:sz w:val="24"/>
        </w:rPr>
      </w:pPr>
      <w:hyperlink w:anchor="__RefHeading___Toc2392_3957911219">
        <w:r w:rsidRPr="006C0FA7">
          <w:rPr>
            <w:rStyle w:val="Saltoaindice"/>
            <w:sz w:val="24"/>
          </w:rPr>
          <w:t>Strategia antincendio</w:t>
        </w:r>
      </w:hyperlink>
    </w:p>
    <w:p w:rsidR="00F24DFE" w:rsidRPr="006C0FA7" w:rsidRDefault="00F24DFE" w:rsidP="006C0FA7">
      <w:pPr>
        <w:pStyle w:val="TOC4"/>
        <w:rPr>
          <w:sz w:val="24"/>
        </w:rPr>
      </w:pPr>
      <w:hyperlink w:anchor="__RefHeading___Toc23585_1815129889">
        <w:r w:rsidRPr="006C0FA7">
          <w:rPr>
            <w:rStyle w:val="Saltoaindice"/>
            <w:sz w:val="24"/>
          </w:rPr>
          <w:t>Reazione al fuoco</w:t>
        </w:r>
      </w:hyperlink>
    </w:p>
    <w:p w:rsidR="00F24DFE" w:rsidRPr="006C0FA7" w:rsidRDefault="00F24DFE" w:rsidP="006C0FA7">
      <w:pPr>
        <w:pStyle w:val="TOC4"/>
        <w:rPr>
          <w:sz w:val="24"/>
        </w:rPr>
      </w:pPr>
      <w:hyperlink w:anchor="__RefHeading___Toc2396_3957911219">
        <w:r w:rsidRPr="006C0FA7">
          <w:rPr>
            <w:rStyle w:val="Saltoaindice"/>
            <w:sz w:val="24"/>
          </w:rPr>
          <w:t>Resistenza al fuoco</w:t>
        </w:r>
      </w:hyperlink>
    </w:p>
    <w:p w:rsidR="00F24DFE" w:rsidRPr="006C0FA7" w:rsidRDefault="00F24DFE" w:rsidP="006C0FA7">
      <w:pPr>
        <w:pStyle w:val="TOC4"/>
        <w:rPr>
          <w:sz w:val="24"/>
        </w:rPr>
      </w:pPr>
      <w:hyperlink w:anchor="__RefHeading___Toc2400_3957911219">
        <w:r w:rsidRPr="006C0FA7">
          <w:rPr>
            <w:rStyle w:val="Saltoaindice"/>
            <w:sz w:val="24"/>
          </w:rPr>
          <w:t>Esodo</w:t>
        </w:r>
      </w:hyperlink>
    </w:p>
    <w:p w:rsidR="00F24DFE" w:rsidRPr="006C0FA7" w:rsidRDefault="00F24DFE" w:rsidP="006C0FA7">
      <w:pPr>
        <w:pStyle w:val="TOC4"/>
        <w:rPr>
          <w:sz w:val="24"/>
        </w:rPr>
      </w:pPr>
      <w:hyperlink w:anchor="__RefHeading___Toc2402_3957911219">
        <w:r w:rsidRPr="006C0FA7">
          <w:rPr>
            <w:rStyle w:val="Saltoaindice"/>
            <w:sz w:val="24"/>
          </w:rPr>
          <w:t>Gestione della sicurezza antincendio</w:t>
        </w:r>
      </w:hyperlink>
    </w:p>
    <w:p w:rsidR="00F24DFE" w:rsidRPr="006C0FA7" w:rsidRDefault="00F24DFE" w:rsidP="006C0FA7">
      <w:pPr>
        <w:pStyle w:val="TOC4"/>
        <w:rPr>
          <w:sz w:val="24"/>
        </w:rPr>
      </w:pPr>
      <w:hyperlink w:anchor="__RefHeading___Toc2404_3957911219">
        <w:r w:rsidRPr="006C0FA7">
          <w:rPr>
            <w:rStyle w:val="Saltoaindice"/>
            <w:sz w:val="24"/>
          </w:rPr>
          <w:t>Controllo dell’incendio</w:t>
        </w:r>
      </w:hyperlink>
    </w:p>
    <w:p w:rsidR="00F24DFE" w:rsidRPr="006C0FA7" w:rsidRDefault="00F24DFE" w:rsidP="006C0FA7">
      <w:pPr>
        <w:pStyle w:val="TOC4"/>
        <w:rPr>
          <w:sz w:val="24"/>
        </w:rPr>
      </w:pPr>
      <w:hyperlink w:anchor="__RefHeading___Toc2406_3957911219">
        <w:r w:rsidRPr="006C0FA7">
          <w:rPr>
            <w:rStyle w:val="Saltoaindice"/>
            <w:sz w:val="24"/>
          </w:rPr>
          <w:t>Rivelazione ed allarme</w:t>
        </w:r>
      </w:hyperlink>
    </w:p>
    <w:p w:rsidR="00F24DFE" w:rsidRPr="006C0FA7" w:rsidRDefault="00F24DFE" w:rsidP="006C0FA7">
      <w:pPr>
        <w:pStyle w:val="TOC4"/>
        <w:rPr>
          <w:sz w:val="24"/>
        </w:rPr>
      </w:pPr>
      <w:hyperlink w:anchor="__RefHeading___Toc2408_3957911219">
        <w:r w:rsidRPr="006C0FA7">
          <w:rPr>
            <w:rStyle w:val="Saltoaindice"/>
            <w:sz w:val="24"/>
          </w:rPr>
          <w:t>Controllo di fumi e calore</w:t>
        </w:r>
      </w:hyperlink>
    </w:p>
    <w:p w:rsidR="00F24DFE" w:rsidRDefault="00F24DFE" w:rsidP="006C0FA7">
      <w:r w:rsidRPr="006C0FA7">
        <w:fldChar w:fldCharType="end"/>
      </w:r>
      <w:r>
        <w:br w:type="page"/>
      </w:r>
    </w:p>
    <w:p w:rsidR="00F24DFE" w:rsidRDefault="00F24DFE" w:rsidP="006C0FA7">
      <w:pPr>
        <w:pStyle w:val="Heading3"/>
        <w:suppressAutoHyphens/>
        <w:rPr>
          <w:color w:val="000000"/>
        </w:rPr>
      </w:pPr>
      <w:bookmarkStart w:id="1" w:name="__RefNumPara__722_3455390229"/>
      <w:bookmarkStart w:id="2" w:name="__RefHeading___Toc2154_3957911219"/>
      <w:bookmarkEnd w:id="1"/>
      <w:bookmarkEnd w:id="2"/>
      <w:r>
        <w:rPr>
          <w:color w:val="000000"/>
        </w:rPr>
        <w:t>Campo di applicazione</w:t>
      </w:r>
    </w:p>
    <w:p w:rsidR="00F24DFE" w:rsidRPr="006C0FA7" w:rsidRDefault="00F24DFE" w:rsidP="006C0FA7">
      <w:pPr>
        <w:pStyle w:val="BodyText"/>
        <w:widowControl/>
        <w:numPr>
          <w:ilvl w:val="0"/>
          <w:numId w:val="3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La presente regola tecnica verticale reca disposizioni di prevenzione incendi riguardanti edifici sottoposti a tutela ai sensi del decreto legislativo 22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gennaio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2004, n.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 xml:space="preserve">42, aperti al pubblico, contenenti una o più </w:t>
      </w:r>
      <w:r w:rsidRPr="006C0FA7">
        <w:rPr>
          <w:i/>
          <w:lang w:val="it-IT"/>
        </w:rPr>
        <w:t>attività soggette</w:t>
      </w:r>
      <w:r w:rsidRPr="006C0FA7">
        <w:rPr>
          <w:color w:val="000000"/>
          <w:lang w:val="it-IT"/>
        </w:rPr>
        <w:t>, ad esclusione di quelli destinati a musei, gallerie, esposizioni, mostre, biblioteche e archivi.</w:t>
      </w:r>
    </w:p>
    <w:p w:rsidR="00F24DFE" w:rsidRPr="006C0FA7" w:rsidRDefault="00F24DFE" w:rsidP="006C0FA7">
      <w:pPr>
        <w:pStyle w:val="BodyText"/>
        <w:widowControl/>
        <w:numPr>
          <w:ilvl w:val="0"/>
          <w:numId w:val="3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Le suddette disposizioni si applicano a tutte le attività di cui al comma 1 caratterizzate da Rbeni pari a 2 o 4.</w:t>
      </w:r>
    </w:p>
    <w:p w:rsidR="00F24DFE" w:rsidRPr="006C0FA7" w:rsidRDefault="00F24DFE" w:rsidP="006C0FA7">
      <w:pPr>
        <w:pStyle w:val="BodyText"/>
        <w:widowControl/>
        <w:numPr>
          <w:ilvl w:val="0"/>
          <w:numId w:val="3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Le disposizioni di cui al comma 1, possono essere di riferimento per la progettazione, realizzazione ed esercizio degli edifici sottoposti a tutela contenenti attività soggette non aperte al pubblico.</w:t>
      </w:r>
    </w:p>
    <w:p w:rsidR="00F24DFE" w:rsidRDefault="00F24DFE" w:rsidP="006C0FA7">
      <w:pPr>
        <w:pStyle w:val="Heading3"/>
        <w:suppressAutoHyphens/>
        <w:rPr>
          <w:color w:val="000000"/>
        </w:rPr>
      </w:pPr>
      <w:bookmarkStart w:id="3" w:name="__RefHeading___Toc2156_3957911219"/>
      <w:bookmarkEnd w:id="3"/>
      <w:r>
        <w:rPr>
          <w:color w:val="000000"/>
        </w:rPr>
        <w:t>Definizioni</w:t>
      </w:r>
    </w:p>
    <w:p w:rsidR="00F24DFE" w:rsidRPr="006C0FA7" w:rsidRDefault="00F24DFE" w:rsidP="006C0FA7">
      <w:pPr>
        <w:pStyle w:val="BodyText"/>
        <w:widowControl/>
        <w:numPr>
          <w:ilvl w:val="0"/>
          <w:numId w:val="3"/>
        </w:numPr>
        <w:suppressAutoHyphens/>
        <w:spacing w:after="113"/>
        <w:jc w:val="both"/>
        <w:rPr>
          <w:lang w:val="it-IT"/>
        </w:rPr>
      </w:pPr>
      <w:r w:rsidRPr="006C0FA7">
        <w:rPr>
          <w:color w:val="000000"/>
          <w:lang w:val="it-IT"/>
        </w:rPr>
        <w:t>Edificio o bene tutelato: edificio o bene soggetto alle disposizioni di tutela ai sensi del decreto legislativo 22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gennaio 2004, n.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42 “</w:t>
      </w:r>
      <w:r w:rsidRPr="006C0FA7">
        <w:rPr>
          <w:rStyle w:val="Enfasi"/>
          <w:iCs/>
          <w:color w:val="000000"/>
          <w:lang w:val="it-IT"/>
        </w:rPr>
        <w:t xml:space="preserve">Codice dei beni culturali e del paesaggio, ai sensi dell'articolo 10 della legge 6 luglio 2002 n. </w:t>
      </w:r>
      <w:smartTag w:uri="urn:schemas-microsoft-com:office:smarttags" w:element="metricconverter">
        <w:smartTagPr>
          <w:attr w:name="ProductID" w:val="137”"/>
        </w:smartTagPr>
        <w:r w:rsidRPr="006C0FA7">
          <w:rPr>
            <w:rStyle w:val="Enfasi"/>
            <w:iCs/>
            <w:color w:val="000000"/>
            <w:lang w:val="it-IT"/>
          </w:rPr>
          <w:t>137</w:t>
        </w:r>
        <w:r w:rsidRPr="006C0FA7">
          <w:rPr>
            <w:color w:val="000000"/>
            <w:lang w:val="it-IT"/>
          </w:rPr>
          <w:t>”</w:t>
        </w:r>
      </w:smartTag>
      <w:r w:rsidRPr="006C0FA7">
        <w:rPr>
          <w:color w:val="000000"/>
          <w:lang w:val="it-IT"/>
        </w:rPr>
        <w:t xml:space="preserve"> e s.m.i.</w:t>
      </w:r>
    </w:p>
    <w:p w:rsidR="00F24DFE" w:rsidRPr="006C0FA7" w:rsidRDefault="00F24DFE" w:rsidP="006C0FA7">
      <w:pPr>
        <w:pStyle w:val="BodyText"/>
        <w:widowControl/>
        <w:numPr>
          <w:ilvl w:val="0"/>
          <w:numId w:val="3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Piano di limitazione dei danni: documento sottoscritto dal responsabile dell’attività, contenente le misure e le procedure per la salvaguardia dei beni tutelati presenti, da mettere in atto in caso di incendio.</w:t>
      </w:r>
    </w:p>
    <w:p w:rsidR="00F24DFE" w:rsidRDefault="00F24DFE" w:rsidP="006C0FA7">
      <w:pPr>
        <w:pStyle w:val="Heading3"/>
        <w:suppressAutoHyphens/>
        <w:rPr>
          <w:color w:val="000000"/>
        </w:rPr>
      </w:pPr>
      <w:bookmarkStart w:id="4" w:name="__RefHeading___Toc2158_3957911219"/>
      <w:bookmarkEnd w:id="4"/>
      <w:r>
        <w:rPr>
          <w:color w:val="000000"/>
        </w:rPr>
        <w:t>Classificazioni</w:t>
      </w:r>
    </w:p>
    <w:p w:rsidR="00F24DFE" w:rsidRPr="006C0FA7" w:rsidRDefault="00F24DFE" w:rsidP="006C0FA7">
      <w:pPr>
        <w:pStyle w:val="BodyText"/>
        <w:widowControl/>
        <w:numPr>
          <w:ilvl w:val="0"/>
          <w:numId w:val="4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Per le attività di cui al paragrafo</w:t>
      </w:r>
      <w:r>
        <w:rPr>
          <w:color w:val="000000"/>
          <w:lang w:val="it-IT"/>
        </w:rPr>
        <w:t xml:space="preserve"> </w:t>
      </w:r>
      <w:r w:rsidRPr="006C0FA7">
        <w:rPr>
          <w:lang w:val="it-IT"/>
        </w:rPr>
        <w:fldChar w:fldCharType="begin"/>
      </w:r>
      <w:r w:rsidRPr="006C0FA7">
        <w:rPr>
          <w:lang w:val="it-IT"/>
        </w:rPr>
        <w:instrText>REF __RefNumPara__722_3455390229 \r \h</w:instrText>
      </w:r>
      <w:r w:rsidRPr="00BF4952">
        <w:rPr>
          <w:color w:val="000000"/>
        </w:rPr>
      </w:r>
      <w:r w:rsidRPr="006C0FA7">
        <w:rPr>
          <w:lang w:val="it-IT"/>
        </w:rPr>
        <w:fldChar w:fldCharType="separate"/>
      </w:r>
      <w:r w:rsidRPr="006C0FA7">
        <w:rPr>
          <w:lang w:val="it-IT"/>
        </w:rPr>
        <w:t>V.12.1</w:t>
      </w:r>
      <w:r w:rsidRPr="006C0FA7">
        <w:rPr>
          <w:lang w:val="it-IT"/>
        </w:rPr>
        <w:fldChar w:fldCharType="end"/>
      </w:r>
      <w:r w:rsidRPr="006C0FA7">
        <w:rPr>
          <w:color w:val="000000"/>
          <w:lang w:val="it-IT"/>
        </w:rPr>
        <w:t xml:space="preserve"> oggetto di specifiche regole tecniche verticali (RTV) valgono le classificazioni previste nelle stesse RTV.</w:t>
      </w:r>
    </w:p>
    <w:p w:rsidR="00F24DFE" w:rsidRDefault="00F24DFE" w:rsidP="006C0FA7">
      <w:pPr>
        <w:pStyle w:val="Heading3"/>
        <w:suppressAutoHyphens/>
        <w:rPr>
          <w:color w:val="000000"/>
        </w:rPr>
      </w:pPr>
      <w:bookmarkStart w:id="5" w:name="__RefHeading___Toc2390_3957911219"/>
      <w:bookmarkEnd w:id="5"/>
      <w:r>
        <w:rPr>
          <w:color w:val="000000"/>
        </w:rPr>
        <w:t>Valutazione del rischio di incendio</w:t>
      </w:r>
    </w:p>
    <w:p w:rsidR="00F24DFE" w:rsidRPr="006C0FA7" w:rsidRDefault="00F24DFE" w:rsidP="006C0FA7">
      <w:pPr>
        <w:pStyle w:val="BodyText"/>
        <w:widowControl/>
        <w:numPr>
          <w:ilvl w:val="0"/>
          <w:numId w:val="5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La progettazione della sicurezza antincendio deve essere effettuata attuando la metodologia di cui al capitolo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G.2.</w:t>
      </w:r>
    </w:p>
    <w:p w:rsidR="00F24DFE" w:rsidRPr="006C0FA7" w:rsidRDefault="00F24DFE" w:rsidP="006C0FA7">
      <w:pPr>
        <w:pStyle w:val="BodyText"/>
        <w:widowControl/>
        <w:numPr>
          <w:ilvl w:val="0"/>
          <w:numId w:val="5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I profili di rischio sono determinati secondo la metodologia di cui al capitolo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G.3.</w:t>
      </w:r>
    </w:p>
    <w:p w:rsidR="00F24DFE" w:rsidRDefault="00F24DFE" w:rsidP="006C0FA7">
      <w:pPr>
        <w:pStyle w:val="Heading3"/>
        <w:suppressAutoHyphens/>
        <w:rPr>
          <w:color w:val="000000"/>
        </w:rPr>
      </w:pPr>
      <w:bookmarkStart w:id="6" w:name="__RefHeading___Toc2392_3957911219"/>
      <w:bookmarkEnd w:id="6"/>
      <w:r>
        <w:rPr>
          <w:color w:val="000000"/>
        </w:rPr>
        <w:t>Strategia antincendio</w:t>
      </w:r>
    </w:p>
    <w:p w:rsidR="00F24DFE" w:rsidRPr="006C0FA7" w:rsidRDefault="00F24DFE" w:rsidP="006C0FA7">
      <w:pPr>
        <w:pStyle w:val="BodyText"/>
        <w:widowControl/>
        <w:numPr>
          <w:ilvl w:val="0"/>
          <w:numId w:val="6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Devono essere applicate tutte le misure antincendio della regola tecnica orizzontale attribuendo i livelli di prestazione secondo i criteri in esse definiti, fermo restando quanto indicato al comma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3.</w:t>
      </w:r>
    </w:p>
    <w:p w:rsidR="00F24DFE" w:rsidRPr="006C0FA7" w:rsidRDefault="00F24DFE" w:rsidP="006C0FA7">
      <w:pPr>
        <w:pStyle w:val="BodyText"/>
        <w:widowControl/>
        <w:numPr>
          <w:ilvl w:val="0"/>
          <w:numId w:val="6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Devono essere applicate le prescrizioni del capitolo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V.1 in merito alle aree a rischio specifico e le prescrizioni delle altre regole tecniche verticali, ove pertinenti.</w:t>
      </w:r>
    </w:p>
    <w:p w:rsidR="00F24DFE" w:rsidRPr="006C0FA7" w:rsidRDefault="00F24DFE" w:rsidP="006C0FA7">
      <w:pPr>
        <w:pStyle w:val="BodyText"/>
        <w:widowControl/>
        <w:numPr>
          <w:ilvl w:val="0"/>
          <w:numId w:val="6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Nei paragrafi che seguono sono riportate le indicazioni complementari o sostitutive delle soluzioni conformi previste dai corrispondenti livelli di prestazione della RTO e delle pertinenti RTV.</w:t>
      </w:r>
    </w:p>
    <w:p w:rsidR="00F24DFE" w:rsidRDefault="00F24DFE" w:rsidP="006C0FA7">
      <w:pPr>
        <w:pStyle w:val="Heading4"/>
        <w:suppressAutoHyphens/>
        <w:rPr>
          <w:color w:val="000000"/>
        </w:rPr>
      </w:pPr>
      <w:bookmarkStart w:id="7" w:name="__RefHeading___Toc23585_1815129889"/>
      <w:bookmarkEnd w:id="7"/>
      <w:r>
        <w:rPr>
          <w:color w:val="000000"/>
        </w:rPr>
        <w:t>Reazione al fuoco</w:t>
      </w:r>
    </w:p>
    <w:p w:rsidR="00F24DFE" w:rsidRPr="006C0FA7" w:rsidRDefault="00F24DFE" w:rsidP="006C0FA7">
      <w:pPr>
        <w:pStyle w:val="BodyText"/>
        <w:widowControl/>
        <w:numPr>
          <w:ilvl w:val="0"/>
          <w:numId w:val="7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Non è richiesta la verifica dei requisiti di reazione al fuoco dei beni tutelati, ivi compresi i beni costituenti arredo storico (es. librerie, cassettonati, tendaggi, poltrone, mobilio,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…), ad eccezione dei beni tutelati posti in vie d’esodo verticali, percorsi d’esodo (corridoi, atri, filtri,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…) e spazi calmi in ambiti di attività con profili di rischio R</w:t>
      </w:r>
      <w:r w:rsidRPr="006C0FA7">
        <w:rPr>
          <w:color w:val="000000"/>
          <w:vertAlign w:val="subscript"/>
          <w:lang w:val="it-IT"/>
        </w:rPr>
        <w:t>vita</w:t>
      </w:r>
      <w:r w:rsidRPr="006C0FA7">
        <w:rPr>
          <w:color w:val="000000"/>
          <w:lang w:val="it-IT"/>
        </w:rPr>
        <w:t xml:space="preserve"> ricompresi in C, D o E.</w:t>
      </w:r>
    </w:p>
    <w:p w:rsidR="00F24DFE" w:rsidRDefault="00F24DFE" w:rsidP="006C0FA7">
      <w:pPr>
        <w:pStyle w:val="Heading4"/>
        <w:suppressAutoHyphens/>
        <w:rPr>
          <w:color w:val="000000"/>
        </w:rPr>
      </w:pPr>
      <w:bookmarkStart w:id="8" w:name="__RefHeading___Toc2396_3957911219"/>
      <w:bookmarkEnd w:id="8"/>
      <w:r>
        <w:rPr>
          <w:color w:val="000000"/>
        </w:rPr>
        <w:t>Resistenza al fuoco</w:t>
      </w:r>
    </w:p>
    <w:p w:rsidR="00F24DFE" w:rsidRPr="006C0FA7" w:rsidRDefault="00F24DFE" w:rsidP="006C0FA7">
      <w:pPr>
        <w:pStyle w:val="BodyText"/>
        <w:widowControl/>
        <w:numPr>
          <w:ilvl w:val="0"/>
          <w:numId w:val="8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Negli ambiti delle attività ove la natura dell’edificio tutelato non renda possibile l’adeguamento o la determinazione della classe richiesta dalla RTO e dalle pertinenti RTV sono ammessi unicamente i profili di rischio R</w:t>
      </w:r>
      <w:r w:rsidRPr="006C0FA7">
        <w:rPr>
          <w:color w:val="000000"/>
          <w:vertAlign w:val="subscript"/>
          <w:lang w:val="it-IT"/>
        </w:rPr>
        <w:t>vita</w:t>
      </w:r>
      <w:r w:rsidRPr="006C0FA7">
        <w:rPr>
          <w:color w:val="000000"/>
          <w:lang w:val="it-IT"/>
        </w:rPr>
        <w:t xml:space="preserve"> pari ad A1, A2, B1, B2, E1, E2 e devono essere adottati tutti i seguenti requisiti aggiuntivi:</w:t>
      </w:r>
    </w:p>
    <w:p w:rsidR="00F24DFE" w:rsidRPr="006C0FA7" w:rsidRDefault="00F24DFE" w:rsidP="006C0FA7">
      <w:pPr>
        <w:pStyle w:val="BodyText"/>
        <w:widowControl/>
        <w:numPr>
          <w:ilvl w:val="1"/>
          <w:numId w:val="8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valore di q</w:t>
      </w:r>
      <w:r w:rsidRPr="006C0FA7">
        <w:rPr>
          <w:color w:val="000000"/>
          <w:vertAlign w:val="subscript"/>
          <w:lang w:val="it-IT"/>
        </w:rPr>
        <w:t>f,d </w:t>
      </w:r>
      <w:r>
        <w:rPr>
          <w:color w:val="000000"/>
          <w:vertAlign w:val="subscript"/>
          <w:lang w:val="it-IT"/>
        </w:rPr>
        <w:t xml:space="preserve"> </w:t>
      </w:r>
      <w:r w:rsidRPr="006C0FA7">
        <w:rPr>
          <w:color w:val="000000"/>
          <w:lang w:val="it-IT"/>
        </w:rPr>
        <w:t>≤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200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MJ/m², calcolato escludendo il contributo degli elementi strutturali portanti combustibili e dei beni tutelati presenti;</w:t>
      </w:r>
    </w:p>
    <w:p w:rsidR="00F24DFE" w:rsidRPr="006C0FA7" w:rsidRDefault="00F24DFE" w:rsidP="006C0FA7">
      <w:pPr>
        <w:pStyle w:val="BodyText"/>
        <w:widowControl/>
        <w:numPr>
          <w:ilvl w:val="1"/>
          <w:numId w:val="8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 xml:space="preserve">incremento di un livello di prestazione della gestione della sicurezza antincendio (Capitolo S.5) e del controllo dell’incendio (Capitolo S.6). </w:t>
      </w:r>
    </w:p>
    <w:p w:rsidR="00F24DFE" w:rsidRPr="006C0FA7" w:rsidRDefault="00F24DFE" w:rsidP="006C0FA7">
      <w:pPr>
        <w:pStyle w:val="BodyText"/>
        <w:widowControl/>
        <w:numPr>
          <w:ilvl w:val="0"/>
          <w:numId w:val="8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Ove non sia possibile l’adeguamento o la determinazione della classe richiesta dalla RTO e dalle pertinenti RTV dei sottotetti con struttura portante combustibile devono essere adottati tutti i seguenti requisiti aggiuntivi:</w:t>
      </w:r>
    </w:p>
    <w:p w:rsidR="00F24DFE" w:rsidRPr="006C0FA7" w:rsidRDefault="00F24DFE" w:rsidP="006C0FA7">
      <w:pPr>
        <w:pStyle w:val="BodyText"/>
        <w:widowControl/>
        <w:numPr>
          <w:ilvl w:val="1"/>
          <w:numId w:val="8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 xml:space="preserve">se il sottotetto non costituisce compartimento autonomo: </w:t>
      </w:r>
    </w:p>
    <w:p w:rsidR="00F24DFE" w:rsidRPr="006C0FA7" w:rsidRDefault="00F24DFE" w:rsidP="006C0FA7">
      <w:pPr>
        <w:pStyle w:val="BodyText"/>
        <w:widowControl/>
        <w:numPr>
          <w:ilvl w:val="2"/>
          <w:numId w:val="8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controllo dell’incendio con livello di prestazione IV (Capitolo S.6) riferito all’ambito contenente il sottotetto;</w:t>
      </w:r>
    </w:p>
    <w:p w:rsidR="00F24DFE" w:rsidRPr="006C0FA7" w:rsidRDefault="00F24DFE" w:rsidP="006C0FA7">
      <w:pPr>
        <w:pStyle w:val="BodyText"/>
        <w:widowControl/>
        <w:numPr>
          <w:ilvl w:val="2"/>
          <w:numId w:val="8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 xml:space="preserve">sistema di gestione della sicurezza antincendio (Capitolo S.5) di livello di prestazione III. </w:t>
      </w:r>
    </w:p>
    <w:p w:rsidR="00F24DFE" w:rsidRPr="006C0FA7" w:rsidRDefault="00F24DFE" w:rsidP="006C0FA7">
      <w:pPr>
        <w:pStyle w:val="BodyText"/>
        <w:widowControl/>
        <w:numPr>
          <w:ilvl w:val="1"/>
          <w:numId w:val="8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 xml:space="preserve">se il sottotetto costituisce compartimento autonomo: </w:t>
      </w:r>
    </w:p>
    <w:p w:rsidR="00F24DFE" w:rsidRPr="006C0FA7" w:rsidRDefault="00F24DFE" w:rsidP="006C0FA7">
      <w:pPr>
        <w:pStyle w:val="BodyText"/>
        <w:widowControl/>
        <w:numPr>
          <w:ilvl w:val="2"/>
          <w:numId w:val="8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il sottotetto deve essere mantenuto libero da materiali combustibili di ogni genere.</w:t>
      </w:r>
    </w:p>
    <w:p w:rsidR="00F24DFE" w:rsidRDefault="00F24DFE" w:rsidP="006C0FA7">
      <w:pPr>
        <w:pStyle w:val="Heading4"/>
        <w:suppressAutoHyphens/>
        <w:rPr>
          <w:color w:val="000000"/>
        </w:rPr>
      </w:pPr>
      <w:bookmarkStart w:id="9" w:name="__RefHeading___Toc2400_3957911219"/>
      <w:bookmarkEnd w:id="9"/>
      <w:r>
        <w:rPr>
          <w:color w:val="000000"/>
        </w:rPr>
        <w:t>Esodo</w:t>
      </w:r>
    </w:p>
    <w:p w:rsidR="00F24DFE" w:rsidRPr="006C0FA7" w:rsidRDefault="00F24DFE" w:rsidP="006C0FA7">
      <w:pPr>
        <w:pStyle w:val="BodyText"/>
        <w:widowControl/>
        <w:numPr>
          <w:ilvl w:val="0"/>
          <w:numId w:val="9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Sono ammesse le soluzioni conformi (capitolo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S.4) di cui alla tabella </w:t>
      </w:r>
      <w:r w:rsidRPr="006C0FA7">
        <w:rPr>
          <w:lang w:val="it-IT"/>
        </w:rPr>
        <w:fldChar w:fldCharType="begin"/>
      </w:r>
      <w:r w:rsidRPr="006C0FA7">
        <w:rPr>
          <w:lang w:val="it-IT"/>
        </w:rPr>
        <w:instrText>REF Ref_Tabella0_number_only \h</w:instrText>
      </w:r>
      <w:r w:rsidRPr="00BF4952">
        <w:rPr>
          <w:color w:val="000000"/>
        </w:rPr>
      </w:r>
      <w:r w:rsidRPr="006C0FA7">
        <w:rPr>
          <w:lang w:val="it-IT"/>
        </w:rPr>
        <w:fldChar w:fldCharType="separate"/>
      </w:r>
      <w:r w:rsidRPr="006C0FA7">
        <w:rPr>
          <w:lang w:val="it-IT"/>
        </w:rPr>
        <w:t>V.12-1</w:t>
      </w:r>
      <w:r w:rsidRPr="006C0FA7">
        <w:rPr>
          <w:lang w:val="it-IT"/>
        </w:rPr>
        <w:fldChar w:fldCharType="end"/>
      </w:r>
      <w:r w:rsidRPr="006C0FA7">
        <w:rPr>
          <w:color w:val="000000"/>
          <w:lang w:val="it-IT"/>
        </w:rPr>
        <w:t xml:space="preserve"> alle seguenti condizioni aggiuntive:</w:t>
      </w:r>
    </w:p>
    <w:p w:rsidR="00F24DFE" w:rsidRPr="006C0FA7" w:rsidRDefault="00F24DFE" w:rsidP="006C0FA7">
      <w:pPr>
        <w:pStyle w:val="BodyText"/>
        <w:widowControl/>
        <w:numPr>
          <w:ilvl w:val="1"/>
          <w:numId w:val="9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la porzione di impianto di illuminazione di sicurezza in corrispondenza delle criticità sia progettato per garantire il doppio dell’illuminamento minimo previsto dalla norma UNI EN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1838;</w:t>
      </w:r>
    </w:p>
    <w:p w:rsidR="00F24DFE" w:rsidRPr="006C0FA7" w:rsidRDefault="00F24DFE" w:rsidP="006C0FA7">
      <w:pPr>
        <w:pStyle w:val="BodyText"/>
        <w:widowControl/>
        <w:numPr>
          <w:ilvl w:val="1"/>
          <w:numId w:val="9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siano previste specifiche misure gestionali (capitolo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S.5).</w:t>
      </w:r>
    </w:p>
    <w:p w:rsidR="00F24DFE" w:rsidRDefault="00F24DFE" w:rsidP="006C0FA7">
      <w:pPr>
        <w:pStyle w:val="EGNota"/>
        <w:numPr>
          <w:ilvl w:val="0"/>
          <w:numId w:val="2"/>
        </w:numPr>
        <w:suppressAutoHyphens/>
        <w:rPr>
          <w:color w:val="000000"/>
        </w:rPr>
      </w:pPr>
      <w:r>
        <w:rPr>
          <w:color w:val="000000"/>
        </w:rPr>
        <w:t xml:space="preserve">  Ad esempio: informazione a tutti gli occupanti, segnaletica, opuscoli, applicazioni per smartphone, tablet e similari, planimetrie, …</w:t>
      </w:r>
    </w:p>
    <w:p w:rsidR="00F24DFE" w:rsidRPr="006C0FA7" w:rsidRDefault="00F24DFE" w:rsidP="006C0FA7">
      <w:pPr>
        <w:pStyle w:val="BodyText"/>
        <w:widowControl/>
        <w:numPr>
          <w:ilvl w:val="0"/>
          <w:numId w:val="9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Le porte di interesse storico artistico presenti lungo le vie di esodo, che non possiedono le caratteristiche riportate nella tabella S.4-6, devono essere mantenute costantemente aperte durante l’esercizio dell’attività.</w:t>
      </w:r>
    </w:p>
    <w:tbl>
      <w:tblPr>
        <w:tblW w:w="9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/>
      </w:tblPr>
      <w:tblGrid>
        <w:gridCol w:w="9592"/>
      </w:tblGrid>
      <w:tr w:rsidR="00F24DFE" w:rsidTr="006C0FA7">
        <w:tc>
          <w:tcPr>
            <w:tcW w:w="9592" w:type="dxa"/>
          </w:tcPr>
          <w:p w:rsidR="00F24DFE" w:rsidRDefault="00F24DFE" w:rsidP="005A780E">
            <w:pPr>
              <w:pStyle w:val="Contenutotabella"/>
              <w:keepNext/>
              <w:suppressAutoHyphens/>
              <w:rPr>
                <w:color w:val="000000"/>
              </w:rPr>
            </w:pPr>
            <w:r>
              <w:rPr>
                <w:color w:val="000000"/>
              </w:rPr>
              <w:t>Altezze ≥ 1,8 m lungo le vie d’esodo.</w:t>
            </w:r>
          </w:p>
        </w:tc>
      </w:tr>
      <w:tr w:rsidR="00F24DFE" w:rsidTr="006C0FA7">
        <w:tc>
          <w:tcPr>
            <w:tcW w:w="9592" w:type="dxa"/>
          </w:tcPr>
          <w:p w:rsidR="00F24DFE" w:rsidRDefault="00F24DFE" w:rsidP="005A780E">
            <w:pPr>
              <w:pStyle w:val="Contenutotabella"/>
              <w:keepNext/>
              <w:suppressAutoHyphens/>
              <w:rPr>
                <w:color w:val="000000"/>
              </w:rPr>
            </w:pPr>
            <w:r>
              <w:rPr>
                <w:color w:val="000000"/>
              </w:rPr>
              <w:t>Tutte le combinazioni di alzata e pedata dei gradini delle scale previste nel capitolo S.4.</w:t>
            </w:r>
          </w:p>
        </w:tc>
      </w:tr>
      <w:tr w:rsidR="00F24DFE" w:rsidTr="006C0FA7">
        <w:tc>
          <w:tcPr>
            <w:tcW w:w="9592" w:type="dxa"/>
          </w:tcPr>
          <w:p w:rsidR="00F24DFE" w:rsidRDefault="00F24DFE" w:rsidP="005A780E">
            <w:pPr>
              <w:pStyle w:val="Contenutotabella"/>
              <w:keepNext/>
              <w:suppressAutoHyphens/>
              <w:rPr>
                <w:color w:val="000000"/>
              </w:rPr>
            </w:pPr>
            <w:r>
              <w:rPr>
                <w:color w:val="000000"/>
              </w:rPr>
              <w:t>Variazioni di alzata e pedata dei gradini nella medesima rampa.</w:t>
            </w:r>
          </w:p>
        </w:tc>
      </w:tr>
    </w:tbl>
    <w:p w:rsidR="00F24DFE" w:rsidRDefault="00F24DFE" w:rsidP="006C0FA7">
      <w:pPr>
        <w:pStyle w:val="Tabella"/>
        <w:suppressAutoHyphens/>
        <w:rPr>
          <w:color w:val="000000"/>
        </w:rPr>
      </w:pPr>
      <w:r>
        <w:rPr>
          <w:color w:val="000000"/>
        </w:rPr>
        <w:t xml:space="preserve">Tabella </w:t>
      </w:r>
      <w:bookmarkStart w:id="10" w:name="Ref_Tabella0_number_only"/>
      <w:r w:rsidRPr="006C0FA7">
        <w:rPr>
          <w:color w:val="auto"/>
        </w:rPr>
        <w:fldChar w:fldCharType="begin"/>
      </w:r>
      <w:r w:rsidRPr="006C0FA7">
        <w:rPr>
          <w:color w:val="auto"/>
        </w:rPr>
        <w:instrText>SEQ Tabella \* ARABIC</w:instrText>
      </w:r>
      <w:r w:rsidRPr="006C0FA7">
        <w:rPr>
          <w:color w:val="auto"/>
        </w:rPr>
        <w:fldChar w:fldCharType="separate"/>
      </w:r>
      <w:r w:rsidRPr="006C0FA7">
        <w:rPr>
          <w:color w:val="auto"/>
        </w:rPr>
        <w:t>V.12-1</w:t>
      </w:r>
      <w:r w:rsidRPr="006C0FA7">
        <w:rPr>
          <w:color w:val="auto"/>
        </w:rPr>
        <w:fldChar w:fldCharType="end"/>
      </w:r>
      <w:bookmarkEnd w:id="10"/>
      <w:r w:rsidRPr="006C0FA7">
        <w:rPr>
          <w:color w:val="auto"/>
        </w:rPr>
        <w:t>:</w:t>
      </w:r>
      <w:r>
        <w:rPr>
          <w:color w:val="000000"/>
        </w:rPr>
        <w:t xml:space="preserve"> Soluzioni conformi per l’esodo</w:t>
      </w:r>
    </w:p>
    <w:p w:rsidR="00F24DFE" w:rsidRDefault="00F24DFE" w:rsidP="006C0FA7">
      <w:pPr>
        <w:pStyle w:val="Heading4"/>
        <w:suppressAutoHyphens/>
        <w:rPr>
          <w:color w:val="000000"/>
        </w:rPr>
      </w:pPr>
      <w:bookmarkStart w:id="11" w:name="__RefHeading___Toc2402_3957911219"/>
      <w:bookmarkEnd w:id="11"/>
      <w:r>
        <w:rPr>
          <w:color w:val="000000"/>
        </w:rPr>
        <w:t>Gestione della sicurezza antincendio</w:t>
      </w:r>
    </w:p>
    <w:p w:rsidR="00F24DFE" w:rsidRPr="006C0FA7" w:rsidRDefault="00F24DFE" w:rsidP="006C0FA7">
      <w:pPr>
        <w:pStyle w:val="BodyText"/>
        <w:widowControl/>
        <w:numPr>
          <w:ilvl w:val="0"/>
          <w:numId w:val="10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Oltre a quanto previsto nel capitolo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S.5 in funzione di R</w:t>
      </w:r>
      <w:r w:rsidRPr="006C0FA7">
        <w:rPr>
          <w:color w:val="000000"/>
          <w:vertAlign w:val="subscript"/>
          <w:lang w:val="it-IT"/>
        </w:rPr>
        <w:t>beni</w:t>
      </w:r>
      <w:r w:rsidRPr="006C0FA7">
        <w:rPr>
          <w:color w:val="000000"/>
          <w:lang w:val="it-IT"/>
        </w:rPr>
        <w:t xml:space="preserve"> devono essere garantiti i seguenti requisiti aggiuntivi:</w:t>
      </w:r>
    </w:p>
    <w:p w:rsidR="00F24DFE" w:rsidRPr="006C0FA7" w:rsidRDefault="00F24DFE" w:rsidP="006C0FA7">
      <w:pPr>
        <w:pStyle w:val="BodyText"/>
        <w:widowControl/>
        <w:numPr>
          <w:ilvl w:val="1"/>
          <w:numId w:val="10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la frequenza delle prove di attuazione del piano di emergenza deve essere non inferiore a 3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volte l’anno e la prima prova deve essere effettuata entro due mesi dall’apertura dell’attività;</w:t>
      </w:r>
    </w:p>
    <w:p w:rsidR="00F24DFE" w:rsidRPr="006C0FA7" w:rsidRDefault="00F24DFE" w:rsidP="006C0FA7">
      <w:pPr>
        <w:pStyle w:val="BodyText"/>
        <w:widowControl/>
        <w:numPr>
          <w:ilvl w:val="1"/>
          <w:numId w:val="10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deve essere predisposto il piano di limitazione dei danni di cui al paragrafo</w:t>
      </w:r>
      <w:r>
        <w:rPr>
          <w:color w:val="000000"/>
          <w:lang w:val="it-IT"/>
        </w:rPr>
        <w:t xml:space="preserve"> </w:t>
      </w:r>
      <w:r w:rsidRPr="006C0FA7">
        <w:rPr>
          <w:lang w:val="it-IT"/>
        </w:rPr>
        <w:fldChar w:fldCharType="begin"/>
      </w:r>
      <w:r w:rsidRPr="006C0FA7">
        <w:rPr>
          <w:lang w:val="it-IT"/>
        </w:rPr>
        <w:instrText>REF __RefHeading___Toc981_3351676782 \r \h</w:instrText>
      </w:r>
      <w:r w:rsidRPr="00BF4952">
        <w:rPr>
          <w:color w:val="000000"/>
        </w:rPr>
      </w:r>
      <w:r w:rsidRPr="006C0FA7">
        <w:rPr>
          <w:lang w:val="it-IT"/>
        </w:rPr>
        <w:fldChar w:fldCharType="separate"/>
      </w:r>
      <w:r w:rsidRPr="006C0FA7">
        <w:rPr>
          <w:lang w:val="it-IT"/>
        </w:rPr>
        <w:t>V.12.5.4.1</w:t>
      </w:r>
      <w:r w:rsidRPr="006C0FA7">
        <w:rPr>
          <w:lang w:val="it-IT"/>
        </w:rPr>
        <w:fldChar w:fldCharType="end"/>
      </w:r>
      <w:r w:rsidRPr="006C0FA7">
        <w:rPr>
          <w:color w:val="000000"/>
          <w:lang w:val="it-IT"/>
        </w:rPr>
        <w:t>.</w:t>
      </w:r>
    </w:p>
    <w:p w:rsidR="00F24DFE" w:rsidRPr="006C0FA7" w:rsidRDefault="00F24DFE" w:rsidP="006C0FA7">
      <w:pPr>
        <w:pStyle w:val="BodyText"/>
        <w:widowControl/>
        <w:numPr>
          <w:ilvl w:val="0"/>
          <w:numId w:val="10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In presenza di cantieri temporanei e mobili, il responsabile dell’attività integra il piano per il mantenimento del livello di sicurezza antincendio (paragrafo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 xml:space="preserve">S.5.7.2), verificando l’osservanza delle misure di prevenzione incendi da parte delle ditte appaltatrici, dei fornitori e di tutto il personale esterno che, a vario titolo, opera all’interno dell’edificio. </w:t>
      </w:r>
    </w:p>
    <w:p w:rsidR="00F24DFE" w:rsidRDefault="00F24DFE" w:rsidP="006C0FA7">
      <w:pPr>
        <w:pStyle w:val="EGNota"/>
        <w:numPr>
          <w:ilvl w:val="0"/>
          <w:numId w:val="2"/>
        </w:numPr>
        <w:suppressAutoHyphens/>
        <w:rPr>
          <w:color w:val="000000"/>
        </w:rPr>
      </w:pPr>
      <w:r>
        <w:rPr>
          <w:color w:val="000000"/>
        </w:rPr>
        <w:t xml:space="preserve">  Ad esempio: disalimentazione impianti elettrici fuori dall’orario di lavoro, adeguamento segnaletica di sicurezza, impedimento vie di esodo, controllo lavorazioni a caldo, …</w:t>
      </w:r>
    </w:p>
    <w:p w:rsidR="00F24DFE" w:rsidRDefault="00F24DFE" w:rsidP="006C0FA7">
      <w:pPr>
        <w:pStyle w:val="Heading5"/>
        <w:suppressAutoHyphens/>
        <w:rPr>
          <w:b/>
          <w:i/>
          <w:iCs/>
          <w:color w:val="000000"/>
          <w:szCs w:val="27"/>
        </w:rPr>
      </w:pPr>
      <w:bookmarkStart w:id="12" w:name="__RefHeading___Toc981_3351676782"/>
      <w:bookmarkEnd w:id="12"/>
      <w:r>
        <w:rPr>
          <w:b/>
          <w:iCs/>
          <w:color w:val="000000"/>
          <w:szCs w:val="27"/>
        </w:rPr>
        <w:t>Piano di limitazione dei danni</w:t>
      </w:r>
    </w:p>
    <w:p w:rsidR="00F24DFE" w:rsidRPr="006C0FA7" w:rsidRDefault="00F24DFE" w:rsidP="006C0FA7">
      <w:pPr>
        <w:pStyle w:val="BodyText"/>
        <w:widowControl/>
        <w:numPr>
          <w:ilvl w:val="0"/>
          <w:numId w:val="11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 xml:space="preserve">Il piano di limitazione dei danni, predisposto dal responsabile dell’attività, deve essere aggiornato e adeguato anche a seguito di specifiche esercitazioni. </w:t>
      </w:r>
    </w:p>
    <w:p w:rsidR="00F24DFE" w:rsidRPr="006C0FA7" w:rsidRDefault="00F24DFE" w:rsidP="006C0FA7">
      <w:pPr>
        <w:pStyle w:val="BodyText"/>
        <w:widowControl/>
        <w:numPr>
          <w:ilvl w:val="0"/>
          <w:numId w:val="11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Il piano di limitazione dei danni contiene misure e procedure per la salvaguardia dei beni tutelati presenti, da mettere in atto in caso di incendio.</w:t>
      </w:r>
    </w:p>
    <w:p w:rsidR="00F24DFE" w:rsidRPr="006C0FA7" w:rsidRDefault="00F24DFE" w:rsidP="006C0FA7">
      <w:pPr>
        <w:pStyle w:val="BodyText"/>
        <w:widowControl/>
        <w:numPr>
          <w:ilvl w:val="0"/>
          <w:numId w:val="11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Il piano di limitazione dei danni deve individuare:</w:t>
      </w:r>
    </w:p>
    <w:p w:rsidR="00F24DFE" w:rsidRPr="006C0FA7" w:rsidRDefault="00F24DFE" w:rsidP="006C0FA7">
      <w:pPr>
        <w:pStyle w:val="BodyText"/>
        <w:widowControl/>
        <w:numPr>
          <w:ilvl w:val="1"/>
          <w:numId w:val="11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i soggetti, adeguatamente formati, incaricati dell’attuazione delle procedure in esso contenute;</w:t>
      </w:r>
    </w:p>
    <w:p w:rsidR="00F24DFE" w:rsidRPr="006C0FA7" w:rsidRDefault="00F24DFE" w:rsidP="006C0FA7">
      <w:pPr>
        <w:pStyle w:val="BodyText"/>
        <w:widowControl/>
        <w:numPr>
          <w:ilvl w:val="1"/>
          <w:numId w:val="11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la distribuzione qualitativa e quantitativa dei beni tutelati presenti;</w:t>
      </w:r>
    </w:p>
    <w:p w:rsidR="00F24DFE" w:rsidRPr="006C0FA7" w:rsidRDefault="00F24DFE" w:rsidP="006C0FA7">
      <w:pPr>
        <w:pStyle w:val="BodyText"/>
        <w:widowControl/>
        <w:numPr>
          <w:ilvl w:val="1"/>
          <w:numId w:val="11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le procedure di allontanamento dei beni dettagliando, ove possibile, anche le priorità di evacuazione e specifici provvedimenti per la rimozione e il trasporto presso i luoghi di ricovero;</w:t>
      </w:r>
    </w:p>
    <w:p w:rsidR="00F24DFE" w:rsidRPr="006C0FA7" w:rsidRDefault="00F24DFE" w:rsidP="006C0FA7">
      <w:pPr>
        <w:pStyle w:val="BodyText"/>
        <w:widowControl/>
        <w:numPr>
          <w:ilvl w:val="1"/>
          <w:numId w:val="11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gli eventuali luoghi di ricovero dei beni rimossi in caso di emergenza, con particolare riferimento alle condizioni di sicurezza e di conservazione degli stessi;</w:t>
      </w:r>
    </w:p>
    <w:p w:rsidR="00F24DFE" w:rsidRPr="006C0FA7" w:rsidRDefault="00F24DFE" w:rsidP="006C0FA7">
      <w:pPr>
        <w:pStyle w:val="BodyText"/>
        <w:widowControl/>
        <w:numPr>
          <w:ilvl w:val="1"/>
          <w:numId w:val="11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le procedure per la protezione in loco dei beni inamovibili o difficilmente spostabili;</w:t>
      </w:r>
    </w:p>
    <w:p w:rsidR="00F24DFE" w:rsidRDefault="00F24DFE" w:rsidP="006C0FA7">
      <w:pPr>
        <w:pStyle w:val="EGNota"/>
        <w:numPr>
          <w:ilvl w:val="0"/>
          <w:numId w:val="2"/>
        </w:numPr>
        <w:suppressAutoHyphens/>
        <w:rPr>
          <w:color w:val="000000"/>
        </w:rPr>
      </w:pPr>
      <w:r>
        <w:rPr>
          <w:color w:val="000000"/>
        </w:rPr>
        <w:t xml:space="preserve">  Ad esempio: copertura con materiali di protezione, puntellamenti, riadesioni di parti staccate, barriere contro schegge, …</w:t>
      </w:r>
    </w:p>
    <w:p w:rsidR="00F24DFE" w:rsidRPr="006C0FA7" w:rsidRDefault="00F24DFE" w:rsidP="006C0FA7">
      <w:pPr>
        <w:pStyle w:val="BodyText"/>
        <w:widowControl/>
        <w:numPr>
          <w:ilvl w:val="1"/>
          <w:numId w:val="11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le eventuali restrizioni nell’utilizzo di sostanze estinguenti.</w:t>
      </w:r>
    </w:p>
    <w:p w:rsidR="00F24DFE" w:rsidRDefault="00F24DFE" w:rsidP="006C0FA7">
      <w:pPr>
        <w:pStyle w:val="EGNota"/>
        <w:numPr>
          <w:ilvl w:val="0"/>
          <w:numId w:val="2"/>
        </w:numPr>
        <w:suppressAutoHyphens/>
        <w:rPr>
          <w:color w:val="000000"/>
        </w:rPr>
      </w:pPr>
      <w:r>
        <w:rPr>
          <w:color w:val="000000"/>
        </w:rPr>
        <w:t xml:space="preserve">  Ad esempio: zone in cui è necessario evitare o limitare l’uso di acqua per minimizzare i danni ai beni tutelati in esso contenuti …</w:t>
      </w:r>
    </w:p>
    <w:p w:rsidR="00F24DFE" w:rsidRDefault="00F24DFE" w:rsidP="006C0FA7">
      <w:pPr>
        <w:pStyle w:val="Heading4"/>
        <w:suppressAutoHyphens/>
        <w:rPr>
          <w:color w:val="000000"/>
        </w:rPr>
      </w:pPr>
      <w:bookmarkStart w:id="13" w:name="__RefHeading___Toc2404_3957911219"/>
      <w:bookmarkEnd w:id="13"/>
      <w:r>
        <w:rPr>
          <w:color w:val="000000"/>
        </w:rPr>
        <w:t>Controllo dell’incendio</w:t>
      </w:r>
    </w:p>
    <w:p w:rsidR="00F24DFE" w:rsidRPr="006C0FA7" w:rsidRDefault="00F24DFE" w:rsidP="006C0FA7">
      <w:pPr>
        <w:pStyle w:val="BodyText"/>
        <w:widowControl/>
        <w:numPr>
          <w:ilvl w:val="0"/>
          <w:numId w:val="12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In considerazione della natura dell’edificio tutelato e delle misure aggiuntive previste nella presente RTV, nella determinazione del valore del carico di incendio specifico q</w:t>
      </w:r>
      <w:r w:rsidRPr="006C0FA7">
        <w:rPr>
          <w:color w:val="000000"/>
          <w:vertAlign w:val="subscript"/>
          <w:lang w:val="it-IT"/>
        </w:rPr>
        <w:t>f</w:t>
      </w:r>
      <w:r w:rsidRPr="006C0FA7">
        <w:rPr>
          <w:color w:val="000000"/>
          <w:lang w:val="it-IT"/>
        </w:rPr>
        <w:t xml:space="preserve"> (tabella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S.6-2), è ammesso non tenere conto del contributo degli elementi strutturali portanti combustibili e dei beni tutelati presenti.</w:t>
      </w:r>
    </w:p>
    <w:p w:rsidR="00F24DFE" w:rsidRPr="006C0FA7" w:rsidRDefault="00F24DFE" w:rsidP="006C0FA7">
      <w:pPr>
        <w:pStyle w:val="BodyText"/>
        <w:widowControl/>
        <w:numPr>
          <w:ilvl w:val="0"/>
          <w:numId w:val="12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La scelta degli agenti estinguenti deve essere effettuata secondo quanto previsto al capitolo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S.6 tenendo in considerazione anche la compatibilità degli stessi con i beni tutelati presenti.</w:t>
      </w:r>
    </w:p>
    <w:p w:rsidR="00F24DFE" w:rsidRDefault="00F24DFE" w:rsidP="006C0FA7">
      <w:pPr>
        <w:pStyle w:val="Heading4"/>
        <w:suppressAutoHyphens/>
        <w:rPr>
          <w:color w:val="000000"/>
        </w:rPr>
      </w:pPr>
      <w:bookmarkStart w:id="14" w:name="__RefHeading___Toc2406_3957911219"/>
      <w:bookmarkEnd w:id="14"/>
      <w:r>
        <w:rPr>
          <w:color w:val="000000"/>
        </w:rPr>
        <w:t>Rivelazione ed allarme</w:t>
      </w:r>
    </w:p>
    <w:p w:rsidR="00F24DFE" w:rsidRPr="006C0FA7" w:rsidRDefault="00F24DFE" w:rsidP="006C0FA7">
      <w:pPr>
        <w:pStyle w:val="BodyText"/>
        <w:widowControl/>
        <w:numPr>
          <w:ilvl w:val="0"/>
          <w:numId w:val="13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L’attività deve essere dotata di misure di rivelazione ed allarme (capitolo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S.7) di livello di prestazione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IV.</w:t>
      </w:r>
    </w:p>
    <w:p w:rsidR="00F24DFE" w:rsidRDefault="00F24DFE" w:rsidP="006C0FA7">
      <w:pPr>
        <w:pStyle w:val="Heading4"/>
        <w:suppressAutoHyphens/>
        <w:rPr>
          <w:color w:val="000000"/>
        </w:rPr>
      </w:pPr>
      <w:bookmarkStart w:id="15" w:name="__RefHeading___Toc2408_3957911219"/>
      <w:bookmarkEnd w:id="15"/>
      <w:r>
        <w:rPr>
          <w:color w:val="000000"/>
        </w:rPr>
        <w:t>Controllo di fumi e calore</w:t>
      </w:r>
    </w:p>
    <w:p w:rsidR="00F24DFE" w:rsidRPr="006C0FA7" w:rsidRDefault="00F24DFE" w:rsidP="006C0FA7">
      <w:pPr>
        <w:pStyle w:val="BodyText"/>
        <w:widowControl/>
        <w:numPr>
          <w:ilvl w:val="0"/>
          <w:numId w:val="14"/>
        </w:numPr>
        <w:suppressAutoHyphens/>
        <w:spacing w:after="113"/>
        <w:jc w:val="both"/>
        <w:rPr>
          <w:color w:val="000000"/>
          <w:lang w:val="it-IT"/>
        </w:rPr>
      </w:pPr>
      <w:r w:rsidRPr="006C0FA7">
        <w:rPr>
          <w:color w:val="000000"/>
          <w:lang w:val="it-IT"/>
        </w:rPr>
        <w:t>In considerazione della natura dell’edificio tutelato e delle misure aggiuntive previste nella presente RTV, nella determinazione del valore del carico di incendio specifico q</w:t>
      </w:r>
      <w:r w:rsidRPr="006C0FA7">
        <w:rPr>
          <w:color w:val="000000"/>
          <w:vertAlign w:val="subscript"/>
          <w:lang w:val="it-IT"/>
        </w:rPr>
        <w:t>f</w:t>
      </w:r>
      <w:r w:rsidRPr="006C0FA7">
        <w:rPr>
          <w:color w:val="000000"/>
          <w:lang w:val="it-IT"/>
        </w:rPr>
        <w:t xml:space="preserve"> (tabella</w:t>
      </w:r>
      <w:r>
        <w:rPr>
          <w:color w:val="000000"/>
          <w:lang w:val="it-IT"/>
        </w:rPr>
        <w:t xml:space="preserve"> </w:t>
      </w:r>
      <w:r w:rsidRPr="006C0FA7">
        <w:rPr>
          <w:color w:val="000000"/>
          <w:lang w:val="it-IT"/>
        </w:rPr>
        <w:t>S.8-5), è ammesso non tenere conto del contributo degli elementi strutturali portanti combustibili e dei beni tutelati presenti.</w:t>
      </w:r>
    </w:p>
    <w:p w:rsidR="00F24DFE" w:rsidRDefault="00F24DFE"/>
    <w:sectPr w:rsidR="00F24DFE" w:rsidSect="00D02A25">
      <w:headerReference w:type="default" r:id="rId7"/>
      <w:footerReference w:type="default" r:id="rId8"/>
      <w:pgSz w:w="11906" w:h="16838"/>
      <w:pgMar w:top="1268" w:right="991" w:bottom="1276" w:left="1418" w:header="720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DFE" w:rsidRDefault="00F24DFE" w:rsidP="00D02A25">
      <w:r>
        <w:separator/>
      </w:r>
    </w:p>
  </w:endnote>
  <w:endnote w:type="continuationSeparator" w:id="0">
    <w:p w:rsidR="00F24DFE" w:rsidRDefault="00F24DFE" w:rsidP="00D02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New-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DFE" w:rsidRDefault="00F24DFE">
    <w:pPr>
      <w:pStyle w:val="Footer1"/>
      <w:tabs>
        <w:tab w:val="clear" w:pos="9638"/>
        <w:tab w:val="right" w:pos="949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DFE" w:rsidRDefault="00F24DFE" w:rsidP="00D02A25">
      <w:r>
        <w:separator/>
      </w:r>
    </w:p>
  </w:footnote>
  <w:footnote w:type="continuationSeparator" w:id="0">
    <w:p w:rsidR="00F24DFE" w:rsidRDefault="00F24DFE" w:rsidP="00D02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DFE" w:rsidRDefault="00F24DFE">
    <w:pPr>
      <w:pStyle w:val="Header1"/>
      <w:tabs>
        <w:tab w:val="clear" w:pos="4819"/>
        <w:tab w:val="center" w:pos="7380"/>
      </w:tabs>
      <w:ind w:right="-496"/>
      <w:rPr>
        <w:sz w:val="20"/>
      </w:rPr>
    </w:pPr>
  </w:p>
  <w:p w:rsidR="00F24DFE" w:rsidRDefault="00F24DFE">
    <w:pPr>
      <w:pStyle w:val="Header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1DC6"/>
    <w:multiLevelType w:val="multilevel"/>
    <w:tmpl w:val="FFFFFFFF"/>
    <w:lvl w:ilvl="0">
      <w:start w:val="1"/>
      <w:numFmt w:val="decimal"/>
      <w:lvlText w:val="%1.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1">
      <w:start w:val="1"/>
      <w:numFmt w:val="lowerLetter"/>
      <w:lvlText w:val="%2."/>
      <w:lvlJc w:val="right"/>
      <w:pPr>
        <w:tabs>
          <w:tab w:val="num" w:pos="2268"/>
        </w:tabs>
        <w:ind w:left="2268" w:hanging="11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51"/>
        </w:tabs>
        <w:ind w:left="2551" w:hanging="113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35"/>
        </w:tabs>
        <w:ind w:left="2835" w:hanging="114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118"/>
        </w:tabs>
        <w:ind w:left="3118" w:hanging="113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4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3685"/>
        </w:tabs>
        <w:ind w:left="3685" w:hanging="113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3969"/>
        </w:tabs>
        <w:ind w:left="3969" w:hanging="11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113"/>
      </w:pPr>
      <w:rPr>
        <w:rFonts w:cs="Times New Roman"/>
      </w:rPr>
    </w:lvl>
  </w:abstractNum>
  <w:abstractNum w:abstractNumId="1">
    <w:nsid w:val="0C1410AD"/>
    <w:multiLevelType w:val="multilevel"/>
    <w:tmpl w:val="FFFFFFFF"/>
    <w:lvl w:ilvl="0">
      <w:start w:val="22"/>
      <w:numFmt w:val="upperLetter"/>
      <w:pStyle w:val="Heading1"/>
      <w:lvlText w:val="Sezione %1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1">
      <w:start w:val="12"/>
      <w:numFmt w:val="decimal"/>
      <w:pStyle w:val="Heading2"/>
      <w:lvlText w:val="Capitolo %1.%2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1701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01"/>
        </w:tabs>
        <w:ind w:left="1701" w:hanging="1701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01"/>
        </w:tabs>
        <w:ind w:left="1701" w:hanging="1701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cs="Times New Roman"/>
      </w:rPr>
    </w:lvl>
  </w:abstractNum>
  <w:abstractNum w:abstractNumId="2">
    <w:nsid w:val="22363570"/>
    <w:multiLevelType w:val="multilevel"/>
    <w:tmpl w:val="FFFFFFFF"/>
    <w:lvl w:ilvl="0">
      <w:start w:val="1"/>
      <w:numFmt w:val="decimal"/>
      <w:lvlText w:val="%1.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1">
      <w:start w:val="1"/>
      <w:numFmt w:val="lowerLetter"/>
      <w:lvlText w:val="%2."/>
      <w:lvlJc w:val="right"/>
      <w:pPr>
        <w:tabs>
          <w:tab w:val="num" w:pos="2268"/>
        </w:tabs>
        <w:ind w:left="2268" w:hanging="11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51"/>
        </w:tabs>
        <w:ind w:left="2551" w:hanging="113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35"/>
        </w:tabs>
        <w:ind w:left="2835" w:hanging="114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118"/>
        </w:tabs>
        <w:ind w:left="3118" w:hanging="113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4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3685"/>
        </w:tabs>
        <w:ind w:left="3685" w:hanging="113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3969"/>
        </w:tabs>
        <w:ind w:left="3969" w:hanging="11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113"/>
      </w:pPr>
      <w:rPr>
        <w:rFonts w:cs="Times New Roman"/>
      </w:rPr>
    </w:lvl>
  </w:abstractNum>
  <w:abstractNum w:abstractNumId="3">
    <w:nsid w:val="2ABF0B1C"/>
    <w:multiLevelType w:val="multilevel"/>
    <w:tmpl w:val="FFFFFFFF"/>
    <w:lvl w:ilvl="0">
      <w:start w:val="1"/>
      <w:numFmt w:val="decimal"/>
      <w:lvlText w:val="%1.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1">
      <w:start w:val="1"/>
      <w:numFmt w:val="lowerLetter"/>
      <w:lvlText w:val="%2."/>
      <w:lvlJc w:val="right"/>
      <w:pPr>
        <w:tabs>
          <w:tab w:val="num" w:pos="2268"/>
        </w:tabs>
        <w:ind w:left="2268" w:hanging="11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51"/>
        </w:tabs>
        <w:ind w:left="2551" w:hanging="113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35"/>
        </w:tabs>
        <w:ind w:left="2835" w:hanging="114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118"/>
        </w:tabs>
        <w:ind w:left="3118" w:hanging="113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4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3685"/>
        </w:tabs>
        <w:ind w:left="3685" w:hanging="113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3969"/>
        </w:tabs>
        <w:ind w:left="3969" w:hanging="11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113"/>
      </w:pPr>
      <w:rPr>
        <w:rFonts w:cs="Times New Roman"/>
      </w:rPr>
    </w:lvl>
  </w:abstractNum>
  <w:abstractNum w:abstractNumId="4">
    <w:nsid w:val="48B9171B"/>
    <w:multiLevelType w:val="multilevel"/>
    <w:tmpl w:val="FFFFFFFF"/>
    <w:lvl w:ilvl="0">
      <w:start w:val="1"/>
      <w:numFmt w:val="decimal"/>
      <w:lvlText w:val="%1.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1">
      <w:start w:val="1"/>
      <w:numFmt w:val="lowerLetter"/>
      <w:lvlText w:val="%2."/>
      <w:lvlJc w:val="right"/>
      <w:pPr>
        <w:tabs>
          <w:tab w:val="num" w:pos="2268"/>
        </w:tabs>
        <w:ind w:left="2268" w:hanging="11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51"/>
        </w:tabs>
        <w:ind w:left="2551" w:hanging="113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35"/>
        </w:tabs>
        <w:ind w:left="2835" w:hanging="114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118"/>
        </w:tabs>
        <w:ind w:left="3118" w:hanging="113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4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3685"/>
        </w:tabs>
        <w:ind w:left="3685" w:hanging="113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3969"/>
        </w:tabs>
        <w:ind w:left="3969" w:hanging="11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113"/>
      </w:pPr>
      <w:rPr>
        <w:rFonts w:cs="Times New Roman"/>
      </w:rPr>
    </w:lvl>
  </w:abstractNum>
  <w:abstractNum w:abstractNumId="5">
    <w:nsid w:val="52ED170D"/>
    <w:multiLevelType w:val="multilevel"/>
    <w:tmpl w:val="FFFFFFFF"/>
    <w:lvl w:ilvl="0">
      <w:start w:val="1"/>
      <w:numFmt w:val="decimal"/>
      <w:lvlText w:val="%1.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1">
      <w:start w:val="1"/>
      <w:numFmt w:val="lowerLetter"/>
      <w:lvlText w:val="%2."/>
      <w:lvlJc w:val="right"/>
      <w:pPr>
        <w:tabs>
          <w:tab w:val="num" w:pos="2268"/>
        </w:tabs>
        <w:ind w:left="2268" w:hanging="11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51"/>
        </w:tabs>
        <w:ind w:left="2551" w:hanging="113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35"/>
        </w:tabs>
        <w:ind w:left="2835" w:hanging="114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118"/>
        </w:tabs>
        <w:ind w:left="3118" w:hanging="113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4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3685"/>
        </w:tabs>
        <w:ind w:left="3685" w:hanging="113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3969"/>
        </w:tabs>
        <w:ind w:left="3969" w:hanging="11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113"/>
      </w:pPr>
      <w:rPr>
        <w:rFonts w:cs="Times New Roman"/>
      </w:rPr>
    </w:lvl>
  </w:abstractNum>
  <w:abstractNum w:abstractNumId="6">
    <w:nsid w:val="581014F0"/>
    <w:multiLevelType w:val="multilevel"/>
    <w:tmpl w:val="FFFFFFFF"/>
    <w:lvl w:ilvl="0">
      <w:start w:val="1"/>
      <w:numFmt w:val="none"/>
      <w:suff w:val="nothing"/>
      <w:lvlText w:val="Nota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1">
      <w:start w:val="1"/>
      <w:numFmt w:val="none"/>
      <w:suff w:val="nothing"/>
      <w:lvlText w:val="Nota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2">
      <w:start w:val="1"/>
      <w:numFmt w:val="none"/>
      <w:suff w:val="nothing"/>
      <w:lvlText w:val="Nota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3">
      <w:start w:val="1"/>
      <w:numFmt w:val="none"/>
      <w:suff w:val="nothing"/>
      <w:lvlText w:val="Nota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4">
      <w:start w:val="1"/>
      <w:numFmt w:val="none"/>
      <w:suff w:val="nothing"/>
      <w:lvlText w:val="Nota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5">
      <w:start w:val="1"/>
      <w:numFmt w:val="none"/>
      <w:suff w:val="nothing"/>
      <w:lvlText w:val="Nota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6">
      <w:start w:val="1"/>
      <w:numFmt w:val="none"/>
      <w:suff w:val="nothing"/>
      <w:lvlText w:val="Nota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7">
      <w:start w:val="1"/>
      <w:numFmt w:val="none"/>
      <w:suff w:val="nothing"/>
      <w:lvlText w:val="Nota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8">
      <w:start w:val="1"/>
      <w:numFmt w:val="none"/>
      <w:suff w:val="nothing"/>
      <w:lvlText w:val="Nota"/>
      <w:lvlJc w:val="right"/>
      <w:pPr>
        <w:tabs>
          <w:tab w:val="num" w:pos="1984"/>
        </w:tabs>
        <w:ind w:left="1984" w:hanging="113"/>
      </w:pPr>
      <w:rPr>
        <w:rFonts w:cs="Times New Roman"/>
      </w:rPr>
    </w:lvl>
  </w:abstractNum>
  <w:abstractNum w:abstractNumId="7">
    <w:nsid w:val="59374AED"/>
    <w:multiLevelType w:val="multilevel"/>
    <w:tmpl w:val="FFFFFFFF"/>
    <w:lvl w:ilvl="0">
      <w:start w:val="1"/>
      <w:numFmt w:val="decimal"/>
      <w:lvlText w:val="%1.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1">
      <w:start w:val="1"/>
      <w:numFmt w:val="lowerLetter"/>
      <w:lvlText w:val="%2."/>
      <w:lvlJc w:val="right"/>
      <w:pPr>
        <w:tabs>
          <w:tab w:val="num" w:pos="2268"/>
        </w:tabs>
        <w:ind w:left="2268" w:hanging="11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51"/>
        </w:tabs>
        <w:ind w:left="2551" w:hanging="113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35"/>
        </w:tabs>
        <w:ind w:left="2835" w:hanging="114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118"/>
        </w:tabs>
        <w:ind w:left="3118" w:hanging="113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4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3685"/>
        </w:tabs>
        <w:ind w:left="3685" w:hanging="113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3969"/>
        </w:tabs>
        <w:ind w:left="3969" w:hanging="11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113"/>
      </w:pPr>
      <w:rPr>
        <w:rFonts w:cs="Times New Roman"/>
      </w:rPr>
    </w:lvl>
  </w:abstractNum>
  <w:abstractNum w:abstractNumId="8">
    <w:nsid w:val="5D9261D5"/>
    <w:multiLevelType w:val="multilevel"/>
    <w:tmpl w:val="FFFFFFFF"/>
    <w:lvl w:ilvl="0">
      <w:start w:val="1"/>
      <w:numFmt w:val="decimal"/>
      <w:lvlText w:val="%1.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1">
      <w:start w:val="1"/>
      <w:numFmt w:val="lowerLetter"/>
      <w:lvlText w:val="%2."/>
      <w:lvlJc w:val="right"/>
      <w:pPr>
        <w:tabs>
          <w:tab w:val="num" w:pos="2268"/>
        </w:tabs>
        <w:ind w:left="2268" w:hanging="11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51"/>
        </w:tabs>
        <w:ind w:left="2551" w:hanging="113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35"/>
        </w:tabs>
        <w:ind w:left="2835" w:hanging="114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118"/>
        </w:tabs>
        <w:ind w:left="3118" w:hanging="113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4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3685"/>
        </w:tabs>
        <w:ind w:left="3685" w:hanging="113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3969"/>
        </w:tabs>
        <w:ind w:left="3969" w:hanging="11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113"/>
      </w:pPr>
      <w:rPr>
        <w:rFonts w:cs="Times New Roman"/>
      </w:rPr>
    </w:lvl>
  </w:abstractNum>
  <w:abstractNum w:abstractNumId="9">
    <w:nsid w:val="5DDB6009"/>
    <w:multiLevelType w:val="multilevel"/>
    <w:tmpl w:val="FFFFFFFF"/>
    <w:lvl w:ilvl="0">
      <w:start w:val="1"/>
      <w:numFmt w:val="decimal"/>
      <w:lvlText w:val="%1.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1">
      <w:start w:val="1"/>
      <w:numFmt w:val="lowerLetter"/>
      <w:lvlText w:val="%2."/>
      <w:lvlJc w:val="right"/>
      <w:pPr>
        <w:tabs>
          <w:tab w:val="num" w:pos="2268"/>
        </w:tabs>
        <w:ind w:left="2268" w:hanging="11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51"/>
        </w:tabs>
        <w:ind w:left="2551" w:hanging="113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35"/>
        </w:tabs>
        <w:ind w:left="2835" w:hanging="114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118"/>
        </w:tabs>
        <w:ind w:left="3118" w:hanging="113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4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3685"/>
        </w:tabs>
        <w:ind w:left="3685" w:hanging="113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3969"/>
        </w:tabs>
        <w:ind w:left="3969" w:hanging="11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113"/>
      </w:pPr>
      <w:rPr>
        <w:rFonts w:cs="Times New Roman"/>
      </w:rPr>
    </w:lvl>
  </w:abstractNum>
  <w:abstractNum w:abstractNumId="10">
    <w:nsid w:val="635748DD"/>
    <w:multiLevelType w:val="multilevel"/>
    <w:tmpl w:val="FFFFFFFF"/>
    <w:lvl w:ilvl="0">
      <w:start w:val="1"/>
      <w:numFmt w:val="decimal"/>
      <w:lvlText w:val="%1.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1">
      <w:start w:val="1"/>
      <w:numFmt w:val="lowerLetter"/>
      <w:lvlText w:val="%2."/>
      <w:lvlJc w:val="right"/>
      <w:pPr>
        <w:tabs>
          <w:tab w:val="num" w:pos="2268"/>
        </w:tabs>
        <w:ind w:left="2268" w:hanging="11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51"/>
        </w:tabs>
        <w:ind w:left="2551" w:hanging="113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35"/>
        </w:tabs>
        <w:ind w:left="2835" w:hanging="114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118"/>
        </w:tabs>
        <w:ind w:left="3118" w:hanging="113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4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3685"/>
        </w:tabs>
        <w:ind w:left="3685" w:hanging="113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3969"/>
        </w:tabs>
        <w:ind w:left="3969" w:hanging="11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113"/>
      </w:pPr>
      <w:rPr>
        <w:rFonts w:cs="Times New Roman"/>
      </w:rPr>
    </w:lvl>
  </w:abstractNum>
  <w:abstractNum w:abstractNumId="11">
    <w:nsid w:val="736F2CC2"/>
    <w:multiLevelType w:val="multilevel"/>
    <w:tmpl w:val="FFFFFFFF"/>
    <w:lvl w:ilvl="0">
      <w:start w:val="1"/>
      <w:numFmt w:val="decimal"/>
      <w:lvlText w:val="%1.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1">
      <w:start w:val="1"/>
      <w:numFmt w:val="lowerLetter"/>
      <w:lvlText w:val="%2."/>
      <w:lvlJc w:val="right"/>
      <w:pPr>
        <w:tabs>
          <w:tab w:val="num" w:pos="2268"/>
        </w:tabs>
        <w:ind w:left="2268" w:hanging="11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51"/>
        </w:tabs>
        <w:ind w:left="2551" w:hanging="113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35"/>
        </w:tabs>
        <w:ind w:left="2835" w:hanging="114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118"/>
        </w:tabs>
        <w:ind w:left="3118" w:hanging="113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4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3685"/>
        </w:tabs>
        <w:ind w:left="3685" w:hanging="113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3969"/>
        </w:tabs>
        <w:ind w:left="3969" w:hanging="11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113"/>
      </w:pPr>
      <w:rPr>
        <w:rFonts w:cs="Times New Roman"/>
      </w:rPr>
    </w:lvl>
  </w:abstractNum>
  <w:abstractNum w:abstractNumId="12">
    <w:nsid w:val="73792D05"/>
    <w:multiLevelType w:val="multilevel"/>
    <w:tmpl w:val="FFFFFFFF"/>
    <w:lvl w:ilvl="0">
      <w:start w:val="1"/>
      <w:numFmt w:val="decimal"/>
      <w:lvlText w:val="%1.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1">
      <w:start w:val="1"/>
      <w:numFmt w:val="lowerLetter"/>
      <w:lvlText w:val="%2."/>
      <w:lvlJc w:val="right"/>
      <w:pPr>
        <w:tabs>
          <w:tab w:val="num" w:pos="2268"/>
        </w:tabs>
        <w:ind w:left="2268" w:hanging="11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51"/>
        </w:tabs>
        <w:ind w:left="2551" w:hanging="113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35"/>
        </w:tabs>
        <w:ind w:left="2835" w:hanging="114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118"/>
        </w:tabs>
        <w:ind w:left="3118" w:hanging="113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4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3685"/>
        </w:tabs>
        <w:ind w:left="3685" w:hanging="113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3969"/>
        </w:tabs>
        <w:ind w:left="3969" w:hanging="11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113"/>
      </w:pPr>
      <w:rPr>
        <w:rFonts w:cs="Times New Roman"/>
      </w:rPr>
    </w:lvl>
  </w:abstractNum>
  <w:abstractNum w:abstractNumId="13">
    <w:nsid w:val="774F62F1"/>
    <w:multiLevelType w:val="multilevel"/>
    <w:tmpl w:val="FFFFFFFF"/>
    <w:lvl w:ilvl="0">
      <w:start w:val="1"/>
      <w:numFmt w:val="decimal"/>
      <w:lvlText w:val="%1."/>
      <w:lvlJc w:val="right"/>
      <w:pPr>
        <w:tabs>
          <w:tab w:val="num" w:pos="1984"/>
        </w:tabs>
        <w:ind w:left="1984" w:hanging="113"/>
      </w:pPr>
      <w:rPr>
        <w:rFonts w:cs="Times New Roman"/>
      </w:rPr>
    </w:lvl>
    <w:lvl w:ilvl="1">
      <w:start w:val="1"/>
      <w:numFmt w:val="lowerLetter"/>
      <w:lvlText w:val="%2."/>
      <w:lvlJc w:val="right"/>
      <w:pPr>
        <w:tabs>
          <w:tab w:val="num" w:pos="2268"/>
        </w:tabs>
        <w:ind w:left="2268" w:hanging="11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51"/>
        </w:tabs>
        <w:ind w:left="2551" w:hanging="113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35"/>
        </w:tabs>
        <w:ind w:left="2835" w:hanging="114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118"/>
        </w:tabs>
        <w:ind w:left="3118" w:hanging="113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4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3685"/>
        </w:tabs>
        <w:ind w:left="3685" w:hanging="113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3969"/>
        </w:tabs>
        <w:ind w:left="3969" w:hanging="11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113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4"/>
  </w:num>
  <w:num w:numId="5">
    <w:abstractNumId w:val="3"/>
  </w:num>
  <w:num w:numId="6">
    <w:abstractNumId w:val="9"/>
  </w:num>
  <w:num w:numId="7">
    <w:abstractNumId w:val="11"/>
  </w:num>
  <w:num w:numId="8">
    <w:abstractNumId w:val="7"/>
  </w:num>
  <w:num w:numId="9">
    <w:abstractNumId w:val="2"/>
  </w:num>
  <w:num w:numId="10">
    <w:abstractNumId w:val="5"/>
  </w:num>
  <w:num w:numId="11">
    <w:abstractNumId w:val="13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A25"/>
    <w:rsid w:val="00007E08"/>
    <w:rsid w:val="002A4CE5"/>
    <w:rsid w:val="005A780E"/>
    <w:rsid w:val="006C0FA7"/>
    <w:rsid w:val="007C7667"/>
    <w:rsid w:val="0081378A"/>
    <w:rsid w:val="00A10539"/>
    <w:rsid w:val="00BC073C"/>
    <w:rsid w:val="00BF4952"/>
    <w:rsid w:val="00D02A25"/>
    <w:rsid w:val="00D216A8"/>
    <w:rsid w:val="00F24DFE"/>
    <w:rsid w:val="00F7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Title"/>
    <w:next w:val="BodyText"/>
    <w:link w:val="Heading1Char"/>
    <w:uiPriority w:val="99"/>
    <w:qFormat/>
    <w:locked/>
    <w:rsid w:val="006C0FA7"/>
    <w:pPr>
      <w:widowControl w:val="0"/>
      <w:numPr>
        <w:numId w:val="1"/>
      </w:numPr>
      <w:suppressAutoHyphens w:val="0"/>
      <w:spacing w:before="0" w:after="1134"/>
      <w:outlineLvl w:val="0"/>
    </w:pPr>
    <w:rPr>
      <w:rFonts w:eastAsia="Times New Roman" w:cs="Lohit Devanagari"/>
      <w:b/>
      <w:bCs/>
      <w:color w:val="21409A"/>
      <w:kern w:val="2"/>
      <w:sz w:val="32"/>
      <w:szCs w:val="36"/>
      <w:lang w:bidi="hi-IN"/>
    </w:rPr>
  </w:style>
  <w:style w:type="paragraph" w:styleId="Heading2">
    <w:name w:val="heading 2"/>
    <w:basedOn w:val="Title"/>
    <w:next w:val="BodyText"/>
    <w:link w:val="Heading2Char"/>
    <w:uiPriority w:val="99"/>
    <w:qFormat/>
    <w:locked/>
    <w:rsid w:val="006C0FA7"/>
    <w:pPr>
      <w:widowControl w:val="0"/>
      <w:numPr>
        <w:ilvl w:val="1"/>
        <w:numId w:val="1"/>
      </w:numPr>
      <w:suppressLineNumbers/>
      <w:suppressAutoHyphens w:val="0"/>
      <w:spacing w:before="0" w:after="567"/>
      <w:outlineLvl w:val="1"/>
    </w:pPr>
    <w:rPr>
      <w:rFonts w:eastAsia="Times New Roman" w:cs="Lohit Devanagari"/>
      <w:b/>
      <w:bCs/>
      <w:color w:val="21409A"/>
      <w:kern w:val="2"/>
      <w:sz w:val="32"/>
      <w:szCs w:val="32"/>
      <w:lang w:bidi="hi-IN"/>
    </w:rPr>
  </w:style>
  <w:style w:type="paragraph" w:styleId="Heading3">
    <w:name w:val="heading 3"/>
    <w:basedOn w:val="Title"/>
    <w:next w:val="BodyText"/>
    <w:link w:val="Heading3Char"/>
    <w:uiPriority w:val="99"/>
    <w:qFormat/>
    <w:locked/>
    <w:rsid w:val="006C0FA7"/>
    <w:pPr>
      <w:numPr>
        <w:ilvl w:val="2"/>
        <w:numId w:val="1"/>
      </w:numPr>
      <w:pBdr>
        <w:top w:val="single" w:sz="2" w:space="5" w:color="000000"/>
      </w:pBdr>
      <w:suppressAutoHyphens w:val="0"/>
      <w:spacing w:before="227" w:after="113"/>
      <w:outlineLvl w:val="2"/>
    </w:pPr>
    <w:rPr>
      <w:rFonts w:eastAsia="Times New Roman" w:cs="Lohit Devanagari"/>
      <w:b/>
      <w:bCs/>
      <w:color w:val="21409A"/>
      <w:kern w:val="2"/>
      <w:sz w:val="22"/>
      <w:lang w:bidi="hi-IN"/>
    </w:rPr>
  </w:style>
  <w:style w:type="paragraph" w:styleId="Heading4">
    <w:name w:val="heading 4"/>
    <w:basedOn w:val="Title"/>
    <w:next w:val="BodyText"/>
    <w:link w:val="Heading4Char"/>
    <w:uiPriority w:val="99"/>
    <w:qFormat/>
    <w:locked/>
    <w:rsid w:val="006C0FA7"/>
    <w:pPr>
      <w:numPr>
        <w:ilvl w:val="3"/>
        <w:numId w:val="1"/>
      </w:numPr>
      <w:suppressAutoHyphens w:val="0"/>
      <w:spacing w:before="227" w:after="113"/>
      <w:outlineLvl w:val="3"/>
    </w:pPr>
    <w:rPr>
      <w:rFonts w:eastAsia="Times New Roman" w:cs="Lohit Devanagari"/>
      <w:b/>
      <w:bCs/>
      <w:iCs/>
      <w:color w:val="21409A"/>
      <w:kern w:val="2"/>
      <w:sz w:val="22"/>
      <w:szCs w:val="27"/>
      <w:lang w:bidi="hi-IN"/>
    </w:rPr>
  </w:style>
  <w:style w:type="paragraph" w:styleId="Heading5">
    <w:name w:val="heading 5"/>
    <w:basedOn w:val="Title"/>
    <w:next w:val="BodyText"/>
    <w:link w:val="Heading5Char"/>
    <w:uiPriority w:val="99"/>
    <w:qFormat/>
    <w:locked/>
    <w:rsid w:val="006C0FA7"/>
    <w:pPr>
      <w:numPr>
        <w:ilvl w:val="4"/>
        <w:numId w:val="1"/>
      </w:numPr>
      <w:suppressAutoHyphens w:val="0"/>
      <w:spacing w:before="113" w:after="113"/>
      <w:outlineLvl w:val="4"/>
    </w:pPr>
    <w:rPr>
      <w:rFonts w:eastAsia="Times New Roman" w:cs="Lohit Devanagari"/>
      <w:bCs/>
      <w:color w:val="21409A"/>
      <w:kern w:val="2"/>
      <w:sz w:val="22"/>
      <w:szCs w:val="24"/>
      <w:lang w:bidi="hi-IN"/>
    </w:rPr>
  </w:style>
  <w:style w:type="paragraph" w:styleId="Heading6">
    <w:name w:val="heading 6"/>
    <w:basedOn w:val="Title"/>
    <w:next w:val="BodyText"/>
    <w:link w:val="Heading6Char"/>
    <w:uiPriority w:val="99"/>
    <w:qFormat/>
    <w:locked/>
    <w:rsid w:val="006C0FA7"/>
    <w:pPr>
      <w:numPr>
        <w:ilvl w:val="5"/>
        <w:numId w:val="1"/>
      </w:numPr>
      <w:suppressAutoHyphens w:val="0"/>
      <w:spacing w:before="60" w:after="60"/>
      <w:outlineLvl w:val="5"/>
    </w:pPr>
    <w:rPr>
      <w:rFonts w:eastAsia="Times New Roman" w:cs="Lohit Devanagari"/>
      <w:b/>
      <w:bCs/>
      <w:i/>
      <w:iCs/>
      <w:color w:val="21409A"/>
      <w:kern w:val="2"/>
      <w:sz w:val="24"/>
      <w:szCs w:val="24"/>
      <w:lang w:bidi="hi-IN"/>
    </w:rPr>
  </w:style>
  <w:style w:type="paragraph" w:styleId="Heading7">
    <w:name w:val="heading 7"/>
    <w:basedOn w:val="Title"/>
    <w:next w:val="BodyText"/>
    <w:link w:val="Heading7Char"/>
    <w:uiPriority w:val="99"/>
    <w:qFormat/>
    <w:locked/>
    <w:rsid w:val="006C0FA7"/>
    <w:pPr>
      <w:numPr>
        <w:ilvl w:val="6"/>
        <w:numId w:val="1"/>
      </w:numPr>
      <w:suppressAutoHyphens w:val="0"/>
      <w:spacing w:before="60" w:after="60"/>
      <w:outlineLvl w:val="6"/>
    </w:pPr>
    <w:rPr>
      <w:rFonts w:eastAsia="Times New Roman" w:cs="Lohit Devanagari"/>
      <w:b/>
      <w:bCs/>
      <w:color w:val="21409A"/>
      <w:kern w:val="2"/>
      <w:sz w:val="22"/>
      <w:szCs w:val="22"/>
      <w:lang w:bidi="hi-IN"/>
    </w:rPr>
  </w:style>
  <w:style w:type="paragraph" w:styleId="Heading8">
    <w:name w:val="heading 8"/>
    <w:basedOn w:val="Title"/>
    <w:next w:val="BodyText"/>
    <w:link w:val="Heading8Char"/>
    <w:uiPriority w:val="99"/>
    <w:qFormat/>
    <w:locked/>
    <w:rsid w:val="006C0FA7"/>
    <w:pPr>
      <w:numPr>
        <w:ilvl w:val="7"/>
        <w:numId w:val="1"/>
      </w:numPr>
      <w:suppressAutoHyphens w:val="0"/>
      <w:spacing w:before="60" w:after="60"/>
      <w:outlineLvl w:val="7"/>
    </w:pPr>
    <w:rPr>
      <w:rFonts w:eastAsia="Times New Roman" w:cs="Lohit Devanagari"/>
      <w:b/>
      <w:bCs/>
      <w:i/>
      <w:iCs/>
      <w:color w:val="21409A"/>
      <w:kern w:val="2"/>
      <w:sz w:val="22"/>
      <w:szCs w:val="22"/>
      <w:lang w:bidi="hi-IN"/>
    </w:rPr>
  </w:style>
  <w:style w:type="paragraph" w:styleId="Heading9">
    <w:name w:val="heading 9"/>
    <w:basedOn w:val="Title"/>
    <w:next w:val="BodyText"/>
    <w:link w:val="Heading9Char"/>
    <w:uiPriority w:val="99"/>
    <w:qFormat/>
    <w:locked/>
    <w:rsid w:val="006C0FA7"/>
    <w:pPr>
      <w:numPr>
        <w:ilvl w:val="8"/>
        <w:numId w:val="1"/>
      </w:numPr>
      <w:suppressAutoHyphens w:val="0"/>
      <w:spacing w:before="60" w:after="60"/>
      <w:outlineLvl w:val="8"/>
    </w:pPr>
    <w:rPr>
      <w:rFonts w:eastAsia="Times New Roman" w:cs="Lohit Devanagari"/>
      <w:b/>
      <w:bCs/>
      <w:color w:val="21409A"/>
      <w:kern w:val="2"/>
      <w:sz w:val="21"/>
      <w:szCs w:val="21"/>
      <w:lang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B34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B34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B34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B34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B34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B34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B34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B34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B34"/>
    <w:rPr>
      <w:rFonts w:asciiTheme="majorHAnsi" w:eastAsiaTheme="majorEastAsia" w:hAnsiTheme="majorHAnsi" w:cstheme="majorBidi"/>
      <w:lang w:eastAsia="zh-CN"/>
    </w:rPr>
  </w:style>
  <w:style w:type="paragraph" w:customStyle="1" w:styleId="Heading11">
    <w:name w:val="Heading 11"/>
    <w:basedOn w:val="Normal"/>
    <w:next w:val="Normal"/>
    <w:link w:val="Titolo1Carattere"/>
    <w:uiPriority w:val="99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Heading21">
    <w:name w:val="Heading 21"/>
    <w:basedOn w:val="Normal"/>
    <w:next w:val="Normal"/>
    <w:link w:val="Titolo2Carattere"/>
    <w:uiPriority w:val="99"/>
    <w:pPr>
      <w:keepNext/>
      <w:suppressAutoHyphens w:val="0"/>
      <w:spacing w:before="240" w:after="60" w:line="276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customStyle="1" w:styleId="Heading31">
    <w:name w:val="Heading 31"/>
    <w:basedOn w:val="Normal"/>
    <w:next w:val="Normal"/>
    <w:link w:val="Titolo3Carattere"/>
    <w:uiPriority w:val="99"/>
    <w:locked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Titolo1Carattere">
    <w:name w:val="Titolo 1 Carattere"/>
    <w:basedOn w:val="DefaultParagraphFont"/>
    <w:link w:val="Heading11"/>
    <w:uiPriority w:val="99"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Titolo2Carattere">
    <w:name w:val="Titolo 2 Carattere"/>
    <w:basedOn w:val="DefaultParagraphFont"/>
    <w:link w:val="Heading21"/>
    <w:uiPriority w:val="99"/>
    <w:locked/>
    <w:rPr>
      <w:rFonts w:ascii="Arial" w:hAnsi="Arial" w:cs="Times New Roman"/>
      <w:b/>
      <w:i/>
      <w:sz w:val="28"/>
      <w:lang w:eastAsia="en-US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Carpredefinitoparagrafo4">
    <w:name w:val="Car. predefinito paragrafo4"/>
    <w:uiPriority w:val="99"/>
  </w:style>
  <w:style w:type="character" w:customStyle="1" w:styleId="Carpredefinitoparagrafo3">
    <w:name w:val="Car. predefinito paragrafo3"/>
    <w:uiPriority w:val="99"/>
  </w:style>
  <w:style w:type="character" w:customStyle="1" w:styleId="Carpredefinitoparagrafo2">
    <w:name w:val="Car. predefinito paragrafo2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Carpredefinitoparagrafo1">
    <w:name w:val="Car. predefinito paragrafo1"/>
    <w:uiPriority w:val="99"/>
  </w:style>
  <w:style w:type="character" w:customStyle="1" w:styleId="FontStyle22">
    <w:name w:val="Font Style22"/>
    <w:uiPriority w:val="99"/>
    <w:rPr>
      <w:rFonts w:ascii="Times New Roman" w:hAnsi="Times New Roman"/>
      <w:sz w:val="20"/>
    </w:rPr>
  </w:style>
  <w:style w:type="character" w:customStyle="1" w:styleId="CollegamentoInternet">
    <w:name w:val="Collegamento Internet"/>
    <w:basedOn w:val="DefaultParagraphFont"/>
    <w:uiPriority w:val="99"/>
    <w:rPr>
      <w:rFonts w:cs="Times New Roman"/>
      <w:color w:val="0000FF"/>
      <w:u w:val="single"/>
    </w:rPr>
  </w:style>
  <w:style w:type="character" w:customStyle="1" w:styleId="CarattereCarattere">
    <w:name w:val="Carattere Carattere"/>
    <w:uiPriority w:val="99"/>
    <w:rPr>
      <w:rFonts w:ascii="Cambria" w:hAnsi="Cambria"/>
      <w:b/>
      <w:kern w:val="2"/>
      <w:sz w:val="32"/>
    </w:rPr>
  </w:style>
  <w:style w:type="character" w:customStyle="1" w:styleId="apple-converted-space">
    <w:name w:val="apple-converted-space"/>
    <w:uiPriority w:val="99"/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customStyle="1" w:styleId="AF">
    <w:name w:val="AF"/>
    <w:uiPriority w:val="99"/>
    <w:rPr>
      <w:rFonts w:ascii="Arial" w:hAnsi="Arial"/>
      <w:color w:val="000080"/>
      <w:sz w:val="20"/>
    </w:rPr>
  </w:style>
  <w:style w:type="character" w:customStyle="1" w:styleId="Caratteredinumerazione">
    <w:name w:val="Carattere di numerazione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zh-CN"/>
    </w:rPr>
  </w:style>
  <w:style w:type="character" w:customStyle="1" w:styleId="IntestazioneCarattere">
    <w:name w:val="Intestazione Carattere"/>
    <w:basedOn w:val="DefaultParagraphFont"/>
    <w:link w:val="Header1"/>
    <w:uiPriority w:val="99"/>
    <w:locked/>
    <w:rPr>
      <w:rFonts w:cs="Times New Roman"/>
      <w:sz w:val="24"/>
      <w:lang w:val="it-IT" w:eastAsia="zh-CN"/>
    </w:rPr>
  </w:style>
  <w:style w:type="character" w:customStyle="1" w:styleId="PidipaginaCarattere">
    <w:name w:val="Piè di pagina Carattere"/>
    <w:basedOn w:val="DefaultParagraphFont"/>
    <w:link w:val="Footer1"/>
    <w:uiPriority w:val="99"/>
    <w:semiHidden/>
    <w:locked/>
    <w:rPr>
      <w:rFonts w:cs="Times New Roman"/>
      <w:sz w:val="24"/>
      <w:szCs w:val="24"/>
      <w:lang w:eastAsia="zh-CN"/>
    </w:rPr>
  </w:style>
  <w:style w:type="character" w:customStyle="1" w:styleId="FontStyle12">
    <w:name w:val="Font Style12"/>
    <w:uiPriority w:val="99"/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customStyle="1" w:styleId="Titolo3Carattere">
    <w:name w:val="Titolo 3 Carattere"/>
    <w:basedOn w:val="DefaultParagraphFont"/>
    <w:link w:val="Heading31"/>
    <w:uiPriority w:val="99"/>
    <w:locked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Punti">
    <w:name w:val="Punti"/>
    <w:uiPriority w:val="99"/>
    <w:rsid w:val="00D02A25"/>
    <w:rPr>
      <w:rFonts w:ascii="OpenSymbol" w:eastAsia="Times New Roman" w:hAnsi="OpenSymbol"/>
    </w:rPr>
  </w:style>
  <w:style w:type="paragraph" w:styleId="Title">
    <w:name w:val="Title"/>
    <w:basedOn w:val="Normal"/>
    <w:next w:val="BodyText"/>
    <w:link w:val="TitleChar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86B34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pPr>
      <w:widowControl w:val="0"/>
      <w:suppressAutoHyphens w:val="0"/>
      <w:ind w:left="2108"/>
    </w:pPr>
    <w:rPr>
      <w:sz w:val="22"/>
      <w:szCs w:val="22"/>
      <w:lang w:val="en-US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086B34"/>
    <w:rPr>
      <w:sz w:val="24"/>
      <w:szCs w:val="24"/>
      <w:lang w:eastAsia="zh-CN"/>
    </w:rPr>
  </w:style>
  <w:style w:type="paragraph" w:styleId="List">
    <w:name w:val="List"/>
    <w:basedOn w:val="Corpotesto1"/>
    <w:uiPriority w:val="99"/>
    <w:rPr>
      <w:rFonts w:cs="Lohit Devanagari"/>
    </w:rPr>
  </w:style>
  <w:style w:type="paragraph" w:customStyle="1" w:styleId="Caption1">
    <w:name w:val="Caption1"/>
    <w:basedOn w:val="Normal"/>
    <w:uiPriority w:val="99"/>
    <w:rsid w:val="00D02A25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"/>
    <w:uiPriority w:val="99"/>
    <w:pPr>
      <w:suppressLineNumbers/>
    </w:pPr>
    <w:rPr>
      <w:rFonts w:cs="Lohit Devanagari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Titolo4">
    <w:name w:val="Titolo4"/>
    <w:basedOn w:val="Normal"/>
    <w:next w:val="Corpotesto1"/>
    <w:uiPriority w:val="99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Corpotesto1">
    <w:name w:val="Corpo testo1"/>
    <w:basedOn w:val="Normal"/>
    <w:uiPriority w:val="99"/>
    <w:pPr>
      <w:spacing w:after="140" w:line="288" w:lineRule="auto"/>
    </w:pPr>
  </w:style>
  <w:style w:type="paragraph" w:customStyle="1" w:styleId="Titolo3">
    <w:name w:val="Titolo3"/>
    <w:basedOn w:val="Normal"/>
    <w:next w:val="Corpotesto1"/>
    <w:uiPriority w:val="99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itolo2">
    <w:name w:val="Titolo2"/>
    <w:basedOn w:val="Normal"/>
    <w:next w:val="Corpotesto1"/>
    <w:uiPriority w:val="99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itolo1">
    <w:name w:val="Titolo1"/>
    <w:basedOn w:val="Normal"/>
    <w:next w:val="Corpotesto1"/>
    <w:uiPriority w:val="99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Style1">
    <w:name w:val="Style1"/>
    <w:basedOn w:val="Normal"/>
    <w:uiPriority w:val="99"/>
    <w:pPr>
      <w:widowControl w:val="0"/>
      <w:spacing w:line="288" w:lineRule="exact"/>
      <w:ind w:firstLine="709"/>
      <w:jc w:val="both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86B34"/>
    <w:rPr>
      <w:sz w:val="0"/>
      <w:szCs w:val="0"/>
      <w:lang w:eastAsia="zh-CN"/>
    </w:rPr>
  </w:style>
  <w:style w:type="paragraph" w:customStyle="1" w:styleId="provvr0">
    <w:name w:val="provv_r0"/>
    <w:basedOn w:val="Normal"/>
    <w:uiPriority w:val="99"/>
    <w:pPr>
      <w:spacing w:before="280" w:after="280"/>
      <w:jc w:val="both"/>
    </w:pPr>
  </w:style>
  <w:style w:type="paragraph" w:customStyle="1" w:styleId="provvc">
    <w:name w:val="provv_c"/>
    <w:basedOn w:val="Normal"/>
    <w:uiPriority w:val="99"/>
    <w:pPr>
      <w:spacing w:before="280" w:after="280"/>
      <w:jc w:val="center"/>
    </w:pPr>
  </w:style>
  <w:style w:type="paragraph" w:customStyle="1" w:styleId="Intestazioneepidipagina">
    <w:name w:val="Intestazione e piè di pagina"/>
    <w:basedOn w:val="Normal"/>
    <w:uiPriority w:val="99"/>
  </w:style>
  <w:style w:type="paragraph" w:customStyle="1" w:styleId="Header1">
    <w:name w:val="Header1"/>
    <w:basedOn w:val="Normal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Footer1">
    <w:name w:val="Footer1"/>
    <w:basedOn w:val="Normal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Style2">
    <w:name w:val="Style2"/>
    <w:basedOn w:val="Normal"/>
    <w:uiPriority w:val="99"/>
    <w:pPr>
      <w:widowControl w:val="0"/>
      <w:suppressAutoHyphens w:val="0"/>
      <w:spacing w:line="254" w:lineRule="exact"/>
    </w:pPr>
    <w:rPr>
      <w:rFonts w:ascii="Arial" w:hAnsi="Arial"/>
      <w:lang w:eastAsia="it-IT"/>
    </w:rPr>
  </w:style>
  <w:style w:type="paragraph" w:customStyle="1" w:styleId="Style3">
    <w:name w:val="Style3"/>
    <w:basedOn w:val="Normal"/>
    <w:uiPriority w:val="99"/>
    <w:pPr>
      <w:widowControl w:val="0"/>
      <w:suppressAutoHyphens w:val="0"/>
      <w:spacing w:line="252" w:lineRule="exact"/>
      <w:jc w:val="both"/>
    </w:pPr>
    <w:rPr>
      <w:rFonts w:ascii="Arial" w:hAnsi="Arial"/>
      <w:lang w:eastAsia="it-IT"/>
    </w:rPr>
  </w:style>
  <w:style w:type="paragraph" w:customStyle="1" w:styleId="Style4">
    <w:name w:val="Style4"/>
    <w:basedOn w:val="Normal"/>
    <w:uiPriority w:val="99"/>
    <w:pPr>
      <w:widowControl w:val="0"/>
      <w:suppressAutoHyphens w:val="0"/>
      <w:spacing w:line="254" w:lineRule="exact"/>
      <w:ind w:firstLine="254"/>
      <w:jc w:val="both"/>
    </w:pPr>
    <w:rPr>
      <w:rFonts w:ascii="Arial" w:hAnsi="Arial"/>
      <w:lang w:eastAsia="it-IT"/>
    </w:rPr>
  </w:style>
  <w:style w:type="paragraph" w:customStyle="1" w:styleId="Style5">
    <w:name w:val="Style5"/>
    <w:basedOn w:val="Normal"/>
    <w:uiPriority w:val="99"/>
    <w:pPr>
      <w:widowControl w:val="0"/>
      <w:suppressAutoHyphens w:val="0"/>
    </w:pPr>
    <w:rPr>
      <w:rFonts w:ascii="Arial" w:hAnsi="Arial"/>
      <w:lang w:eastAsia="it-IT"/>
    </w:rPr>
  </w:style>
  <w:style w:type="paragraph" w:customStyle="1" w:styleId="Style6">
    <w:name w:val="Style6"/>
    <w:basedOn w:val="Normal"/>
    <w:uiPriority w:val="99"/>
    <w:pPr>
      <w:widowControl w:val="0"/>
      <w:suppressAutoHyphens w:val="0"/>
    </w:pPr>
    <w:rPr>
      <w:rFonts w:ascii="Arial" w:hAnsi="Arial"/>
      <w:lang w:eastAsia="it-IT"/>
    </w:rPr>
  </w:style>
  <w:style w:type="paragraph" w:customStyle="1" w:styleId="ListParagraph1">
    <w:name w:val="List Paragraph1"/>
    <w:basedOn w:val="Normal"/>
    <w:uiPriority w:val="99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ale1">
    <w:name w:val="Normale1"/>
    <w:uiPriority w:val="99"/>
    <w:pPr>
      <w:suppressAutoHyphens/>
      <w:spacing w:line="276" w:lineRule="auto"/>
      <w:jc w:val="both"/>
    </w:pPr>
    <w:rPr>
      <w:i/>
      <w:sz w:val="24"/>
      <w:szCs w:val="24"/>
    </w:rPr>
  </w:style>
  <w:style w:type="paragraph" w:customStyle="1" w:styleId="Default">
    <w:name w:val="Default"/>
    <w:uiPriority w:val="99"/>
    <w:pPr>
      <w:suppressAutoHyphens/>
    </w:pPr>
    <w:rPr>
      <w:rFonts w:ascii="Verdana" w:hAnsi="Verdana" w:cs="Verdana"/>
      <w:color w:val="000000"/>
      <w:sz w:val="24"/>
      <w:szCs w:val="24"/>
      <w:lang w:eastAsia="ar-SA"/>
    </w:rPr>
  </w:style>
  <w:style w:type="paragraph" w:customStyle="1" w:styleId="CM5">
    <w:name w:val="CM5"/>
    <w:basedOn w:val="Normal"/>
    <w:next w:val="Normal"/>
    <w:uiPriority w:val="99"/>
    <w:pPr>
      <w:widowControl w:val="0"/>
      <w:suppressAutoHyphens w:val="0"/>
      <w:spacing w:line="283" w:lineRule="atLeast"/>
    </w:pPr>
    <w:rPr>
      <w:rFonts w:ascii="Times-New-Roman" w:hAnsi="Times-New-Roman" w:cs="Times-New-Roman"/>
      <w:lang w:eastAsia="it-IT"/>
    </w:rPr>
  </w:style>
  <w:style w:type="paragraph" w:customStyle="1" w:styleId="Titolo11">
    <w:name w:val="Titolo 11"/>
    <w:basedOn w:val="Normal"/>
    <w:uiPriority w:val="99"/>
    <w:pPr>
      <w:widowControl w:val="0"/>
      <w:suppressAutoHyphens w:val="0"/>
      <w:ind w:left="1824" w:hanging="1704"/>
      <w:outlineLvl w:val="1"/>
    </w:pPr>
    <w:rPr>
      <w:rFonts w:ascii="Arial" w:hAnsi="Arial" w:cs="Arial"/>
      <w:b/>
      <w:bCs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pPr>
      <w:widowControl w:val="0"/>
      <w:suppressAutoHyphens w:val="0"/>
      <w:spacing w:before="112"/>
      <w:ind w:left="2108" w:right="103" w:hanging="279"/>
      <w:jc w:val="both"/>
    </w:pPr>
    <w:rPr>
      <w:sz w:val="22"/>
      <w:szCs w:val="22"/>
      <w:lang w:val="en-US" w:eastAsia="en-US"/>
    </w:rPr>
  </w:style>
  <w:style w:type="paragraph" w:customStyle="1" w:styleId="western">
    <w:name w:val="western"/>
    <w:basedOn w:val="Normal"/>
    <w:uiPriority w:val="99"/>
    <w:pPr>
      <w:suppressAutoHyphens w:val="0"/>
      <w:spacing w:beforeAutospacing="1" w:after="113"/>
      <w:jc w:val="both"/>
    </w:pPr>
    <w:rPr>
      <w:color w:val="000000"/>
      <w:sz w:val="22"/>
      <w:szCs w:val="22"/>
      <w:lang w:eastAsia="it-IT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086B34"/>
    <w:rPr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086B34"/>
    <w:rPr>
      <w:b/>
      <w:bCs/>
    </w:rPr>
  </w:style>
  <w:style w:type="paragraph" w:styleId="Revision">
    <w:name w:val="Revision"/>
    <w:uiPriority w:val="99"/>
    <w:semiHidden/>
    <w:pPr>
      <w:suppressAutoHyphens/>
    </w:pPr>
    <w:rPr>
      <w:sz w:val="24"/>
      <w:szCs w:val="24"/>
      <w:lang w:eastAsia="zh-CN"/>
    </w:rPr>
  </w:style>
  <w:style w:type="paragraph" w:customStyle="1" w:styleId="Contenutocornice">
    <w:name w:val="Contenuto cornice"/>
    <w:basedOn w:val="Normal"/>
    <w:uiPriority w:val="99"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216A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B34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D216A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B34"/>
    <w:rPr>
      <w:sz w:val="24"/>
      <w:szCs w:val="24"/>
      <w:lang w:eastAsia="zh-CN"/>
    </w:rPr>
  </w:style>
  <w:style w:type="character" w:customStyle="1" w:styleId="Saltoaindice">
    <w:name w:val="Salto a indice"/>
    <w:uiPriority w:val="99"/>
    <w:rsid w:val="006C0FA7"/>
  </w:style>
  <w:style w:type="character" w:customStyle="1" w:styleId="Enfasi">
    <w:name w:val="Enfasi"/>
    <w:uiPriority w:val="99"/>
    <w:rsid w:val="006C0FA7"/>
    <w:rPr>
      <w:i/>
    </w:rPr>
  </w:style>
  <w:style w:type="paragraph" w:customStyle="1" w:styleId="Contenutotabella">
    <w:name w:val="Contenuto tabella"/>
    <w:basedOn w:val="Normal"/>
    <w:uiPriority w:val="99"/>
    <w:rsid w:val="006C0FA7"/>
    <w:pPr>
      <w:suppressLineNumbers/>
      <w:suppressAutoHyphens w:val="0"/>
    </w:pPr>
    <w:rPr>
      <w:rFonts w:ascii="Liberation Sans" w:hAnsi="Liberation Sans" w:cs="Lohit Devanagari"/>
      <w:kern w:val="2"/>
      <w:sz w:val="18"/>
      <w:lang w:bidi="hi-IN"/>
    </w:rPr>
  </w:style>
  <w:style w:type="paragraph" w:customStyle="1" w:styleId="Tabella">
    <w:name w:val="Tabella"/>
    <w:basedOn w:val="Caption"/>
    <w:uiPriority w:val="99"/>
    <w:rsid w:val="006C0FA7"/>
    <w:pPr>
      <w:suppressAutoHyphens w:val="0"/>
      <w:spacing w:before="85" w:after="142"/>
      <w:ind w:left="567" w:hanging="567"/>
      <w:jc w:val="both"/>
    </w:pPr>
    <w:rPr>
      <w:rFonts w:ascii="Liberation Serif" w:hAnsi="Liberation Serif"/>
      <w:iCs w:val="0"/>
      <w:color w:val="21409A"/>
      <w:kern w:val="2"/>
      <w:sz w:val="22"/>
      <w:lang w:bidi="hi-IN"/>
    </w:rPr>
  </w:style>
  <w:style w:type="paragraph" w:styleId="TOC2">
    <w:name w:val="toc 2"/>
    <w:basedOn w:val="Indice"/>
    <w:uiPriority w:val="99"/>
    <w:locked/>
    <w:rsid w:val="006C0FA7"/>
    <w:pPr>
      <w:tabs>
        <w:tab w:val="right" w:leader="dot" w:pos="9355"/>
      </w:tabs>
      <w:suppressAutoHyphens w:val="0"/>
      <w:ind w:left="1134" w:right="567"/>
    </w:pPr>
    <w:rPr>
      <w:rFonts w:ascii="Liberation Sans" w:hAnsi="Liberation Sans"/>
      <w:kern w:val="2"/>
      <w:sz w:val="18"/>
      <w:lang w:bidi="hi-IN"/>
    </w:rPr>
  </w:style>
  <w:style w:type="paragraph" w:customStyle="1" w:styleId="EGNota">
    <w:name w:val="EG Nota"/>
    <w:basedOn w:val="BodyText"/>
    <w:next w:val="BodyText"/>
    <w:uiPriority w:val="99"/>
    <w:rsid w:val="006C0FA7"/>
    <w:pPr>
      <w:widowControl/>
      <w:numPr>
        <w:numId w:val="3"/>
      </w:numPr>
      <w:spacing w:after="113"/>
      <w:jc w:val="both"/>
    </w:pPr>
    <w:rPr>
      <w:rFonts w:ascii="Liberation Serif" w:hAnsi="Liberation Serif" w:cs="Lohit Devanagari"/>
      <w:color w:val="21409A"/>
      <w:kern w:val="2"/>
      <w:sz w:val="18"/>
      <w:szCs w:val="24"/>
      <w:lang w:val="it-IT" w:eastAsia="zh-CN" w:bidi="hi-IN"/>
    </w:rPr>
  </w:style>
  <w:style w:type="paragraph" w:styleId="TOC3">
    <w:name w:val="toc 3"/>
    <w:basedOn w:val="Indice"/>
    <w:uiPriority w:val="99"/>
    <w:locked/>
    <w:rsid w:val="006C0FA7"/>
    <w:pPr>
      <w:suppressAutoHyphens w:val="0"/>
      <w:spacing w:before="113"/>
      <w:ind w:left="567" w:right="567"/>
    </w:pPr>
    <w:rPr>
      <w:rFonts w:ascii="Liberation Sans" w:hAnsi="Liberation Sans"/>
      <w:kern w:val="2"/>
      <w:sz w:val="18"/>
      <w:lang w:bidi="hi-IN"/>
    </w:rPr>
  </w:style>
  <w:style w:type="paragraph" w:styleId="TOC4">
    <w:name w:val="toc 4"/>
    <w:basedOn w:val="Indice"/>
    <w:uiPriority w:val="99"/>
    <w:locked/>
    <w:rsid w:val="006C0FA7"/>
    <w:pPr>
      <w:suppressAutoHyphens w:val="0"/>
      <w:ind w:left="1134" w:right="567" w:hanging="283"/>
    </w:pPr>
    <w:rPr>
      <w:rFonts w:ascii="Liberation Sans" w:hAnsi="Liberation Sans"/>
      <w:kern w:val="2"/>
      <w:sz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6</Pages>
  <Words>2229</Words>
  <Characters>12707</Characters>
  <Application>Microsoft Office Outlook</Application>
  <DocSecurity>0</DocSecurity>
  <Lines>0</Lines>
  <Paragraphs>0</Paragraphs>
  <ScaleCrop>false</ScaleCrop>
  <Company>Dipartimento Vigili del Fuoco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MINISTRO DELL'INTERNO</dc:title>
  <dc:subject/>
  <dc:creator/>
  <cp:keywords/>
  <dc:description/>
  <cp:lastModifiedBy>P</cp:lastModifiedBy>
  <cp:revision>4</cp:revision>
  <cp:lastPrinted>2021-04-02T09:24:00Z</cp:lastPrinted>
  <dcterms:created xsi:type="dcterms:W3CDTF">2021-04-22T07:56:00Z</dcterms:created>
  <dcterms:modified xsi:type="dcterms:W3CDTF">2021-04-22T08:06:00Z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Dipartimento Vigili del Fuoco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