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4ABA" w14:textId="616F9606" w:rsidR="003913B8" w:rsidRPr="00422DC0" w:rsidRDefault="003A67C1" w:rsidP="00422DC0">
      <w:pPr>
        <w:tabs>
          <w:tab w:val="left" w:pos="-1560"/>
        </w:tabs>
        <w:jc w:val="center"/>
        <w:rPr>
          <w:b/>
          <w:szCs w:val="22"/>
          <w:rFonts w:cs="Arial"/>
        </w:rPr>
      </w:pPr>
      <w:r>
        <w:rPr>
          <w:b/>
        </w:rPr>
        <w:t xml:space="preserve">Wzorcowa dyrektywa w sprawie ochrony przeciwpożarowej podczas składowania zużytych opon i odpadów z tworzyw sztucznych w zakładach unieszkodliwiania odpadów</w:t>
      </w:r>
    </w:p>
    <w:p w14:paraId="11F780E3" w14:textId="5F3B1522" w:rsidR="00CA200D" w:rsidRPr="00422DC0" w:rsidRDefault="003A67C1" w:rsidP="00422DC0">
      <w:pPr>
        <w:tabs>
          <w:tab w:val="left" w:pos="-1560"/>
        </w:tabs>
        <w:jc w:val="center"/>
        <w:rPr>
          <w:b/>
          <w:szCs w:val="22"/>
          <w:rFonts w:cs="Arial"/>
        </w:rPr>
      </w:pPr>
      <w:r>
        <w:rPr>
          <w:b/>
        </w:rPr>
        <w:t xml:space="preserve">(Wzorcowa dyrektywa w sprawie składowania tworzyw sztucznych MKLR)</w:t>
      </w:r>
    </w:p>
    <w:p w14:paraId="5F183BAF" w14:textId="2570CE7C" w:rsidR="006110CC" w:rsidRDefault="003A67C1" w:rsidP="006110CC">
      <w:pPr>
        <w:tabs>
          <w:tab w:val="left" w:pos="-1560"/>
        </w:tabs>
        <w:jc w:val="center"/>
        <w:rPr>
          <w:b/>
          <w:szCs w:val="22"/>
          <w:rFonts w:cs="Arial"/>
        </w:rPr>
      </w:pPr>
      <w:r>
        <w:rPr>
          <w:b/>
        </w:rPr>
        <w:t xml:space="preserve">-</w:t>
      </w:r>
      <w:r>
        <w:rPr>
          <w:b/>
        </w:rPr>
        <w:t xml:space="preserve"> </w:t>
      </w:r>
      <w:r>
        <w:rPr>
          <w:b/>
        </w:rPr>
        <w:t xml:space="preserve">Marzec 2023</w:t>
      </w:r>
      <w:r w:rsidR="009F36EC">
        <w:rPr>
          <w:rStyle w:val="FootnoteReference"/>
          <w:rFonts w:cs="Arial"/>
          <w:b/>
          <w:szCs w:val="22"/>
        </w:rPr>
        <w:footnoteReference w:id="1"/>
      </w:r>
      <w:r>
        <w:rPr>
          <w:b/>
        </w:rPr>
        <w:t xml:space="preserve"> —</w:t>
      </w:r>
    </w:p>
    <w:p w14:paraId="6D2F3BCD" w14:textId="646A3DDD" w:rsid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D42C10" w14:textId="77777777" w:rsidR="00422DC0" w:rsidRPr="00422DC0" w:rsidRDefault="00422DC0" w:rsidP="006110CC">
      <w:pPr>
        <w:tabs>
          <w:tab w:val="left" w:pos="-1560"/>
        </w:tabs>
        <w:jc w:val="center"/>
        <w:rPr>
          <w:rFonts w:cs="Arial"/>
          <w:b/>
          <w:szCs w:val="22"/>
        </w:rPr>
      </w:pPr>
    </w:p>
    <w:p w14:paraId="5ABFE954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1.</w:t>
      </w:r>
      <w:r>
        <w:rPr>
          <w:b/>
        </w:rPr>
        <w:tab/>
      </w:r>
      <w:r>
        <w:rPr>
          <w:b/>
        </w:rPr>
        <w:t xml:space="preserve">Cel ochrony</w:t>
      </w:r>
    </w:p>
    <w:p w14:paraId="0F672CE3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431AD20" w14:textId="6AEF75F1" w:rsidR="003A67C1" w:rsidRPr="00422DC0" w:rsidRDefault="003A67C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1.1</w:t>
      </w:r>
      <w:r>
        <w:tab/>
      </w:r>
      <w:r>
        <w:t xml:space="preserve">Celem niniejszej wytycznej jest zapobieganie powstawaniu i rozprzestrzenianiu się ognia i dymu oraz umożliwienie skutecznego gaszenia podczas składowania zużytych opon i odpadów z tworzyw sztucznych w zakładach unieszkodliwiania odpadów (§ 14 MBO (Musterbauordnung, wzorcowy kodeks budowlany)).</w:t>
      </w:r>
    </w:p>
    <w:p w14:paraId="00CB61F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5BC5E3C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4677EF79" w14:textId="0D305175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2.</w:t>
      </w:r>
      <w:r>
        <w:rPr>
          <w:b/>
        </w:rPr>
        <w:tab/>
      </w:r>
      <w:r>
        <w:rPr>
          <w:b/>
        </w:rPr>
        <w:t xml:space="preserve">Zakres przedmiotowy</w:t>
      </w:r>
    </w:p>
    <w:p w14:paraId="022AE055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1ECDB85" w14:textId="770C8388" w:rsidR="003A67C1" w:rsidRPr="00422DC0" w:rsidRDefault="003A67C1" w:rsidP="00C61DA9">
      <w:pPr>
        <w:tabs>
          <w:tab w:val="left" w:pos="-1560"/>
          <w:tab w:val="left" w:pos="1134"/>
        </w:tabs>
        <w:ind w:left="450"/>
        <w:jc w:val="both"/>
        <w:rPr>
          <w:szCs w:val="22"/>
          <w:rFonts w:cs="Arial"/>
        </w:rPr>
      </w:pPr>
      <w:r>
        <w:t xml:space="preserve">Niniejsza dyrektywa ma zastosowanie do składowania zużytych opon oraz do przetwarzania lub sortowania odpadów z tworzyw sztucznych, w tym niezbędnego składowania w zakładach unieszkodliwiania odpadów</w:t>
      </w:r>
      <w:r>
        <w:rPr>
          <w:b/>
        </w:rPr>
        <w:t xml:space="preserve"> </w:t>
      </w:r>
      <w:r>
        <w:t xml:space="preserve">— zwanych dalej substancjami — w ilościach magazynowych powyżej 200 m</w:t>
      </w:r>
      <w:r>
        <w:rPr>
          <w:vertAlign w:val="superscript"/>
        </w:rPr>
        <w:t xml:space="preserve">3</w:t>
      </w:r>
      <w:r>
        <w:t xml:space="preserve"> w postaci frakcji jednorodnych lub mieszanych, w formie zagęszczonej lub jako materiał luźny, sypki, w stałych i ruchomych pojemnikach, w budynkach magazynowych i na zewnątrz.</w:t>
      </w:r>
      <w:r>
        <w:t xml:space="preserve"> </w:t>
      </w:r>
    </w:p>
    <w:p w14:paraId="36AE5177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8780C09" w14:textId="77777777" w:rsidR="00E46E28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b/>
          <w:szCs w:val="22"/>
          <w:rFonts w:cs="Arial"/>
        </w:rPr>
      </w:pPr>
      <w:r>
        <w:rPr>
          <w:b/>
        </w:rPr>
        <w:t xml:space="preserve">3.</w:t>
      </w:r>
      <w:r>
        <w:rPr>
          <w:b/>
        </w:rPr>
        <w:tab/>
      </w:r>
      <w:r>
        <w:rPr>
          <w:b/>
        </w:rPr>
        <w:t xml:space="preserve">Terminy</w:t>
      </w:r>
    </w:p>
    <w:p w14:paraId="10728BE4" w14:textId="77777777" w:rsidR="00E46E28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b/>
          <w:szCs w:val="22"/>
        </w:rPr>
      </w:pPr>
    </w:p>
    <w:p w14:paraId="156D5C68" w14:textId="4C279170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szCs w:val="22"/>
          <w:rFonts w:cs="Arial"/>
        </w:rPr>
      </w:pPr>
      <w:r>
        <w:tab/>
      </w:r>
      <w:r>
        <w:t xml:space="preserve">3.1</w:t>
      </w:r>
      <w:r>
        <w:t xml:space="preserve"> </w:t>
      </w:r>
      <w:r>
        <w:t xml:space="preserve">Zużyte opony</w:t>
      </w:r>
    </w:p>
    <w:p w14:paraId="1F7ECC90" w14:textId="5BA45893" w:rsidR="00E60194" w:rsidRPr="00422DC0" w:rsidRDefault="00E60194" w:rsidP="00C61DA9">
      <w:pPr>
        <w:tabs>
          <w:tab w:val="left" w:pos="-1560"/>
          <w:tab w:val="left" w:pos="1134"/>
        </w:tabs>
        <w:spacing w:before="120"/>
        <w:ind w:left="425" w:firstLine="25"/>
        <w:jc w:val="both"/>
        <w:rPr>
          <w:szCs w:val="22"/>
          <w:rFonts w:cs="Arial"/>
        </w:rPr>
      </w:pPr>
      <w:r>
        <w:t xml:space="preserve">Zużyte opony w rozumieniu niniejszej dyrektywy stanowią zużyte opony w zakresie, w jakim są to odpady w rozumieniu § 3 ust. 1 ustawy z dnia 24 lutego 2012 r. o gospodarce o obiegu zamkniętym (BGB1.</w:t>
      </w:r>
      <w:r>
        <w:t xml:space="preserve"> </w:t>
      </w:r>
      <w:r>
        <w:t xml:space="preserve">(Federalny Dziennik Ustaw) I s. 212) z późniejszymi zmianami.</w:t>
      </w:r>
    </w:p>
    <w:p w14:paraId="5E7A6E6D" w14:textId="77777777" w:rsidR="00E60194" w:rsidRPr="00422DC0" w:rsidRDefault="00E60194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BDD8328" w14:textId="61A29CC7" w:rsidR="00E46E28" w:rsidRPr="00422DC0" w:rsidRDefault="00C61DA9">
      <w:pPr>
        <w:tabs>
          <w:tab w:val="left" w:pos="-1560"/>
          <w:tab w:val="left" w:pos="1134"/>
        </w:tabs>
        <w:ind w:left="426" w:hanging="426"/>
        <w:jc w:val="both"/>
        <w:rPr>
          <w:szCs w:val="22"/>
          <w:rFonts w:cs="Arial"/>
        </w:rPr>
      </w:pPr>
      <w:r>
        <w:tab/>
      </w:r>
      <w:r>
        <w:t xml:space="preserve">3.2</w:t>
      </w:r>
      <w:r>
        <w:t xml:space="preserve"> </w:t>
      </w:r>
      <w:r>
        <w:t xml:space="preserve">Odpady tworzyw sztucznych</w:t>
      </w:r>
    </w:p>
    <w:p w14:paraId="05B4C0D5" w14:textId="057841B1" w:rsidR="00B56A43" w:rsidRPr="00422DC0" w:rsidRDefault="00B56A43" w:rsidP="00C61DA9">
      <w:pPr>
        <w:tabs>
          <w:tab w:val="left" w:pos="-1560"/>
          <w:tab w:val="left" w:pos="1134"/>
        </w:tabs>
        <w:spacing w:before="120"/>
        <w:ind w:left="450"/>
        <w:jc w:val="both"/>
        <w:rPr>
          <w:szCs w:val="22"/>
          <w:rFonts w:cs="Arial"/>
        </w:rPr>
      </w:pPr>
      <w:r>
        <w:t xml:space="preserve">Odpady z tworzyw sztucznych w rozumieniu niniejszej dyrektywy stanowią odpady w rozumieniu § 3 ust. 1 ustawy z dnia 24 lutego 2012 r. o gospodarce o obiegu zamkniętym (BGB1.</w:t>
      </w:r>
      <w:r>
        <w:t xml:space="preserve"> </w:t>
      </w:r>
      <w:r>
        <w:t xml:space="preserve">I s. 212) z późniejszymi zmianami, które zawierają głównie tworzywa sztuczne lub są zmieszane z tworzywami sztucznymi, takimi jak paliwa zastępcze, lekkie odpady opakowaniowe (Gelbe Tonne, żółte pojemniki) i wyrzucone frakcje z tworzyw sztucznych.</w:t>
      </w:r>
    </w:p>
    <w:p w14:paraId="02566ED2" w14:textId="17C87C66" w:rsidR="00B56A43" w:rsidRPr="00422DC0" w:rsidRDefault="00B56A43" w:rsidP="00B56A43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B1D4D0" w14:textId="6CF2DF9C" w:rsidR="003A67C1" w:rsidRPr="00422DC0" w:rsidRDefault="00E46E28">
      <w:pPr>
        <w:tabs>
          <w:tab w:val="left" w:pos="-1560"/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4.</w:t>
      </w:r>
      <w:r>
        <w:rPr>
          <w:b/>
        </w:rPr>
        <w:tab/>
      </w:r>
      <w:r>
        <w:rPr>
          <w:b/>
        </w:rPr>
        <w:t xml:space="preserve">Obszary dla straży pożarnej</w:t>
      </w:r>
    </w:p>
    <w:p w14:paraId="253DEFA1" w14:textId="77777777" w:rsidR="003A67C1" w:rsidRPr="00422DC0" w:rsidRDefault="003A67C1">
      <w:pPr>
        <w:tabs>
          <w:tab w:val="left" w:pos="-1560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41EB294" w14:textId="4E5AFDCE" w:rsidR="003A67C1" w:rsidRPr="00422DC0" w:rsidRDefault="003A67C1" w:rsidP="00B47968">
      <w:pPr>
        <w:tabs>
          <w:tab w:val="left" w:pos="-1560"/>
          <w:tab w:val="left" w:pos="1134"/>
        </w:tabs>
        <w:ind w:left="450"/>
        <w:jc w:val="both"/>
        <w:rPr>
          <w:szCs w:val="22"/>
          <w:rFonts w:cs="Arial"/>
        </w:rPr>
      </w:pPr>
      <w:r>
        <w:t xml:space="preserve">W celu umożliwienia działania straży pożarnej należy ustanowić odpowiednie drogi dojazdowe, jak również obszary do instalacji i przemieszczania na terenie nieruchomości w porozumieniu z działem odpowiedzialnym za ochronę przeciwpożarową.</w:t>
      </w:r>
      <w:r>
        <w:t xml:space="preserve"> </w:t>
      </w:r>
      <w:r>
        <w:t xml:space="preserve">Obszary do instalacji powinny być zapewnione z co najmniej dwóch przeciwległych stron dla zewnętrznych obszarów składowania o powierzchni od 2000 m², a dla instalacji budowlanych o powierzchni 5000 m².</w:t>
      </w:r>
      <w:r>
        <w:t xml:space="preserve"> </w:t>
      </w:r>
      <w:r>
        <w:t xml:space="preserve">Odległości od zewnętrznych ścian budynku zgodnie z wzorcową dyrektywą dla obszarów dla straży pożarnej mają być również stosowane do granic obszarów składowania</w:t>
      </w:r>
    </w:p>
    <w:p w14:paraId="38B5AF5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D151CD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5.</w:t>
      </w:r>
      <w:r>
        <w:rPr>
          <w:b/>
        </w:rPr>
        <w:tab/>
      </w:r>
      <w:r>
        <w:rPr>
          <w:b/>
        </w:rPr>
        <w:t xml:space="preserve">Składowanie substancji w budynkach</w:t>
      </w:r>
    </w:p>
    <w:p w14:paraId="1E0105D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84A658C" w14:textId="7BF71D89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5.1</w:t>
      </w:r>
      <w:r>
        <w:tab/>
      </w:r>
      <w:r>
        <w:t xml:space="preserve">Substancje mogą być składowane w budynkach wyłącznie na parterze.</w:t>
      </w:r>
      <w:r>
        <w:t xml:space="preserve"> </w:t>
      </w:r>
      <w:r>
        <w:t xml:space="preserve">O ile nie są one składowane na poziomie gruntu, można wprowadzić specjalne wymagania umożliwiające skuteczne gaszenie.</w:t>
      </w:r>
    </w:p>
    <w:p w14:paraId="49266E2C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25D5E4E" w14:textId="3FF9A7D9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5.2</w:t>
      </w:r>
      <w:r>
        <w:tab/>
      </w:r>
      <w:r>
        <w:t xml:space="preserve">Magazyn powinien być podzielony na sekcje pożarowe o powierzchni nie większej niż 5000 m</w:t>
      </w:r>
      <w:r>
        <w:rPr>
          <w:vertAlign w:val="superscript"/>
        </w:rPr>
        <w:t xml:space="preserve">2</w:t>
      </w:r>
      <w:r>
        <w:t xml:space="preserve"> przez ściany przeciwpożarowe.</w:t>
      </w:r>
    </w:p>
    <w:p w14:paraId="32F7CBC0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750506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5.3</w:t>
      </w:r>
      <w:r>
        <w:tab/>
      </w:r>
      <w:r>
        <w:t xml:space="preserve">Każda sekcja pożarowa powinna być podzielona na obszary składowania o powierzchni nie większej niż 300 m</w:t>
      </w:r>
      <w:r>
        <w:rPr>
          <w:vertAlign w:val="superscript"/>
        </w:rPr>
        <w:t xml:space="preserve">2</w:t>
      </w:r>
      <w:r>
        <w:t xml:space="preserve"> przez strefy o szerokości co najmniej 10 m wolne od obciążenia ogniowego (pasy wolne).</w:t>
      </w:r>
    </w:p>
    <w:p w14:paraId="0F2A50F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711F18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5.4</w:t>
      </w:r>
      <w:r>
        <w:tab/>
      </w:r>
      <w:r>
        <w:t xml:space="preserve">W sekcji pożarowej muszą być obecne:</w:t>
      </w:r>
    </w:p>
    <w:p w14:paraId="3FC2D63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0A1483C" w14:textId="01ACEA77" w:rsidR="003A67C1" w:rsidRPr="00422DC0" w:rsidRDefault="003A67C1">
      <w:pPr>
        <w:tabs>
          <w:tab w:val="left" w:pos="851"/>
          <w:tab w:val="left" w:pos="1008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stacjonarne automatyczne systemy gaśnicze lub otwory wylotowe dymu w połączeniu z automatycznymi systemami sygnalizacji pożarowej, jeżeli sekcja pożarowa ma powierzchnię większą niż 800 m</w:t>
      </w:r>
      <w:r>
        <w:rPr>
          <w:vertAlign w:val="superscript"/>
        </w:rPr>
        <w:t xml:space="preserve">2</w:t>
      </w:r>
      <w:r>
        <w:t xml:space="preserve">.</w:t>
      </w:r>
      <w:r>
        <w:t xml:space="preserve"> </w:t>
      </w:r>
      <w:r>
        <w:t xml:space="preserve">Wymóg dotyczący otworów wylotowych dymu uznaje się za spełniony w szczególności, jeżeli są one zgodne z sekcjami 5.7.1.2, 5.7.4.2 i 5.7.4.4, nr kolejny A 2.2.2.8 M VVTB (wzorcowa dyrektywa budowlana, zmieniona w maju 2019 r.).</w:t>
      </w:r>
    </w:p>
    <w:p w14:paraId="365D057B" w14:textId="105B845C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stacjonarne automatyczne systemy gaśnicze, jeżeli sekcja pożarowa ma powierzchnię większą niż 1600 m</w:t>
      </w:r>
      <w:r>
        <w:rPr>
          <w:vertAlign w:val="superscript"/>
        </w:rPr>
        <w:t xml:space="preserve">2</w:t>
      </w:r>
      <w:r>
        <w:t xml:space="preserve">.</w:t>
      </w:r>
    </w:p>
    <w:p w14:paraId="29A817CD" w14:textId="77777777" w:rsidR="006B4BC5" w:rsidRPr="00422DC0" w:rsidRDefault="006B4BC5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30A5DE54" w14:textId="77777777" w:rsidR="006110CC" w:rsidRPr="00422DC0" w:rsidRDefault="00A5671A" w:rsidP="006110CC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5.5</w:t>
      </w:r>
      <w:r>
        <w:tab/>
      </w:r>
      <w:r>
        <w:t xml:space="preserve">Należy zapewnić niezadaszoną, odpowiednią przestrzeń o powierzchni 400 m² do składowania i gaszenia palących się substancji.</w:t>
      </w:r>
      <w:r>
        <w:t xml:space="preserve"> </w:t>
      </w:r>
    </w:p>
    <w:p w14:paraId="664F0199" w14:textId="77777777" w:rsidR="003A67C1" w:rsidRPr="00422DC0" w:rsidRDefault="003A67C1" w:rsidP="006110CC">
      <w:pPr>
        <w:tabs>
          <w:tab w:val="left" w:pos="851"/>
          <w:tab w:val="left" w:pos="1134"/>
        </w:tabs>
        <w:jc w:val="both"/>
        <w:rPr>
          <w:rFonts w:cs="Arial"/>
          <w:szCs w:val="22"/>
        </w:rPr>
      </w:pPr>
    </w:p>
    <w:p w14:paraId="7FFD368D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6.</w:t>
      </w:r>
      <w:r>
        <w:rPr>
          <w:b/>
        </w:rPr>
        <w:tab/>
      </w:r>
      <w:r>
        <w:rPr>
          <w:b/>
        </w:rPr>
        <w:t xml:space="preserve">Składowanie substancji na zewnątrz</w:t>
      </w:r>
    </w:p>
    <w:p w14:paraId="3022B59C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E9DFB36" w14:textId="77777777" w:rsidR="003A67C1" w:rsidRPr="00422DC0" w:rsidRDefault="00A5671A">
      <w:pPr>
        <w:tabs>
          <w:tab w:val="left" w:pos="851"/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6.1</w:t>
      </w:r>
      <w:r>
        <w:tab/>
      </w:r>
      <w:r>
        <w:t xml:space="preserve">Składowanie substancji na zewnątrz obejmuje również składowanie w sekcji magazynowej z dachem, jeżeli:</w:t>
      </w:r>
    </w:p>
    <w:p w14:paraId="4DBB22C7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1F32162B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dopuszczalna wysokość składowania kończy się co najmniej 2,5 m poniżej dolnej krawędzi najniższej części dachu;</w:t>
      </w:r>
    </w:p>
    <w:p w14:paraId="5F893C59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sekcja magazynowa jest całkowicie otwarta z co najmniej dwóch przeciwległych stron;</w:t>
      </w:r>
      <w:r>
        <w:t xml:space="preserve"> </w:t>
      </w:r>
      <w:r>
        <w:t xml:space="preserve">oraz</w:t>
      </w:r>
    </w:p>
    <w:p w14:paraId="2EDCFC2C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pozostałe boki sekcji magazynowej, które nie są w pełni otwarte, mają maksymalną długość 45 m.</w:t>
      </w:r>
    </w:p>
    <w:p w14:paraId="6EC2F5A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857076C" w14:textId="0E5464A8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6.2</w:t>
      </w:r>
      <w:r>
        <w:tab/>
      </w:r>
      <w:r>
        <w:t xml:space="preserve">Magazyn powinien być podzielony na sekcje magazynowe o maksymalnej powierzchni 2000 m</w:t>
      </w:r>
      <w:r>
        <w:rPr>
          <w:vertAlign w:val="superscript"/>
        </w:rPr>
        <w:t xml:space="preserve">2</w:t>
      </w:r>
      <w:r>
        <w:t xml:space="preserve"> przez niezadaszone strefy o szerokości co najmniej 10 m wolne od obciążenia ogniowego (pasy wolne) albo przez ściany przeciwpożarowe wykonane z niepalnych materiałów budowlanych.</w:t>
      </w:r>
      <w:r>
        <w:t xml:space="preserve"> </w:t>
      </w:r>
      <w:r>
        <w:t xml:space="preserve">Ściany muszą</w:t>
      </w:r>
    </w:p>
    <w:p w14:paraId="4DC48889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B6C27E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sięgać co najmniej 1 m powyżej dopuszczalnej wysokości składowania w przypadku niezadaszonych sekcji magazynowych</w:t>
      </w:r>
    </w:p>
    <w:p w14:paraId="095023A2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6273B8BE" w14:textId="299DD13F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sięgać do membrany dachowej w przypadku sekcji magazynowych z dachem zgodnie z sekcją 6.1 w razie zastosowania niepalnych materiałów budowlanych</w:t>
      </w:r>
    </w:p>
    <w:p w14:paraId="0C834863" w14:textId="77777777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37CBF01" w14:textId="40E1B059" w:rsidR="003A67C1" w:rsidRPr="00422DC0" w:rsidRDefault="003A67C1">
      <w:pPr>
        <w:tabs>
          <w:tab w:val="left" w:pos="851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sięgać co najmniej 1 m powyżej dachu w przypadku sekcji magazynowych z dachem zgodnie z sekcją 6.1 w razie zastosowania palnych materiałów budowlanych</w:t>
      </w:r>
    </w:p>
    <w:p w14:paraId="03B85652" w14:textId="77777777" w:rsidR="003A67C1" w:rsidRPr="00422DC0" w:rsidRDefault="003A67C1">
      <w:pPr>
        <w:tabs>
          <w:tab w:val="left" w:pos="851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51D429CE" w14:textId="50062896" w:rsidR="003A67C1" w:rsidRPr="00422DC0" w:rsidRDefault="003A67C1" w:rsidP="00326C8B">
      <w:pPr>
        <w:tabs>
          <w:tab w:val="left" w:pos="851"/>
          <w:tab w:val="left" w:pos="1134"/>
        </w:tabs>
        <w:ind w:left="450"/>
        <w:jc w:val="both"/>
        <w:rPr>
          <w:szCs w:val="22"/>
          <w:rFonts w:cs="Arial"/>
        </w:rPr>
      </w:pPr>
      <w:r>
        <w:t xml:space="preserve">.</w:t>
      </w:r>
    </w:p>
    <w:p w14:paraId="5354AF82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2DDE8BD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6.3</w:t>
      </w:r>
      <w:r>
        <w:tab/>
      </w:r>
      <w:r>
        <w:t xml:space="preserve">Każda sekcja magazynowa powinna być podzielona na obszary składowania o maksymalnej powierzchni 400 m</w:t>
      </w:r>
      <w:r>
        <w:rPr>
          <w:vertAlign w:val="superscript"/>
        </w:rPr>
        <w:t xml:space="preserve">2</w:t>
      </w:r>
      <w:r>
        <w:t xml:space="preserve"> przez strefy o szerokości co najmniej 10 m wolne od obciążenia ogniowego (pasy wolne) albo przez ściany przeciwpożarowe wykonane z niepalnych materiałów budowlanych.</w:t>
      </w:r>
      <w:r>
        <w:t xml:space="preserve"> </w:t>
      </w:r>
      <w:r>
        <w:t xml:space="preserve">Ściany muszą sięgać co najmniej 1,0 m powyżej dopuszczalnej wysokości składowania.</w:t>
      </w:r>
    </w:p>
    <w:p w14:paraId="463684A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48D0850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6.4</w:t>
      </w:r>
      <w:r>
        <w:tab/>
      </w:r>
      <w:r>
        <w:t xml:space="preserve">Sekcje magazynowe i obszary składowania nie mogą przekraczać następujących głębokości składowania:</w:t>
      </w:r>
    </w:p>
    <w:p w14:paraId="2184BDA1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C6B97C9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40 m, jeżeli dwie przeciwległe strony są swobodnie dostępne do gaszenia pożarów,</w:t>
      </w:r>
    </w:p>
    <w:p w14:paraId="46AAF31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rFonts w:cs="Arial"/>
          <w:szCs w:val="22"/>
        </w:rPr>
      </w:pPr>
    </w:p>
    <w:p w14:paraId="273D1AAB" w14:textId="77777777" w:rsidR="003A67C1" w:rsidRPr="00422DC0" w:rsidRDefault="003A67C1">
      <w:pPr>
        <w:tabs>
          <w:tab w:val="left" w:pos="1008"/>
          <w:tab w:val="left" w:pos="1134"/>
        </w:tabs>
        <w:ind w:left="567" w:hanging="141"/>
        <w:jc w:val="both"/>
        <w:rPr>
          <w:szCs w:val="22"/>
          <w:rFonts w:cs="Arial"/>
        </w:rPr>
      </w:pPr>
      <w:r>
        <w:t xml:space="preserve">— 20 m, jeśli tylko jedna strona jest dostępna do gaszenia pożarów.</w:t>
      </w:r>
    </w:p>
    <w:p w14:paraId="6E34CD03" w14:textId="77777777" w:rsidR="003A67C1" w:rsidRPr="00422DC0" w:rsidRDefault="003A67C1">
      <w:pPr>
        <w:tabs>
          <w:tab w:val="left" w:pos="1008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7AA9E373" w14:textId="77777777" w:rsidR="003A67C1" w:rsidRPr="00422DC0" w:rsidRDefault="00A5671A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6.5</w:t>
      </w:r>
      <w:r>
        <w:tab/>
      </w:r>
      <w:r>
        <w:t xml:space="preserve">Zewnętrzne obszary składowania muszą znajdować się w odległości co najmniej 10 m od granic obiektu lub posiadać ściany przeciwpożarowe wykonane z niepalnych materiałów budowlanych bez otworów do wysokości co najmniej 1 m powyżej dozwolonej wysokości składowania.</w:t>
      </w:r>
    </w:p>
    <w:p w14:paraId="62879A40" w14:textId="77777777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735839D" w14:textId="77777777" w:rsidR="00865251" w:rsidRPr="00422DC0" w:rsidRDefault="00A5671A" w:rsidP="0086525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 xml:space="preserve">6.6</w:t>
      </w:r>
      <w:r>
        <w:tab/>
      </w:r>
      <w:r>
        <w:t xml:space="preserve">Wzdłuż co najmniej jednej krawędzi obszaru składowania należy zapewnić odpowiedni pas o szerokości 10 m do przemieszczania i gaszenia palących się materiałów.</w:t>
      </w:r>
      <w:r>
        <w:t xml:space="preserve"> </w:t>
      </w:r>
      <w:r>
        <w:t xml:space="preserve">Jeżeli pas ten pokrywa się ze strefą wolną od obciążenia ogniowego zgodnie z pkt 6.3, całkowita szerokość 15 m jest wystarczająca.</w:t>
      </w:r>
      <w:r>
        <w:t xml:space="preserve"> </w:t>
      </w:r>
      <w:r>
        <w:t xml:space="preserve">Zamiast odpowiedniego pasa można zapewnić odpowiednią powierzchnię zgodnie z pkt 5.5.</w:t>
      </w:r>
    </w:p>
    <w:p w14:paraId="2B06C2E7" w14:textId="6C3C8AA5" w:rsidR="00965D53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99FDB9E" w14:textId="77777777" w:rsidR="00422DC0" w:rsidRPr="00422DC0" w:rsidRDefault="00422DC0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3D6FD97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6F71B0E" w14:textId="77777777" w:rsidR="003A67C1" w:rsidRPr="00422DC0" w:rsidRDefault="00A5671A">
      <w:pPr>
        <w:tabs>
          <w:tab w:val="left" w:pos="576"/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7.</w:t>
      </w:r>
      <w:r>
        <w:rPr>
          <w:b/>
        </w:rPr>
        <w:tab/>
      </w:r>
      <w:r>
        <w:rPr>
          <w:b/>
        </w:rPr>
        <w:t xml:space="preserve">Wysokość składowania</w:t>
      </w:r>
    </w:p>
    <w:p w14:paraId="50D5939E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2C8D02B2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szCs w:val="22"/>
          <w:rFonts w:cs="Arial"/>
        </w:rPr>
      </w:pPr>
      <w:r>
        <w:tab/>
      </w:r>
      <w:r>
        <w:t xml:space="preserve">Wysokość składowania materiału nie może przekraczać 5 m w przypadku składowania luzem i 4 m w przypadku składowania blokowego.</w:t>
      </w:r>
    </w:p>
    <w:p w14:paraId="38AD2887" w14:textId="77777777" w:rsidR="003A67C1" w:rsidRPr="00422DC0" w:rsidRDefault="003A67C1">
      <w:pPr>
        <w:tabs>
          <w:tab w:val="left" w:pos="576"/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5F88FE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tab/>
      </w:r>
      <w:r>
        <w:t xml:space="preserve">Dopuszczalne wysokości składowania muszą być wyraźnie widoczne.</w:t>
      </w:r>
    </w:p>
    <w:p w14:paraId="0BB61226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6E3BF36A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CF61F99" w14:textId="784D222E" w:rsidR="003A67C1" w:rsidRPr="00422DC0" w:rsidRDefault="003A67C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8.</w:t>
      </w:r>
      <w:r>
        <w:rPr>
          <w:b/>
        </w:rPr>
        <w:tab/>
      </w:r>
      <w:r>
        <w:rPr>
          <w:b/>
        </w:rPr>
        <w:t xml:space="preserve">Ujęcie wody gaśniczej</w:t>
      </w:r>
      <w:r>
        <w:rPr>
          <w:b/>
        </w:rPr>
        <w:t xml:space="preserve"> </w:t>
      </w:r>
    </w:p>
    <w:p w14:paraId="5926EE3F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458ED388" w14:textId="1AAACB22" w:rsidR="003A67C1" w:rsidRPr="00422DC0" w:rsidRDefault="009D0409" w:rsidP="00326C8B">
      <w:pPr>
        <w:tabs>
          <w:tab w:val="left" w:pos="1134"/>
        </w:tabs>
        <w:ind w:left="450"/>
        <w:jc w:val="both"/>
        <w:rPr>
          <w:szCs w:val="22"/>
          <w:rFonts w:cs="Arial"/>
        </w:rPr>
      </w:pPr>
      <w:r>
        <w:t xml:space="preserve">Aby ograniczyć rozprzestrzenianie się ognia poza obszar składowania, woda gaśnicza w ilości wynoszącej co najmniej 192 m</w:t>
      </w:r>
      <w:r>
        <w:rPr>
          <w:vertAlign w:val="superscript"/>
        </w:rPr>
        <w:t xml:space="preserve">3</w:t>
      </w:r>
      <w:r>
        <w:t xml:space="preserve">/h musi być dostępna przez okres dwóch godzin.</w:t>
      </w:r>
      <w:r>
        <w:t xml:space="preserve"> </w:t>
      </w:r>
      <w:r>
        <w:t xml:space="preserve">W porozumieniu z Departamentem Ochrony Pożarowej w razie potrzeby może być wymagana większa ilość wody gaśniczej i wyższe natężenie przepływu.</w:t>
      </w:r>
      <w:r>
        <w:t xml:space="preserve"> </w:t>
      </w:r>
      <w:r>
        <w:t xml:space="preserve">W magazynach z automatycznym systemem gaśniczym objętość wody gaśniczej do gaszenia przez straż pożarną może zostać zmniejszona w porozumieniu z Departamentem Ochrony Pożarowej.</w:t>
      </w:r>
    </w:p>
    <w:p w14:paraId="1355F0C9" w14:textId="135C7F24" w:rsidR="00965D53" w:rsidRPr="00422DC0" w:rsidRDefault="00965D53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5A8F222" w14:textId="5E8636D5" w:rsidR="00CA200D" w:rsidRPr="00422DC0" w:rsidRDefault="00CA200D">
      <w:pPr>
        <w:tabs>
          <w:tab w:val="left" w:pos="1134"/>
        </w:tabs>
        <w:ind w:left="426" w:hanging="426"/>
        <w:jc w:val="both"/>
        <w:rPr>
          <w:rFonts w:cs="Arial"/>
          <w:strike/>
          <w:szCs w:val="22"/>
        </w:rPr>
      </w:pPr>
    </w:p>
    <w:p w14:paraId="3D5DA62B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szCs w:val="22"/>
          <w:rFonts w:cs="Arial"/>
        </w:rPr>
      </w:pPr>
      <w:r>
        <w:rPr>
          <w:b/>
        </w:rPr>
        <w:t xml:space="preserve">9.</w:t>
      </w:r>
      <w:r>
        <w:rPr>
          <w:b/>
        </w:rPr>
        <w:tab/>
      </w:r>
      <w:r>
        <w:rPr>
          <w:b/>
        </w:rPr>
        <w:t xml:space="preserve">Środki operacyjne</w:t>
      </w:r>
    </w:p>
    <w:p w14:paraId="4CBC92B7" w14:textId="77777777" w:rsidR="003A67C1" w:rsidRPr="00422DC0" w:rsidRDefault="003A67C1">
      <w:pPr>
        <w:tabs>
          <w:tab w:val="left" w:pos="1134"/>
        </w:tabs>
        <w:ind w:left="426" w:hanging="426"/>
        <w:jc w:val="both"/>
        <w:rPr>
          <w:rFonts w:cs="Arial"/>
          <w:szCs w:val="22"/>
        </w:rPr>
      </w:pPr>
    </w:p>
    <w:p w14:paraId="092E38BC" w14:textId="5DF27067" w:rsidR="00DF79DE" w:rsidRPr="00422DC0" w:rsidRDefault="003A67C1" w:rsidP="00326C8B">
      <w:pPr>
        <w:tabs>
          <w:tab w:val="left" w:pos="1134"/>
        </w:tabs>
        <w:ind w:left="450"/>
        <w:jc w:val="both"/>
        <w:rPr>
          <w:szCs w:val="22"/>
          <w:rFonts w:cs="Arial"/>
        </w:rPr>
      </w:pPr>
      <w:r>
        <w:t xml:space="preserve">W porozumieniu z Departamentem Ochrony Pożarowej plany pożarowe muszą zostać przygotowane i udostępnione miejscowej straży pożarnej.</w:t>
      </w:r>
    </w:p>
    <w:p w14:paraId="4D433AB2" w14:textId="77777777" w:rsidR="00DF79DE" w:rsidRPr="00422DC0" w:rsidRDefault="00DF79DE" w:rsidP="00DF79DE">
      <w:pPr>
        <w:tabs>
          <w:tab w:val="left" w:pos="567"/>
        </w:tabs>
        <w:ind w:left="426" w:hanging="426"/>
        <w:jc w:val="both"/>
        <w:rPr>
          <w:rFonts w:cs="Arial"/>
          <w:szCs w:val="22"/>
        </w:rPr>
      </w:pPr>
    </w:p>
    <w:p w14:paraId="673CA712" w14:textId="77777777" w:rsidR="003A67C1" w:rsidRPr="00422DC0" w:rsidRDefault="003A67C1" w:rsidP="00DF79DE">
      <w:pPr>
        <w:ind w:left="851" w:hanging="284"/>
        <w:rPr>
          <w:rFonts w:cs="Arial"/>
          <w:szCs w:val="22"/>
        </w:rPr>
      </w:pPr>
    </w:p>
    <w:p w14:paraId="1CE23A61" w14:textId="77777777" w:rsidR="003A67C1" w:rsidRPr="00A1584F" w:rsidRDefault="003A67C1">
      <w:pPr>
        <w:rPr>
          <w:rFonts w:cs="Arial"/>
          <w:szCs w:val="22"/>
        </w:rPr>
      </w:pPr>
    </w:p>
    <w:sectPr w:rsidR="003A67C1" w:rsidRPr="00A1584F">
      <w:headerReference w:type="default" r:id="rId7"/>
      <w:headerReference w:type="first" r:id="rId8"/>
      <w:footerReference w:type="first" r:id="rId9"/>
      <w:pgSz w:w="11907" w:h="16840" w:code="9"/>
      <w:pgMar w:top="1134" w:right="851" w:bottom="851" w:left="1134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85E7" w14:textId="77777777" w:rsidR="002D56D0" w:rsidRDefault="002D56D0">
      <w:r>
        <w:separator/>
      </w:r>
    </w:p>
  </w:endnote>
  <w:endnote w:type="continuationSeparator" w:id="0">
    <w:p w14:paraId="55411E41" w14:textId="77777777" w:rsidR="002D56D0" w:rsidRDefault="002D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DD1D" w14:textId="335F9458" w:rsidR="003A67C1" w:rsidRDefault="003A67C1">
    <w:pPr>
      <w:pStyle w:val="Footer"/>
      <w:tabs>
        <w:tab w:val="clear" w:pos="4536"/>
        <w:tab w:val="center" w:pos="-3179"/>
        <w:tab w:val="left" w:pos="9072"/>
      </w:tabs>
      <w:rPr>
        <w:sz w:val="12"/>
      </w:rPr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CF97" w14:textId="77777777" w:rsidR="002D56D0" w:rsidRDefault="002D56D0">
      <w:r>
        <w:separator/>
      </w:r>
    </w:p>
  </w:footnote>
  <w:footnote w:type="continuationSeparator" w:id="0">
    <w:p w14:paraId="638E723C" w14:textId="77777777" w:rsidR="002D56D0" w:rsidRDefault="002D56D0">
      <w:r>
        <w:continuationSeparator/>
      </w:r>
    </w:p>
  </w:footnote>
  <w:footnote w:id="1">
    <w:p w14:paraId="40EE6EBA" w14:textId="19CA5F24" w:rsidR="009F36EC" w:rsidRPr="009F36EC" w:rsidRDefault="009F36EC" w:rsidP="009F36EC">
      <w:pPr>
        <w:pStyle w:val="FootnoteText"/>
        <w:ind w:left="142" w:hanging="142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Przekazano powiadomienie zgodnie z dyrektywą (UE) 2015/1535 Parlamentu Europejskiego i Rady z dnia 9 września 2015 r. ustanawiającą procedurę udzielania informacji w dziedzinie przepisów technicznych oraz zasad dotyczących usług społeczeństwa informacyjnego (Dz.U. L 241 z 17.9.2015, s. 1).</w:t>
      </w:r>
    </w:p>
    <w:p w14:paraId="161AA333" w14:textId="77777777" w:rsidR="009F36EC" w:rsidRPr="009F36EC" w:rsidRDefault="009F36EC" w:rsidP="009F36EC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73AE2856" w14:textId="0815A1D7" w:rsidR="009F36EC" w:rsidRDefault="009F36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832B" w14:textId="484166D2" w:rsidR="003A67C1" w:rsidRDefault="003A67C1">
    <w:pPr>
      <w:pStyle w:val="Header"/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3C6C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4DFADCEA" w14:textId="77777777" w:rsidR="003A67C1" w:rsidRDefault="003A67C1">
    <w:pPr>
      <w:pStyle w:val="Header"/>
      <w:rPr>
        <w:rStyle w:val="PageNumber"/>
      </w:rPr>
    </w:pPr>
  </w:p>
  <w:p w14:paraId="2BF9E41C" w14:textId="77777777" w:rsidR="003A67C1" w:rsidRDefault="003A6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3D1C" w14:textId="00A1E439" w:rsidR="006A3F2F" w:rsidRPr="006A3F2F" w:rsidRDefault="006A3F2F" w:rsidP="006A3F2F">
    <w:pPr>
      <w:pStyle w:val="Header"/>
      <w:jc w:val="center"/>
      <w:rPr>
        <w:b/>
      </w:rPr>
    </w:pPr>
    <w:r>
      <w:rPr>
        <w:b/>
      </w:rPr>
      <w:t xml:space="preserve"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_Type" w:val="Dokument"/>
    <w:docVar w:name="Macro_DIBt" w:val="Dokument"/>
    <w:docVar w:name="Macro_LNX" w:val="Dokument"/>
  </w:docVars>
  <w:rsids>
    <w:rsidRoot w:val="006110CC"/>
    <w:rsid w:val="00023C6C"/>
    <w:rsid w:val="00035157"/>
    <w:rsid w:val="00056889"/>
    <w:rsid w:val="000C2DAA"/>
    <w:rsid w:val="000E05BE"/>
    <w:rsid w:val="000F7109"/>
    <w:rsid w:val="00110088"/>
    <w:rsid w:val="001223EC"/>
    <w:rsid w:val="0017111C"/>
    <w:rsid w:val="002414BD"/>
    <w:rsid w:val="0024228C"/>
    <w:rsid w:val="00273B55"/>
    <w:rsid w:val="00275890"/>
    <w:rsid w:val="002D56D0"/>
    <w:rsid w:val="00326C8B"/>
    <w:rsid w:val="00374CC7"/>
    <w:rsid w:val="003913B8"/>
    <w:rsid w:val="003A67C1"/>
    <w:rsid w:val="00422DC0"/>
    <w:rsid w:val="00443F91"/>
    <w:rsid w:val="004600B6"/>
    <w:rsid w:val="00505F58"/>
    <w:rsid w:val="00515B8A"/>
    <w:rsid w:val="00535436"/>
    <w:rsid w:val="00553B1A"/>
    <w:rsid w:val="00582011"/>
    <w:rsid w:val="005F4E58"/>
    <w:rsid w:val="006063A7"/>
    <w:rsid w:val="006110CC"/>
    <w:rsid w:val="00616FC5"/>
    <w:rsid w:val="00660B48"/>
    <w:rsid w:val="006631C5"/>
    <w:rsid w:val="006933D4"/>
    <w:rsid w:val="006A3F2F"/>
    <w:rsid w:val="006B4BC5"/>
    <w:rsid w:val="00733FCB"/>
    <w:rsid w:val="00741218"/>
    <w:rsid w:val="008113F4"/>
    <w:rsid w:val="0082200B"/>
    <w:rsid w:val="00865251"/>
    <w:rsid w:val="008A1568"/>
    <w:rsid w:val="008B4E71"/>
    <w:rsid w:val="00932ADB"/>
    <w:rsid w:val="00955CCB"/>
    <w:rsid w:val="00965D53"/>
    <w:rsid w:val="00975558"/>
    <w:rsid w:val="00983501"/>
    <w:rsid w:val="009D0409"/>
    <w:rsid w:val="009F36EC"/>
    <w:rsid w:val="009F67A8"/>
    <w:rsid w:val="00A1584F"/>
    <w:rsid w:val="00A24084"/>
    <w:rsid w:val="00A5671A"/>
    <w:rsid w:val="00AB79D1"/>
    <w:rsid w:val="00AC3B3B"/>
    <w:rsid w:val="00AC4161"/>
    <w:rsid w:val="00AE1715"/>
    <w:rsid w:val="00B3627B"/>
    <w:rsid w:val="00B47968"/>
    <w:rsid w:val="00B56A43"/>
    <w:rsid w:val="00B95B0E"/>
    <w:rsid w:val="00BC1674"/>
    <w:rsid w:val="00BC49B1"/>
    <w:rsid w:val="00C61DA9"/>
    <w:rsid w:val="00C7155E"/>
    <w:rsid w:val="00CA200D"/>
    <w:rsid w:val="00CE6708"/>
    <w:rsid w:val="00CF1E07"/>
    <w:rsid w:val="00D00DCC"/>
    <w:rsid w:val="00DF79DE"/>
    <w:rsid w:val="00E31342"/>
    <w:rsid w:val="00E46E28"/>
    <w:rsid w:val="00E60194"/>
    <w:rsid w:val="00ED1518"/>
    <w:rsid w:val="00F26827"/>
    <w:rsid w:val="00F73447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4D25F"/>
  <w15:chartTrackingRefBased/>
  <w15:docId w15:val="{6DE83AE1-CF80-415B-8B70-10D42C6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AA"/>
    <w:rPr>
      <w:rFonts w:ascii="Arial" w:hAnsi="Arial"/>
      <w:sz w:val="22"/>
    </w:rPr>
  </w:style>
  <w:style w:type="paragraph" w:styleId="Heading1">
    <w:name w:val="heading 1"/>
    <w:basedOn w:val="Normal"/>
    <w:next w:val="Heading2"/>
    <w:qFormat/>
    <w:pPr>
      <w:keepNext/>
      <w:spacing w:before="240"/>
      <w:ind w:hanging="993"/>
      <w:outlineLvl w:val="0"/>
    </w:pPr>
    <w:rPr>
      <w:kern w:val="28"/>
      <w:sz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paragraph" w:styleId="Heading3">
    <w:name w:val="heading 3"/>
    <w:basedOn w:val="Heading2"/>
    <w:next w:val="Normal"/>
    <w:qFormat/>
    <w:pPr>
      <w:keepNext w:val="0"/>
      <w:spacing w:before="120" w:after="60"/>
      <w:ind w:hanging="99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ind w:left="4248" w:hanging="708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semiHidden/>
    <w:pPr>
      <w:spacing w:before="480" w:after="240"/>
      <w:ind w:right="454"/>
    </w:pPr>
  </w:style>
  <w:style w:type="paragraph" w:customStyle="1" w:styleId="Anschrift">
    <w:name w:val="Anschrift"/>
    <w:basedOn w:val="Normal"/>
    <w:pPr>
      <w:tabs>
        <w:tab w:val="left" w:pos="3260"/>
        <w:tab w:val="left" w:pos="6379"/>
        <w:tab w:val="left" w:pos="7655"/>
      </w:tabs>
    </w:pPr>
    <w:rPr>
      <w:sz w:val="21"/>
    </w:rPr>
  </w:style>
  <w:style w:type="paragraph" w:customStyle="1" w:styleId="Betreff">
    <w:name w:val="Betreff"/>
    <w:basedOn w:val="Normal"/>
    <w:next w:val="Normal"/>
    <w:pPr>
      <w:spacing w:before="240"/>
      <w:ind w:left="851" w:hanging="851"/>
    </w:pPr>
  </w:style>
  <w:style w:type="paragraph" w:customStyle="1" w:styleId="Brief-Absender">
    <w:name w:val="Brief-Absender"/>
    <w:basedOn w:val="Normal"/>
    <w:pPr>
      <w:tabs>
        <w:tab w:val="right" w:pos="9498"/>
      </w:tabs>
      <w:spacing w:before="1500"/>
    </w:pPr>
    <w:rPr>
      <w:sz w:val="12"/>
    </w:rPr>
  </w:style>
  <w:style w:type="paragraph" w:customStyle="1" w:styleId="Brief-Anstaltdes">
    <w:name w:val="Brief-Anstalt des ..."/>
    <w:basedOn w:val="Normal"/>
    <w:pPr>
      <w:tabs>
        <w:tab w:val="right" w:pos="9498"/>
      </w:tabs>
    </w:pPr>
    <w:rPr>
      <w:b/>
      <w:sz w:val="23"/>
    </w:rPr>
  </w:style>
  <w:style w:type="paragraph" w:customStyle="1" w:styleId="Brief-BERLIN">
    <w:name w:val="Brief-BERLIN"/>
    <w:basedOn w:val="Normal"/>
    <w:pPr>
      <w:tabs>
        <w:tab w:val="right" w:pos="9498"/>
      </w:tabs>
      <w:ind w:left="10" w:firstLine="992"/>
    </w:pPr>
    <w:rPr>
      <w:b/>
      <w:sz w:val="54"/>
    </w:rPr>
  </w:style>
  <w:style w:type="paragraph" w:customStyle="1" w:styleId="Brief-DIBt">
    <w:name w:val="Brief-DIBt"/>
    <w:basedOn w:val="Normal"/>
    <w:pPr>
      <w:tabs>
        <w:tab w:val="right" w:pos="9498"/>
      </w:tabs>
      <w:ind w:right="-247"/>
    </w:pPr>
    <w:rPr>
      <w:b/>
      <w:spacing w:val="6"/>
      <w:sz w:val="36"/>
    </w:rPr>
  </w:style>
  <w:style w:type="paragraph" w:customStyle="1" w:styleId="Brief-Fuzeile">
    <w:name w:val="Brief-Fußzeile"/>
    <w:basedOn w:val="Normal"/>
    <w:pPr>
      <w:tabs>
        <w:tab w:val="left" w:pos="2693"/>
        <w:tab w:val="left" w:pos="4536"/>
        <w:tab w:val="left" w:pos="6095"/>
        <w:tab w:val="left" w:pos="7655"/>
        <w:tab w:val="left" w:pos="836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customStyle="1" w:styleId="Brief-Text">
    <w:name w:val="Brief-Text"/>
    <w:basedOn w:val="Normal"/>
    <w:pPr>
      <w:jc w:val="both"/>
    </w:pPr>
    <w:rPr>
      <w:sz w:val="24"/>
    </w:rPr>
  </w:style>
  <w:style w:type="paragraph" w:customStyle="1" w:styleId="Brief-Wegengleitender">
    <w:name w:val="Brief-Wegen gleitender ..."/>
    <w:basedOn w:val="Normal"/>
    <w:pPr>
      <w:tabs>
        <w:tab w:val="left" w:pos="572"/>
        <w:tab w:val="left" w:pos="3260"/>
        <w:tab w:val="left" w:pos="6379"/>
        <w:tab w:val="left" w:pos="7655"/>
      </w:tabs>
    </w:pPr>
    <w:rPr>
      <w:sz w:val="14"/>
    </w:rPr>
  </w:style>
  <w:style w:type="paragraph" w:customStyle="1" w:styleId="DIBt-Kopf">
    <w:name w:val="DIBt-Kopf"/>
    <w:basedOn w:val="Normal"/>
    <w:pPr>
      <w:spacing w:before="120" w:after="100"/>
      <w:ind w:right="1"/>
      <w:jc w:val="center"/>
    </w:pPr>
    <w:rPr>
      <w:spacing w:val="-30"/>
      <w:sz w:val="40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Geschftszeichenzeile">
    <w:name w:val="Geschäftszeichenzeile"/>
    <w:basedOn w:val="Normal"/>
    <w:pPr>
      <w:tabs>
        <w:tab w:val="left" w:pos="3260"/>
        <w:tab w:val="left" w:pos="5812"/>
        <w:tab w:val="left" w:pos="7655"/>
      </w:tabs>
      <w:spacing w:after="240"/>
    </w:pPr>
    <w:rPr>
      <w:sz w:val="12"/>
    </w:rPr>
  </w:style>
  <w:style w:type="character" w:styleId="PageNumber">
    <w:name w:val="page number"/>
    <w:basedOn w:val="DefaultParagraphFont"/>
    <w:semiHidden/>
  </w:style>
  <w:style w:type="paragraph" w:customStyle="1" w:styleId="Ebene5">
    <w:name w:val="Ebene 5"/>
    <w:basedOn w:val="Heading5"/>
    <w:pPr>
      <w:ind w:left="1418" w:hanging="425"/>
      <w:jc w:val="both"/>
      <w:outlineLvl w:val="9"/>
    </w:pPr>
    <w:rPr>
      <w:sz w:val="24"/>
    </w:rPr>
  </w:style>
  <w:style w:type="paragraph" w:styleId="FootnoteText">
    <w:name w:val="footnote text"/>
    <w:basedOn w:val="Normal"/>
    <w:semiHidden/>
    <w:pPr>
      <w:ind w:left="851" w:hanging="851"/>
      <w:jc w:val="both"/>
    </w:pPr>
    <w:rPr>
      <w:sz w:val="18"/>
    </w:rPr>
  </w:style>
  <w:style w:type="character" w:styleId="FootnoteReference">
    <w:name w:val="footnote reference"/>
    <w:semiHidden/>
    <w:rPr>
      <w:rFonts w:ascii="Arial" w:hAnsi="Arial"/>
      <w:noProof w:val="0"/>
      <w:color w:val="auto"/>
      <w:position w:val="6"/>
      <w:sz w:val="18"/>
      <w:u w:val="none"/>
      <w:vertAlign w:val="baseline"/>
      <w:lang w:val="pl-PL"/>
    </w:rPr>
  </w:style>
  <w:style w:type="paragraph" w:customStyle="1" w:styleId="berschrift">
    <w:name w:val="Überschrift"/>
    <w:basedOn w:val="Heading1"/>
    <w:next w:val="Normal"/>
    <w:pPr>
      <w:spacing w:before="120" w:after="480"/>
      <w:ind w:firstLine="0"/>
      <w:jc w:val="center"/>
      <w:outlineLvl w:val="9"/>
    </w:pPr>
    <w:rPr>
      <w:caps/>
      <w:kern w:val="0"/>
      <w:sz w:val="32"/>
    </w:rPr>
  </w:style>
  <w:style w:type="paragraph" w:customStyle="1" w:styleId="Ebene6">
    <w:name w:val="Ebene 6"/>
    <w:basedOn w:val="Ebene5"/>
    <w:pPr>
      <w:spacing w:line="288" w:lineRule="exact"/>
      <w:ind w:left="1701"/>
    </w:pPr>
  </w:style>
  <w:style w:type="paragraph" w:customStyle="1" w:styleId="Fuzeile-Titel">
    <w:name w:val="Fußzeile-Titel"/>
    <w:basedOn w:val="Normal"/>
    <w:rPr>
      <w:sz w:val="12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Arial" w:hAnsi="Arial"/>
      <w:sz w:val="22"/>
    </w:rPr>
  </w:style>
  <w:style w:type="paragraph" w:styleId="EndnoteText">
    <w:name w:val="endnote text"/>
    <w:basedOn w:val="Normal"/>
    <w:semiHidden/>
    <w:pPr>
      <w:jc w:val="both"/>
    </w:pPr>
    <w:rPr>
      <w:sz w:val="18"/>
    </w:rPr>
  </w:style>
  <w:style w:type="character" w:styleId="EndnoteReference">
    <w:name w:val="endnote reference"/>
    <w:semiHidden/>
    <w:rPr>
      <w:rFonts w:ascii="Arial" w:hAnsi="Arial"/>
      <w:noProof/>
      <w:color w:val="auto"/>
      <w:position w:val="6"/>
      <w:sz w:val="18"/>
      <w:u w:val="none"/>
      <w:vertAlign w:val="baseline"/>
    </w:rPr>
  </w:style>
  <w:style w:type="paragraph" w:customStyle="1" w:styleId="Funotentext1">
    <w:name w:val="Fußnotentext1"/>
    <w:basedOn w:val="Normal"/>
    <w:pPr>
      <w:ind w:left="851" w:hanging="851"/>
      <w:jc w:val="both"/>
    </w:pPr>
    <w:rPr>
      <w:sz w:val="18"/>
    </w:rPr>
  </w:style>
  <w:style w:type="paragraph" w:customStyle="1" w:styleId="Funotentext2">
    <w:name w:val="Fußnotentext2"/>
    <w:basedOn w:val="Normal"/>
    <w:pPr>
      <w:tabs>
        <w:tab w:val="left" w:pos="567"/>
        <w:tab w:val="left" w:pos="851"/>
        <w:tab w:val="left" w:pos="1134"/>
        <w:tab w:val="left" w:pos="1701"/>
        <w:tab w:val="left" w:pos="2835"/>
      </w:tabs>
      <w:ind w:left="851"/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0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4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44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44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4C11-8870-41CF-88B4-21AFC5BD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32984.01</vt:lpstr>
    </vt:vector>
  </TitlesOfParts>
  <Company>DIBt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32984.01</dc:title>
  <dc:subject/>
  <dc:creator>Frau Elke Schwarzwald</dc:creator>
  <cp:keywords/>
  <dc:description>Datei gedruckt von esw_x000d_Datei erstellt am: 12.03.2001	16:40:00_x000d_Datei-Besitzer: Frau Elke Schwarzwald (Referat P3)</dc:description>
  <cp:lastModifiedBy>Anastasia Stavroulaki</cp:lastModifiedBy>
  <cp:revision>6</cp:revision>
  <cp:lastPrinted>2023-02-27T10:46:00Z</cp:lastPrinted>
  <dcterms:created xsi:type="dcterms:W3CDTF">2023-03-23T12:27:00Z</dcterms:created>
  <dcterms:modified xsi:type="dcterms:W3CDTF">2023-03-23T14:53:00Z</dcterms:modified>
</cp:coreProperties>
</file>