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74ABA" w14:textId="616F9606" w:rsidR="003913B8" w:rsidRPr="00422DC0" w:rsidRDefault="003A67C1" w:rsidP="00422DC0">
      <w:pPr>
        <w:tabs>
          <w:tab w:val="left" w:pos="-1560"/>
        </w:tabs>
        <w:jc w:val="center"/>
        <w:rPr>
          <w:rFonts w:cs="Arial"/>
          <w:b/>
          <w:szCs w:val="22"/>
        </w:rPr>
      </w:pPr>
      <w:r>
        <w:rPr>
          <w:b/>
        </w:rPr>
        <w:t>Model de directivă privind protecția împotriva incendiilor în depozitarea anvelopelor uzate și a deșeurilor de plastic în instalațiile de eliminare a deșeurilor</w:t>
      </w:r>
    </w:p>
    <w:p w14:paraId="11F780E3" w14:textId="5F3B1522" w:rsidR="00CA200D" w:rsidRPr="00422DC0" w:rsidRDefault="003A67C1" w:rsidP="00422DC0">
      <w:pPr>
        <w:tabs>
          <w:tab w:val="left" w:pos="-1560"/>
        </w:tabs>
        <w:jc w:val="center"/>
        <w:rPr>
          <w:rFonts w:cs="Arial"/>
          <w:b/>
          <w:szCs w:val="22"/>
        </w:rPr>
      </w:pPr>
      <w:r>
        <w:rPr>
          <w:b/>
        </w:rPr>
        <w:t>(Modelul de directivă MKLR privind depozitarea plasticului)</w:t>
      </w:r>
    </w:p>
    <w:p w14:paraId="5F183BAF" w14:textId="2570CE7C" w:rsidR="006110CC" w:rsidRDefault="003A67C1" w:rsidP="006110CC">
      <w:pPr>
        <w:tabs>
          <w:tab w:val="left" w:pos="-1560"/>
        </w:tabs>
        <w:jc w:val="center"/>
        <w:rPr>
          <w:rFonts w:cs="Arial"/>
          <w:b/>
          <w:szCs w:val="22"/>
        </w:rPr>
      </w:pPr>
      <w:r>
        <w:rPr>
          <w:b/>
        </w:rPr>
        <w:t>- Martie 2023</w:t>
      </w:r>
      <w:r w:rsidR="009F36EC">
        <w:rPr>
          <w:rStyle w:val="FootnoteReference"/>
          <w:rFonts w:cs="Arial"/>
          <w:b/>
          <w:szCs w:val="22"/>
        </w:rPr>
        <w:footnoteReference w:id="1"/>
      </w:r>
      <w:r>
        <w:rPr>
          <w:b/>
        </w:rPr>
        <w:t xml:space="preserve"> –</w:t>
      </w:r>
    </w:p>
    <w:p w14:paraId="6D2F3BCD" w14:textId="646A3DDD" w:rsidR="00422DC0" w:rsidRDefault="00422DC0" w:rsidP="006110CC">
      <w:pPr>
        <w:tabs>
          <w:tab w:val="left" w:pos="-1560"/>
        </w:tabs>
        <w:jc w:val="center"/>
        <w:rPr>
          <w:rFonts w:cs="Arial"/>
          <w:b/>
          <w:szCs w:val="22"/>
        </w:rPr>
      </w:pPr>
    </w:p>
    <w:p w14:paraId="5AD42C10" w14:textId="77777777" w:rsidR="00422DC0" w:rsidRPr="00422DC0" w:rsidRDefault="00422DC0" w:rsidP="006110CC">
      <w:pPr>
        <w:tabs>
          <w:tab w:val="left" w:pos="-1560"/>
        </w:tabs>
        <w:jc w:val="center"/>
        <w:rPr>
          <w:rFonts w:cs="Arial"/>
          <w:b/>
          <w:szCs w:val="22"/>
        </w:rPr>
      </w:pPr>
    </w:p>
    <w:p w14:paraId="5ABFE954" w14:textId="77777777" w:rsidR="003A67C1" w:rsidRPr="00422DC0" w:rsidRDefault="003A67C1">
      <w:pPr>
        <w:tabs>
          <w:tab w:val="left" w:pos="1134"/>
        </w:tabs>
        <w:ind w:left="426" w:hanging="426"/>
        <w:jc w:val="both"/>
        <w:rPr>
          <w:rFonts w:cs="Arial"/>
          <w:szCs w:val="22"/>
        </w:rPr>
      </w:pPr>
      <w:r>
        <w:rPr>
          <w:b/>
        </w:rPr>
        <w:t>1.</w:t>
      </w:r>
      <w:r>
        <w:rPr>
          <w:b/>
        </w:rPr>
        <w:tab/>
        <w:t>Obiectiv de protecție</w:t>
      </w:r>
    </w:p>
    <w:p w14:paraId="0F672CE3" w14:textId="77777777" w:rsidR="003A67C1" w:rsidRPr="00422DC0" w:rsidRDefault="003A67C1">
      <w:pPr>
        <w:tabs>
          <w:tab w:val="left" w:pos="1134"/>
        </w:tabs>
        <w:ind w:left="426" w:hanging="426"/>
        <w:jc w:val="both"/>
        <w:rPr>
          <w:rFonts w:cs="Arial"/>
          <w:szCs w:val="22"/>
        </w:rPr>
      </w:pPr>
    </w:p>
    <w:p w14:paraId="0431AD20" w14:textId="6AEF75F1" w:rsidR="003A67C1" w:rsidRPr="00422DC0" w:rsidRDefault="003A67C1">
      <w:pPr>
        <w:tabs>
          <w:tab w:val="left" w:pos="1134"/>
        </w:tabs>
        <w:ind w:left="426" w:hanging="426"/>
        <w:jc w:val="both"/>
        <w:rPr>
          <w:rFonts w:cs="Arial"/>
          <w:szCs w:val="22"/>
        </w:rPr>
      </w:pPr>
      <w:r>
        <w:t>1.1</w:t>
      </w:r>
      <w:r>
        <w:tab/>
        <w:t>Scopul acestei directive este de a preveni începerea și răspândirea incendiilor și a fumului și de a permite lucrări eficiente de stingere în timpul depozitării anvelopelor uzate și a deșeurilor de plastic în instalațiile de eliminare a deșeurilor [articolul 14 din MBO (Musterbauordnung, Modelul de cod de construcție)].</w:t>
      </w:r>
    </w:p>
    <w:p w14:paraId="00CB61FF" w14:textId="77777777" w:rsidR="003A67C1" w:rsidRPr="00422DC0" w:rsidRDefault="003A67C1">
      <w:pPr>
        <w:tabs>
          <w:tab w:val="left" w:pos="1134"/>
        </w:tabs>
        <w:ind w:left="426" w:hanging="426"/>
        <w:jc w:val="both"/>
        <w:rPr>
          <w:rFonts w:cs="Arial"/>
          <w:szCs w:val="22"/>
        </w:rPr>
      </w:pPr>
    </w:p>
    <w:p w14:paraId="25BC5E3C" w14:textId="77777777" w:rsidR="003A67C1" w:rsidRPr="00422DC0" w:rsidRDefault="003A67C1">
      <w:pPr>
        <w:tabs>
          <w:tab w:val="left" w:pos="1008"/>
          <w:tab w:val="left" w:pos="1134"/>
        </w:tabs>
        <w:ind w:left="567" w:hanging="141"/>
        <w:jc w:val="both"/>
        <w:rPr>
          <w:rFonts w:cs="Arial"/>
          <w:szCs w:val="22"/>
        </w:rPr>
      </w:pPr>
    </w:p>
    <w:p w14:paraId="4677EF79" w14:textId="0D305175" w:rsidR="003A67C1" w:rsidRPr="00422DC0" w:rsidRDefault="003A67C1">
      <w:pPr>
        <w:tabs>
          <w:tab w:val="left" w:pos="-1560"/>
          <w:tab w:val="left" w:pos="1134"/>
        </w:tabs>
        <w:ind w:left="426" w:hanging="426"/>
        <w:jc w:val="both"/>
        <w:rPr>
          <w:rFonts w:cs="Arial"/>
          <w:szCs w:val="22"/>
        </w:rPr>
      </w:pPr>
      <w:r>
        <w:rPr>
          <w:b/>
        </w:rPr>
        <w:t>2.</w:t>
      </w:r>
      <w:r>
        <w:rPr>
          <w:b/>
        </w:rPr>
        <w:tab/>
        <w:t>Domeniul de aplicare</w:t>
      </w:r>
    </w:p>
    <w:p w14:paraId="022AE055" w14:textId="77777777" w:rsidR="003A67C1" w:rsidRPr="00422DC0" w:rsidRDefault="003A67C1">
      <w:pPr>
        <w:tabs>
          <w:tab w:val="left" w:pos="-1560"/>
          <w:tab w:val="left" w:pos="1134"/>
        </w:tabs>
        <w:ind w:left="426" w:hanging="426"/>
        <w:jc w:val="both"/>
        <w:rPr>
          <w:rFonts w:cs="Arial"/>
          <w:szCs w:val="22"/>
        </w:rPr>
      </w:pPr>
    </w:p>
    <w:p w14:paraId="41ECDB85" w14:textId="770C8388" w:rsidR="003A67C1" w:rsidRPr="00422DC0" w:rsidRDefault="003A67C1" w:rsidP="00C61DA9">
      <w:pPr>
        <w:tabs>
          <w:tab w:val="left" w:pos="-1560"/>
          <w:tab w:val="left" w:pos="1134"/>
        </w:tabs>
        <w:ind w:left="450"/>
        <w:jc w:val="both"/>
        <w:rPr>
          <w:rFonts w:cs="Arial"/>
          <w:szCs w:val="22"/>
        </w:rPr>
      </w:pPr>
      <w:r>
        <w:t>Prezenta directivă se aplică depozitării anvelopelor uzate și tratării sau sortării deșeurilor de plastic, inclusiv depozitării necesare în instalațiile de eliminare a deșeurilor</w:t>
      </w:r>
      <w:r>
        <w:rPr>
          <w:b/>
        </w:rPr>
        <w:t xml:space="preserve"> </w:t>
      </w:r>
      <w:r>
        <w:t>– denumite în continuare substanțe – în cantități de depozitare mai mari de 200 m</w:t>
      </w:r>
      <w:r>
        <w:rPr>
          <w:vertAlign w:val="superscript"/>
        </w:rPr>
        <w:t>3</w:t>
      </w:r>
      <w:r>
        <w:t xml:space="preserve"> sub formă de fracțiuni mono sau mixte în formă compactă sau ca material în vrac, în vrac, în containere fixe și mobile, în clădiri de depozitare și în aer liber. </w:t>
      </w:r>
    </w:p>
    <w:p w14:paraId="36AE5177" w14:textId="77777777" w:rsidR="003A67C1" w:rsidRPr="00422DC0" w:rsidRDefault="003A67C1">
      <w:pPr>
        <w:tabs>
          <w:tab w:val="left" w:pos="-1560"/>
          <w:tab w:val="left" w:pos="1134"/>
        </w:tabs>
        <w:ind w:left="426" w:hanging="426"/>
        <w:jc w:val="both"/>
        <w:rPr>
          <w:rFonts w:cs="Arial"/>
          <w:szCs w:val="22"/>
        </w:rPr>
      </w:pPr>
    </w:p>
    <w:p w14:paraId="58780C09" w14:textId="77777777" w:rsidR="00E46E28" w:rsidRPr="00422DC0" w:rsidRDefault="003A67C1">
      <w:pPr>
        <w:tabs>
          <w:tab w:val="left" w:pos="-1560"/>
          <w:tab w:val="left" w:pos="1134"/>
        </w:tabs>
        <w:ind w:left="426" w:hanging="426"/>
        <w:jc w:val="both"/>
        <w:rPr>
          <w:rFonts w:cs="Arial"/>
          <w:b/>
          <w:szCs w:val="22"/>
        </w:rPr>
      </w:pPr>
      <w:r>
        <w:rPr>
          <w:b/>
        </w:rPr>
        <w:t>3.</w:t>
      </w:r>
      <w:r>
        <w:rPr>
          <w:b/>
        </w:rPr>
        <w:tab/>
        <w:t>Termeni</w:t>
      </w:r>
    </w:p>
    <w:p w14:paraId="10728BE4" w14:textId="77777777" w:rsidR="00E46E28" w:rsidRPr="00422DC0" w:rsidRDefault="00E46E28">
      <w:pPr>
        <w:tabs>
          <w:tab w:val="left" w:pos="-1560"/>
          <w:tab w:val="left" w:pos="1134"/>
        </w:tabs>
        <w:ind w:left="426" w:hanging="426"/>
        <w:jc w:val="both"/>
        <w:rPr>
          <w:rFonts w:cs="Arial"/>
          <w:b/>
          <w:szCs w:val="22"/>
        </w:rPr>
      </w:pPr>
    </w:p>
    <w:p w14:paraId="156D5C68" w14:textId="4C279170" w:rsidR="00E46E28" w:rsidRPr="00422DC0" w:rsidRDefault="00C61DA9">
      <w:pPr>
        <w:tabs>
          <w:tab w:val="left" w:pos="-1560"/>
          <w:tab w:val="left" w:pos="1134"/>
        </w:tabs>
        <w:ind w:left="426" w:hanging="426"/>
        <w:jc w:val="both"/>
        <w:rPr>
          <w:rFonts w:cs="Arial"/>
          <w:szCs w:val="22"/>
        </w:rPr>
      </w:pPr>
      <w:r>
        <w:tab/>
        <w:t>3.1 Anvelope uzate</w:t>
      </w:r>
    </w:p>
    <w:p w14:paraId="1F7ECC90" w14:textId="5BA45893" w:rsidR="00E60194" w:rsidRPr="00422DC0" w:rsidRDefault="00E60194" w:rsidP="00C61DA9">
      <w:pPr>
        <w:tabs>
          <w:tab w:val="left" w:pos="-1560"/>
          <w:tab w:val="left" w:pos="1134"/>
        </w:tabs>
        <w:spacing w:before="120"/>
        <w:ind w:left="425" w:firstLine="25"/>
        <w:jc w:val="both"/>
        <w:rPr>
          <w:rFonts w:cs="Arial"/>
          <w:szCs w:val="22"/>
        </w:rPr>
      </w:pPr>
      <w:r>
        <w:t>Anvelopele uzate în sensul prezentei directive sunt utilizate în măsura în care acestea reprezintă deșeuri în sensul articolului 3 alineatul (1) din Legea privind economia circulară din 24 februarie 2012 [BGB1. (Monitorul Oficial Federal] I p. 212, astfel cum a fost modificată.</w:t>
      </w:r>
    </w:p>
    <w:p w14:paraId="5E7A6E6D" w14:textId="77777777" w:rsidR="00E60194" w:rsidRPr="00422DC0" w:rsidRDefault="00E60194">
      <w:pPr>
        <w:tabs>
          <w:tab w:val="left" w:pos="-1560"/>
          <w:tab w:val="left" w:pos="1134"/>
        </w:tabs>
        <w:ind w:left="426" w:hanging="426"/>
        <w:jc w:val="both"/>
        <w:rPr>
          <w:rFonts w:cs="Arial"/>
          <w:szCs w:val="22"/>
        </w:rPr>
      </w:pPr>
    </w:p>
    <w:p w14:paraId="7BDD8328" w14:textId="61A29CC7" w:rsidR="00E46E28" w:rsidRPr="00422DC0" w:rsidRDefault="00C61DA9">
      <w:pPr>
        <w:tabs>
          <w:tab w:val="left" w:pos="-1560"/>
          <w:tab w:val="left" w:pos="1134"/>
        </w:tabs>
        <w:ind w:left="426" w:hanging="426"/>
        <w:jc w:val="both"/>
        <w:rPr>
          <w:rFonts w:cs="Arial"/>
          <w:szCs w:val="22"/>
        </w:rPr>
      </w:pPr>
      <w:r>
        <w:tab/>
        <w:t>3.2 Deșeuri de plastic</w:t>
      </w:r>
    </w:p>
    <w:p w14:paraId="05B4C0D5" w14:textId="057841B1" w:rsidR="00B56A43" w:rsidRPr="00422DC0" w:rsidRDefault="00B56A43" w:rsidP="00C61DA9">
      <w:pPr>
        <w:tabs>
          <w:tab w:val="left" w:pos="-1560"/>
          <w:tab w:val="left" w:pos="1134"/>
        </w:tabs>
        <w:spacing w:before="120"/>
        <w:ind w:left="450"/>
        <w:jc w:val="both"/>
        <w:rPr>
          <w:rFonts w:cs="Arial"/>
          <w:szCs w:val="22"/>
        </w:rPr>
      </w:pPr>
      <w:r>
        <w:t>Deșeurile de plastic în sensul prezentei directive sunt deșeuri în sensul articolului 3 alineatul (1) din Legea privind economia circulară din 24 februarie 2012 (BGB1. I p. 212), astfel cum a fost modificată, care conțin în principal materiale plastice sau sunt amestecate cu materiale plastice, cum ar fi combustibilii alternativi, deșeuri de ambalaje ușoare (Gelbe Tonne, pubele galbene) și fracțiunile de plastic aruncate.</w:t>
      </w:r>
    </w:p>
    <w:p w14:paraId="02566ED2" w14:textId="17C87C66" w:rsidR="00B56A43" w:rsidRPr="00422DC0" w:rsidRDefault="00B56A43" w:rsidP="00B56A43">
      <w:pPr>
        <w:tabs>
          <w:tab w:val="left" w:pos="-1560"/>
          <w:tab w:val="left" w:pos="1134"/>
        </w:tabs>
        <w:ind w:left="426" w:hanging="426"/>
        <w:jc w:val="both"/>
        <w:rPr>
          <w:rFonts w:cs="Arial"/>
          <w:szCs w:val="22"/>
        </w:rPr>
      </w:pPr>
    </w:p>
    <w:p w14:paraId="34B1D4D0" w14:textId="6CF2DF9C" w:rsidR="003A67C1" w:rsidRPr="00422DC0" w:rsidRDefault="00E46E28">
      <w:pPr>
        <w:tabs>
          <w:tab w:val="left" w:pos="-1560"/>
          <w:tab w:val="left" w:pos="1134"/>
        </w:tabs>
        <w:ind w:left="426" w:hanging="426"/>
        <w:jc w:val="both"/>
        <w:rPr>
          <w:rFonts w:cs="Arial"/>
          <w:szCs w:val="22"/>
        </w:rPr>
      </w:pPr>
      <w:r>
        <w:rPr>
          <w:b/>
        </w:rPr>
        <w:t>4.</w:t>
      </w:r>
      <w:r>
        <w:rPr>
          <w:b/>
        </w:rPr>
        <w:tab/>
        <w:t>Zone de servicii pentru pompieri</w:t>
      </w:r>
    </w:p>
    <w:p w14:paraId="253DEFA1" w14:textId="77777777" w:rsidR="003A67C1" w:rsidRPr="00422DC0" w:rsidRDefault="003A67C1">
      <w:pPr>
        <w:tabs>
          <w:tab w:val="left" w:pos="-1560"/>
          <w:tab w:val="left" w:pos="1134"/>
        </w:tabs>
        <w:ind w:left="426" w:hanging="426"/>
        <w:jc w:val="both"/>
        <w:rPr>
          <w:rFonts w:cs="Arial"/>
          <w:szCs w:val="22"/>
        </w:rPr>
      </w:pPr>
    </w:p>
    <w:p w14:paraId="541EB294" w14:textId="4E5AFDCE" w:rsidR="003A67C1" w:rsidRPr="00422DC0" w:rsidRDefault="003A67C1" w:rsidP="00B47968">
      <w:pPr>
        <w:tabs>
          <w:tab w:val="left" w:pos="-1560"/>
          <w:tab w:val="left" w:pos="1134"/>
        </w:tabs>
        <w:ind w:left="450"/>
        <w:jc w:val="both"/>
        <w:rPr>
          <w:rFonts w:cs="Arial"/>
          <w:szCs w:val="22"/>
        </w:rPr>
      </w:pPr>
      <w:r>
        <w:t>Pentru utilizarea serviciului de pompieri, pe proprietate trebuie stabilite drumuri de acces adecvate, precum și zone de instalare și mișcare, în acord cu departamentul responsabil cu protecția împotriva incendiilor. Suprafețele de instalare trebuie prevăzute pe cel puțin două laturi opuse pentru suprafețele de depozitare în aer liber de la 2 000 m², pentru instalațiile de construcție cu o suprafață de 5 000 m². Distanțele până la pereții exteriori ai clădirii în conformitate cu modelul de directivă pentru zonele pentru brigada de pompieri se aplică, de asemenea, limitelor zonelor de depozitare</w:t>
      </w:r>
    </w:p>
    <w:p w14:paraId="38B5AF5C" w14:textId="77777777" w:rsidR="003A67C1" w:rsidRPr="00422DC0" w:rsidRDefault="003A67C1">
      <w:pPr>
        <w:tabs>
          <w:tab w:val="left" w:pos="1134"/>
        </w:tabs>
        <w:ind w:left="426" w:hanging="426"/>
        <w:jc w:val="both"/>
        <w:rPr>
          <w:rFonts w:cs="Arial"/>
          <w:szCs w:val="22"/>
        </w:rPr>
      </w:pPr>
    </w:p>
    <w:p w14:paraId="2D151CDD" w14:textId="77777777" w:rsidR="003A67C1" w:rsidRPr="00422DC0" w:rsidRDefault="00A5671A">
      <w:pPr>
        <w:tabs>
          <w:tab w:val="left" w:pos="1134"/>
        </w:tabs>
        <w:ind w:left="426" w:hanging="426"/>
        <w:jc w:val="both"/>
        <w:rPr>
          <w:rFonts w:cs="Arial"/>
          <w:szCs w:val="22"/>
        </w:rPr>
      </w:pPr>
      <w:r>
        <w:rPr>
          <w:b/>
        </w:rPr>
        <w:t>5.</w:t>
      </w:r>
      <w:r>
        <w:rPr>
          <w:b/>
        </w:rPr>
        <w:tab/>
        <w:t>Depozitarea substanțelor în clădiri</w:t>
      </w:r>
    </w:p>
    <w:p w14:paraId="1E0105DB" w14:textId="77777777" w:rsidR="003A67C1" w:rsidRPr="00422DC0" w:rsidRDefault="003A67C1">
      <w:pPr>
        <w:tabs>
          <w:tab w:val="left" w:pos="1134"/>
        </w:tabs>
        <w:ind w:left="426" w:hanging="426"/>
        <w:jc w:val="both"/>
        <w:rPr>
          <w:rFonts w:cs="Arial"/>
          <w:szCs w:val="22"/>
        </w:rPr>
      </w:pPr>
    </w:p>
    <w:p w14:paraId="284A658C" w14:textId="7BF71D89" w:rsidR="003A67C1" w:rsidRPr="00422DC0" w:rsidRDefault="00A5671A">
      <w:pPr>
        <w:tabs>
          <w:tab w:val="left" w:pos="1134"/>
        </w:tabs>
        <w:ind w:left="426" w:hanging="426"/>
        <w:jc w:val="both"/>
        <w:rPr>
          <w:rFonts w:cs="Arial"/>
          <w:szCs w:val="22"/>
        </w:rPr>
      </w:pPr>
      <w:r>
        <w:t>5.1</w:t>
      </w:r>
      <w:r>
        <w:tab/>
        <w:t>Substanțele pot fi depozitate în clădiri numai la parter. În măsura în care acestea nu sunt depozitate la nivelul solului, pot fi stabilite cerințe speciale pentru a permite lucrări eficiente de stingere.</w:t>
      </w:r>
    </w:p>
    <w:p w14:paraId="49266E2C" w14:textId="77777777" w:rsidR="003A67C1" w:rsidRPr="00422DC0" w:rsidRDefault="003A67C1">
      <w:pPr>
        <w:tabs>
          <w:tab w:val="left" w:pos="1134"/>
        </w:tabs>
        <w:ind w:left="426" w:hanging="426"/>
        <w:jc w:val="both"/>
        <w:rPr>
          <w:rFonts w:cs="Arial"/>
          <w:szCs w:val="22"/>
        </w:rPr>
      </w:pPr>
    </w:p>
    <w:p w14:paraId="625D5E4E" w14:textId="3FF9A7D9" w:rsidR="003A67C1" w:rsidRPr="00422DC0" w:rsidRDefault="00A5671A">
      <w:pPr>
        <w:tabs>
          <w:tab w:val="left" w:pos="1134"/>
        </w:tabs>
        <w:ind w:left="426" w:hanging="426"/>
        <w:jc w:val="both"/>
        <w:rPr>
          <w:rFonts w:cs="Arial"/>
          <w:szCs w:val="22"/>
        </w:rPr>
      </w:pPr>
      <w:r>
        <w:t>5.2</w:t>
      </w:r>
      <w:r>
        <w:tab/>
        <w:t>Depozitul trebuie împărțit în secțiuni de incendiu de maximum 5 000 m</w:t>
      </w:r>
      <w:r>
        <w:rPr>
          <w:vertAlign w:val="superscript"/>
        </w:rPr>
        <w:t>2</w:t>
      </w:r>
      <w:r>
        <w:t xml:space="preserve"> prin pereți de incendiu.</w:t>
      </w:r>
    </w:p>
    <w:p w14:paraId="32F7CBC0" w14:textId="77777777" w:rsidR="003A67C1" w:rsidRPr="00422DC0" w:rsidRDefault="003A67C1">
      <w:pPr>
        <w:tabs>
          <w:tab w:val="left" w:pos="1134"/>
        </w:tabs>
        <w:ind w:left="426" w:hanging="426"/>
        <w:jc w:val="both"/>
        <w:rPr>
          <w:rFonts w:cs="Arial"/>
          <w:szCs w:val="22"/>
        </w:rPr>
      </w:pPr>
    </w:p>
    <w:p w14:paraId="6750506D" w14:textId="77777777" w:rsidR="003A67C1" w:rsidRPr="00422DC0" w:rsidRDefault="00A5671A">
      <w:pPr>
        <w:tabs>
          <w:tab w:val="left" w:pos="1134"/>
        </w:tabs>
        <w:ind w:left="426" w:hanging="426"/>
        <w:jc w:val="both"/>
        <w:rPr>
          <w:rFonts w:cs="Arial"/>
          <w:szCs w:val="22"/>
        </w:rPr>
      </w:pPr>
      <w:r>
        <w:t>5.3</w:t>
      </w:r>
      <w:r>
        <w:tab/>
        <w:t>Fiecare secțiune de incendiu trebuie împărțită în zone cu o lățime de cel puțin 10 m, fără sarcină calorifică (benzi libere) în zone de depozitare care nu depășesc 300 m</w:t>
      </w:r>
      <w:r>
        <w:rPr>
          <w:vertAlign w:val="superscript"/>
        </w:rPr>
        <w:t>2</w:t>
      </w:r>
      <w:r>
        <w:t>.</w:t>
      </w:r>
    </w:p>
    <w:p w14:paraId="0F2A50F9" w14:textId="77777777" w:rsidR="003A67C1" w:rsidRPr="00422DC0" w:rsidRDefault="003A67C1">
      <w:pPr>
        <w:tabs>
          <w:tab w:val="left" w:pos="1134"/>
        </w:tabs>
        <w:ind w:left="426" w:hanging="426"/>
        <w:jc w:val="both"/>
        <w:rPr>
          <w:rFonts w:cs="Arial"/>
          <w:szCs w:val="22"/>
        </w:rPr>
      </w:pPr>
    </w:p>
    <w:p w14:paraId="65711F18" w14:textId="77777777" w:rsidR="003A67C1" w:rsidRPr="00422DC0" w:rsidRDefault="00A5671A">
      <w:pPr>
        <w:tabs>
          <w:tab w:val="left" w:pos="1134"/>
        </w:tabs>
        <w:ind w:left="426" w:hanging="426"/>
        <w:jc w:val="both"/>
        <w:rPr>
          <w:rFonts w:cs="Arial"/>
          <w:szCs w:val="22"/>
        </w:rPr>
      </w:pPr>
      <w:r>
        <w:t>5.4</w:t>
      </w:r>
      <w:r>
        <w:tab/>
        <w:t>Următoarele trebuie să fie prezente într-o secțiune de incendiu:</w:t>
      </w:r>
    </w:p>
    <w:p w14:paraId="3FC2D63A" w14:textId="77777777" w:rsidR="003A67C1" w:rsidRPr="00422DC0" w:rsidRDefault="003A67C1">
      <w:pPr>
        <w:tabs>
          <w:tab w:val="left" w:pos="1134"/>
        </w:tabs>
        <w:ind w:left="426" w:hanging="426"/>
        <w:jc w:val="both"/>
        <w:rPr>
          <w:rFonts w:cs="Arial"/>
          <w:szCs w:val="22"/>
        </w:rPr>
      </w:pPr>
    </w:p>
    <w:p w14:paraId="30A1483C" w14:textId="01ACEA77" w:rsidR="003A67C1" w:rsidRPr="00422DC0" w:rsidRDefault="003A67C1">
      <w:pPr>
        <w:tabs>
          <w:tab w:val="left" w:pos="851"/>
          <w:tab w:val="left" w:pos="1008"/>
          <w:tab w:val="left" w:pos="1134"/>
        </w:tabs>
        <w:ind w:left="567" w:hanging="141"/>
        <w:jc w:val="both"/>
        <w:rPr>
          <w:rFonts w:cs="Arial"/>
          <w:szCs w:val="22"/>
        </w:rPr>
      </w:pPr>
      <w:r>
        <w:t>— sisteme staționare de stingere automată a incendiului sau deschideri de evacuare a fumului în combinație cu sisteme automate de alarmă de incendiu, în cazul în care secțiunea de incendiu este mai mare de 800 m</w:t>
      </w:r>
      <w:r>
        <w:rPr>
          <w:vertAlign w:val="superscript"/>
        </w:rPr>
        <w:t>2</w:t>
      </w:r>
      <w:r>
        <w:t>. Cerința privind deschiderile de evacuare a fumului este considerată a fi îndeplinită în special dacă acestea respectă secțiunile 5.7.1.2, 5.7.4.2 și 5.7.4.4 nr. secvențial A 2.2.2.8 din M VVTB (Model de directivă pentru construcții industriale, astfel cum a fost modificată în mai 2019).</w:t>
      </w:r>
    </w:p>
    <w:p w14:paraId="365D057B" w14:textId="105B845C" w:rsidR="003A67C1" w:rsidRPr="00422DC0" w:rsidRDefault="003A67C1">
      <w:pPr>
        <w:tabs>
          <w:tab w:val="left" w:pos="851"/>
          <w:tab w:val="left" w:pos="1134"/>
        </w:tabs>
        <w:ind w:left="567" w:hanging="141"/>
        <w:jc w:val="both"/>
        <w:rPr>
          <w:rFonts w:cs="Arial"/>
          <w:szCs w:val="22"/>
        </w:rPr>
      </w:pPr>
      <w:r>
        <w:t>— sisteme staționare de stingere automată a incendiilor, în cazul în care secțiunea de incendiu este mai mare de 1 600 m</w:t>
      </w:r>
      <w:r>
        <w:rPr>
          <w:vertAlign w:val="superscript"/>
        </w:rPr>
        <w:t>2</w:t>
      </w:r>
      <w:r>
        <w:t>.</w:t>
      </w:r>
    </w:p>
    <w:p w14:paraId="29A817CD" w14:textId="77777777" w:rsidR="006B4BC5" w:rsidRPr="00422DC0" w:rsidRDefault="006B4BC5">
      <w:pPr>
        <w:tabs>
          <w:tab w:val="left" w:pos="851"/>
          <w:tab w:val="left" w:pos="1134"/>
        </w:tabs>
        <w:ind w:left="567" w:hanging="141"/>
        <w:jc w:val="both"/>
        <w:rPr>
          <w:rFonts w:cs="Arial"/>
          <w:szCs w:val="22"/>
        </w:rPr>
      </w:pPr>
    </w:p>
    <w:p w14:paraId="30A5DE54" w14:textId="77777777" w:rsidR="006110CC" w:rsidRPr="00422DC0" w:rsidRDefault="00A5671A" w:rsidP="006110CC">
      <w:pPr>
        <w:tabs>
          <w:tab w:val="left" w:pos="1134"/>
        </w:tabs>
        <w:ind w:left="426" w:hanging="426"/>
        <w:jc w:val="both"/>
        <w:rPr>
          <w:rFonts w:cs="Arial"/>
          <w:szCs w:val="22"/>
        </w:rPr>
      </w:pPr>
      <w:r>
        <w:t>5.5</w:t>
      </w:r>
      <w:r>
        <w:tab/>
        <w:t xml:space="preserve">O suprafață neacoperită și adecvată de 400 m² trebuie prevăzută în aer liber pentru depozitarea și stingerea substanțelor care ard. </w:t>
      </w:r>
    </w:p>
    <w:p w14:paraId="664F0199" w14:textId="77777777" w:rsidR="003A67C1" w:rsidRPr="00422DC0" w:rsidRDefault="003A67C1" w:rsidP="006110CC">
      <w:pPr>
        <w:tabs>
          <w:tab w:val="left" w:pos="851"/>
          <w:tab w:val="left" w:pos="1134"/>
        </w:tabs>
        <w:jc w:val="both"/>
        <w:rPr>
          <w:rFonts w:cs="Arial"/>
          <w:szCs w:val="22"/>
        </w:rPr>
      </w:pPr>
    </w:p>
    <w:p w14:paraId="7FFD368D" w14:textId="77777777" w:rsidR="003A67C1" w:rsidRPr="00422DC0" w:rsidRDefault="00A5671A">
      <w:pPr>
        <w:tabs>
          <w:tab w:val="left" w:pos="851"/>
          <w:tab w:val="left" w:pos="1134"/>
        </w:tabs>
        <w:ind w:left="426" w:hanging="426"/>
        <w:jc w:val="both"/>
        <w:rPr>
          <w:rFonts w:cs="Arial"/>
          <w:szCs w:val="22"/>
        </w:rPr>
      </w:pPr>
      <w:r>
        <w:rPr>
          <w:b/>
        </w:rPr>
        <w:t>6.</w:t>
      </w:r>
      <w:r>
        <w:rPr>
          <w:b/>
        </w:rPr>
        <w:tab/>
        <w:t>Depozitarea substanțelor în aer liber</w:t>
      </w:r>
    </w:p>
    <w:p w14:paraId="3022B59C" w14:textId="77777777" w:rsidR="003A67C1" w:rsidRPr="00422DC0" w:rsidRDefault="003A67C1">
      <w:pPr>
        <w:tabs>
          <w:tab w:val="left" w:pos="851"/>
          <w:tab w:val="left" w:pos="1134"/>
        </w:tabs>
        <w:ind w:left="426" w:hanging="426"/>
        <w:jc w:val="both"/>
        <w:rPr>
          <w:rFonts w:cs="Arial"/>
          <w:szCs w:val="22"/>
        </w:rPr>
      </w:pPr>
    </w:p>
    <w:p w14:paraId="3E9DFB36" w14:textId="77777777" w:rsidR="003A67C1" w:rsidRPr="00422DC0" w:rsidRDefault="00A5671A">
      <w:pPr>
        <w:tabs>
          <w:tab w:val="left" w:pos="851"/>
          <w:tab w:val="left" w:pos="1134"/>
        </w:tabs>
        <w:ind w:left="426" w:hanging="426"/>
        <w:jc w:val="both"/>
        <w:rPr>
          <w:rFonts w:cs="Arial"/>
          <w:szCs w:val="22"/>
        </w:rPr>
      </w:pPr>
      <w:r>
        <w:t>6.1</w:t>
      </w:r>
      <w:r>
        <w:tab/>
        <w:t>Depozitarea în exterior a substanțelor include, de asemenea, depozitarea într-o secțiune de depozitare cu acoperiș dacă:</w:t>
      </w:r>
    </w:p>
    <w:p w14:paraId="4DBB22C7" w14:textId="77777777" w:rsidR="003A67C1" w:rsidRPr="00422DC0" w:rsidRDefault="003A67C1">
      <w:pPr>
        <w:tabs>
          <w:tab w:val="left" w:pos="851"/>
          <w:tab w:val="left" w:pos="1134"/>
        </w:tabs>
        <w:ind w:left="426" w:hanging="426"/>
        <w:jc w:val="both"/>
        <w:rPr>
          <w:rFonts w:cs="Arial"/>
          <w:szCs w:val="22"/>
        </w:rPr>
      </w:pPr>
    </w:p>
    <w:p w14:paraId="1F32162B" w14:textId="77777777" w:rsidR="003A67C1" w:rsidRPr="00422DC0" w:rsidRDefault="003A67C1">
      <w:pPr>
        <w:tabs>
          <w:tab w:val="left" w:pos="851"/>
          <w:tab w:val="left" w:pos="1134"/>
        </w:tabs>
        <w:ind w:left="567" w:hanging="141"/>
        <w:jc w:val="both"/>
        <w:rPr>
          <w:rFonts w:cs="Arial"/>
          <w:szCs w:val="22"/>
        </w:rPr>
      </w:pPr>
      <w:r>
        <w:t>— înălțimea admisă de depozitare se termină la cel puțin 2,5 m sub marginea inferioară a părții inferioare a acoperișului;</w:t>
      </w:r>
    </w:p>
    <w:p w14:paraId="5F893C59" w14:textId="77777777" w:rsidR="003A67C1" w:rsidRPr="00422DC0" w:rsidRDefault="003A67C1">
      <w:pPr>
        <w:tabs>
          <w:tab w:val="left" w:pos="851"/>
          <w:tab w:val="left" w:pos="1134"/>
        </w:tabs>
        <w:ind w:left="567" w:hanging="141"/>
        <w:jc w:val="both"/>
        <w:rPr>
          <w:rFonts w:cs="Arial"/>
          <w:szCs w:val="22"/>
        </w:rPr>
      </w:pPr>
      <w:r>
        <w:t>— secțiunea de depozitare este complet deschisă pe cel puțin două laturi opuse; și</w:t>
      </w:r>
    </w:p>
    <w:p w14:paraId="2EDCFC2C" w14:textId="77777777" w:rsidR="003A67C1" w:rsidRPr="00422DC0" w:rsidRDefault="003A67C1">
      <w:pPr>
        <w:tabs>
          <w:tab w:val="left" w:pos="851"/>
          <w:tab w:val="left" w:pos="1134"/>
        </w:tabs>
        <w:ind w:left="567" w:hanging="141"/>
        <w:jc w:val="both"/>
        <w:rPr>
          <w:rFonts w:cs="Arial"/>
          <w:szCs w:val="22"/>
        </w:rPr>
      </w:pPr>
      <w:r>
        <w:t>— părțile rămase ale secțiunii de depozitare care nu sunt complet deschise au o lungime maximă de 45 m.</w:t>
      </w:r>
    </w:p>
    <w:p w14:paraId="6EC2F5A7" w14:textId="77777777" w:rsidR="003A67C1" w:rsidRPr="00422DC0" w:rsidRDefault="003A67C1">
      <w:pPr>
        <w:tabs>
          <w:tab w:val="left" w:pos="1134"/>
        </w:tabs>
        <w:ind w:left="426" w:hanging="426"/>
        <w:jc w:val="both"/>
        <w:rPr>
          <w:rFonts w:cs="Arial"/>
          <w:szCs w:val="22"/>
        </w:rPr>
      </w:pPr>
    </w:p>
    <w:p w14:paraId="4857076C" w14:textId="0E5464A8" w:rsidR="003A67C1" w:rsidRPr="00422DC0" w:rsidRDefault="00A5671A">
      <w:pPr>
        <w:tabs>
          <w:tab w:val="left" w:pos="1134"/>
        </w:tabs>
        <w:ind w:left="426" w:hanging="426"/>
        <w:jc w:val="both"/>
        <w:rPr>
          <w:rFonts w:cs="Arial"/>
          <w:szCs w:val="22"/>
        </w:rPr>
      </w:pPr>
      <w:r>
        <w:t>6.2</w:t>
      </w:r>
      <w:r>
        <w:tab/>
        <w:t>Depozitul urmează să fie împărțit în secțiuni de depozitare de maximum 2 000 m</w:t>
      </w:r>
      <w:r>
        <w:rPr>
          <w:vertAlign w:val="superscript"/>
        </w:rPr>
        <w:t>2</w:t>
      </w:r>
      <w:r>
        <w:t xml:space="preserve"> cu cel puțin 10 m lățime, zone neacoperite, fără sarcină calorifică (benzi libere) sau de pereți rezistenți la foc din materiale de construcție incombustibile. Pereții trebuie să fie</w:t>
      </w:r>
    </w:p>
    <w:p w14:paraId="4DC48889" w14:textId="77777777" w:rsidR="003A67C1" w:rsidRPr="00422DC0" w:rsidRDefault="003A67C1">
      <w:pPr>
        <w:tabs>
          <w:tab w:val="left" w:pos="1134"/>
        </w:tabs>
        <w:ind w:left="426" w:hanging="426"/>
        <w:jc w:val="both"/>
        <w:rPr>
          <w:rFonts w:cs="Arial"/>
          <w:szCs w:val="22"/>
        </w:rPr>
      </w:pPr>
    </w:p>
    <w:p w14:paraId="07B6C27E" w14:textId="77777777" w:rsidR="003A67C1" w:rsidRPr="00422DC0" w:rsidRDefault="003A67C1">
      <w:pPr>
        <w:tabs>
          <w:tab w:val="left" w:pos="851"/>
          <w:tab w:val="left" w:pos="1134"/>
        </w:tabs>
        <w:ind w:left="567" w:hanging="141"/>
        <w:jc w:val="both"/>
        <w:rPr>
          <w:rFonts w:cs="Arial"/>
          <w:szCs w:val="22"/>
        </w:rPr>
      </w:pPr>
      <w:r>
        <w:t>— la cel puțin 1 m deasupra înălțimii admise de depozitare pentru secțiunile de depozitare fără acoperișuri</w:t>
      </w:r>
    </w:p>
    <w:p w14:paraId="095023A2" w14:textId="77777777" w:rsidR="003A67C1" w:rsidRPr="00422DC0" w:rsidRDefault="003A67C1">
      <w:pPr>
        <w:tabs>
          <w:tab w:val="left" w:pos="851"/>
          <w:tab w:val="left" w:pos="1134"/>
        </w:tabs>
        <w:ind w:left="567" w:hanging="141"/>
        <w:jc w:val="both"/>
        <w:rPr>
          <w:rFonts w:cs="Arial"/>
          <w:szCs w:val="22"/>
        </w:rPr>
      </w:pPr>
    </w:p>
    <w:p w14:paraId="6273B8BE" w14:textId="299DD13F" w:rsidR="003A67C1" w:rsidRPr="00422DC0" w:rsidRDefault="003A67C1">
      <w:pPr>
        <w:tabs>
          <w:tab w:val="left" w:pos="851"/>
          <w:tab w:val="left" w:pos="1134"/>
        </w:tabs>
        <w:ind w:left="567" w:hanging="141"/>
        <w:jc w:val="both"/>
        <w:rPr>
          <w:rFonts w:cs="Arial"/>
          <w:szCs w:val="22"/>
        </w:rPr>
      </w:pPr>
      <w:r>
        <w:t>— până la membrana acoperișului pentru secțiunile de depozitare cu acoperișuri în conformitate cu secțiunea 6.1 fabricate din materiale de construcție neinflamabile</w:t>
      </w:r>
    </w:p>
    <w:p w14:paraId="0C834863" w14:textId="77777777" w:rsidR="003A67C1" w:rsidRPr="00422DC0" w:rsidRDefault="003A67C1">
      <w:pPr>
        <w:tabs>
          <w:tab w:val="left" w:pos="851"/>
          <w:tab w:val="left" w:pos="1134"/>
        </w:tabs>
        <w:ind w:left="567" w:hanging="141"/>
        <w:jc w:val="both"/>
        <w:rPr>
          <w:rFonts w:cs="Arial"/>
          <w:szCs w:val="22"/>
        </w:rPr>
      </w:pPr>
    </w:p>
    <w:p w14:paraId="237CBF01" w14:textId="40EBDACB" w:rsidR="003A67C1" w:rsidRPr="00422DC0" w:rsidRDefault="003A67C1">
      <w:pPr>
        <w:tabs>
          <w:tab w:val="left" w:pos="851"/>
          <w:tab w:val="left" w:pos="1134"/>
        </w:tabs>
        <w:ind w:left="567" w:hanging="141"/>
        <w:jc w:val="both"/>
        <w:rPr>
          <w:rFonts w:cs="Arial"/>
          <w:szCs w:val="22"/>
        </w:rPr>
      </w:pPr>
      <w:r>
        <w:t>— la cel puțin 1 m deasupra acoperișului pentru secțiunile de depozitare cu acoperișuri în conformitate cu secțiunea 6.1 din materiale de construcție inflamabile</w:t>
      </w:r>
      <w:r w:rsidR="00BB2343">
        <w:t>.</w:t>
      </w:r>
    </w:p>
    <w:p w14:paraId="03B85652" w14:textId="77777777" w:rsidR="003A67C1" w:rsidRPr="00422DC0" w:rsidRDefault="003A67C1">
      <w:pPr>
        <w:tabs>
          <w:tab w:val="left" w:pos="851"/>
          <w:tab w:val="left" w:pos="1134"/>
        </w:tabs>
        <w:ind w:left="426" w:hanging="426"/>
        <w:jc w:val="both"/>
        <w:rPr>
          <w:rFonts w:cs="Arial"/>
          <w:szCs w:val="22"/>
        </w:rPr>
      </w:pPr>
    </w:p>
    <w:p w14:paraId="5354AF82" w14:textId="77777777" w:rsidR="003A67C1" w:rsidRPr="00422DC0" w:rsidRDefault="003A67C1">
      <w:pPr>
        <w:tabs>
          <w:tab w:val="left" w:pos="1134"/>
        </w:tabs>
        <w:ind w:left="426" w:hanging="426"/>
        <w:jc w:val="both"/>
        <w:rPr>
          <w:rFonts w:cs="Arial"/>
          <w:szCs w:val="22"/>
        </w:rPr>
      </w:pPr>
    </w:p>
    <w:p w14:paraId="72DDE8BD" w14:textId="77777777" w:rsidR="003A67C1" w:rsidRPr="00422DC0" w:rsidRDefault="00A5671A">
      <w:pPr>
        <w:tabs>
          <w:tab w:val="left" w:pos="1134"/>
        </w:tabs>
        <w:ind w:left="426" w:hanging="426"/>
        <w:jc w:val="both"/>
        <w:rPr>
          <w:rFonts w:cs="Arial"/>
          <w:szCs w:val="22"/>
        </w:rPr>
      </w:pPr>
      <w:r>
        <w:t>6.3</w:t>
      </w:r>
      <w:r>
        <w:tab/>
        <w:t>Fiecare secțiune de depozitare trebuie împărțită în zone de depozitare de maximum 400 m</w:t>
      </w:r>
      <w:r>
        <w:rPr>
          <w:vertAlign w:val="superscript"/>
        </w:rPr>
        <w:t>2</w:t>
      </w:r>
      <w:r>
        <w:t xml:space="preserve"> pe zone fără sarcină calorifică (benzi libere) care au o lățime de cel puțin 10 m sau prin pereți rezistenți la foc din materiale de construcție neinflamabile. Pereții trebuie construiți la cel puțin 1,0 m deasupra înălțimii admise de depozitare.</w:t>
      </w:r>
    </w:p>
    <w:p w14:paraId="463684AF" w14:textId="77777777" w:rsidR="003A67C1" w:rsidRPr="00422DC0" w:rsidRDefault="003A67C1">
      <w:pPr>
        <w:tabs>
          <w:tab w:val="left" w:pos="1134"/>
        </w:tabs>
        <w:ind w:left="426" w:hanging="426"/>
        <w:jc w:val="both"/>
        <w:rPr>
          <w:rFonts w:cs="Arial"/>
          <w:szCs w:val="22"/>
        </w:rPr>
      </w:pPr>
    </w:p>
    <w:p w14:paraId="348D0850" w14:textId="77777777" w:rsidR="003A67C1" w:rsidRPr="00422DC0" w:rsidRDefault="00A5671A">
      <w:pPr>
        <w:tabs>
          <w:tab w:val="left" w:pos="1134"/>
        </w:tabs>
        <w:ind w:left="426" w:hanging="426"/>
        <w:jc w:val="both"/>
        <w:rPr>
          <w:rFonts w:cs="Arial"/>
          <w:szCs w:val="22"/>
        </w:rPr>
      </w:pPr>
      <w:r>
        <w:t>6.4</w:t>
      </w:r>
      <w:r>
        <w:tab/>
        <w:t>Secțiunile de depozitare și zonele de depozitare nu trebuie să depășească următoarele adâncimi de depozitare:</w:t>
      </w:r>
    </w:p>
    <w:p w14:paraId="2184BDA1" w14:textId="77777777" w:rsidR="003A67C1" w:rsidRPr="00422DC0" w:rsidRDefault="003A67C1">
      <w:pPr>
        <w:tabs>
          <w:tab w:val="left" w:pos="1134"/>
        </w:tabs>
        <w:ind w:left="426" w:hanging="426"/>
        <w:jc w:val="both"/>
        <w:rPr>
          <w:rFonts w:cs="Arial"/>
          <w:szCs w:val="22"/>
        </w:rPr>
      </w:pPr>
    </w:p>
    <w:p w14:paraId="7C6B97C9" w14:textId="77777777" w:rsidR="003A67C1" w:rsidRPr="00422DC0" w:rsidRDefault="003A67C1">
      <w:pPr>
        <w:tabs>
          <w:tab w:val="left" w:pos="1008"/>
          <w:tab w:val="left" w:pos="1134"/>
        </w:tabs>
        <w:ind w:left="567" w:hanging="141"/>
        <w:jc w:val="both"/>
        <w:rPr>
          <w:rFonts w:cs="Arial"/>
          <w:szCs w:val="22"/>
        </w:rPr>
      </w:pPr>
      <w:r>
        <w:t>— 40 m în cazul în care două laturi opuse sunt liber accesibile pentru stingerea incendiilor;</w:t>
      </w:r>
    </w:p>
    <w:p w14:paraId="46AAF31B" w14:textId="77777777" w:rsidR="003A67C1" w:rsidRPr="00422DC0" w:rsidRDefault="003A67C1">
      <w:pPr>
        <w:tabs>
          <w:tab w:val="left" w:pos="1008"/>
          <w:tab w:val="left" w:pos="1134"/>
        </w:tabs>
        <w:ind w:left="567" w:hanging="141"/>
        <w:jc w:val="both"/>
        <w:rPr>
          <w:rFonts w:cs="Arial"/>
          <w:szCs w:val="22"/>
        </w:rPr>
      </w:pPr>
    </w:p>
    <w:p w14:paraId="273D1AAB" w14:textId="77777777" w:rsidR="003A67C1" w:rsidRPr="00422DC0" w:rsidRDefault="003A67C1">
      <w:pPr>
        <w:tabs>
          <w:tab w:val="left" w:pos="1008"/>
          <w:tab w:val="left" w:pos="1134"/>
        </w:tabs>
        <w:ind w:left="567" w:hanging="141"/>
        <w:jc w:val="both"/>
        <w:rPr>
          <w:rFonts w:cs="Arial"/>
          <w:szCs w:val="22"/>
        </w:rPr>
      </w:pPr>
      <w:r>
        <w:t>— 20 m, dacă doar o parte este accesibilă pentru stingerea incendiilor.</w:t>
      </w:r>
    </w:p>
    <w:p w14:paraId="6E34CD03" w14:textId="77777777" w:rsidR="003A67C1" w:rsidRPr="00422DC0" w:rsidRDefault="003A67C1">
      <w:pPr>
        <w:tabs>
          <w:tab w:val="left" w:pos="1008"/>
          <w:tab w:val="left" w:pos="1134"/>
        </w:tabs>
        <w:ind w:left="426" w:hanging="426"/>
        <w:jc w:val="both"/>
        <w:rPr>
          <w:rFonts w:cs="Arial"/>
          <w:szCs w:val="22"/>
        </w:rPr>
      </w:pPr>
    </w:p>
    <w:p w14:paraId="7AA9E373" w14:textId="77777777" w:rsidR="003A67C1" w:rsidRPr="00422DC0" w:rsidRDefault="00A5671A">
      <w:pPr>
        <w:tabs>
          <w:tab w:val="left" w:pos="1134"/>
        </w:tabs>
        <w:ind w:left="426" w:hanging="426"/>
        <w:jc w:val="both"/>
        <w:rPr>
          <w:rFonts w:cs="Arial"/>
          <w:szCs w:val="22"/>
        </w:rPr>
      </w:pPr>
      <w:r>
        <w:lastRenderedPageBreak/>
        <w:t>6.5</w:t>
      </w:r>
      <w:r>
        <w:tab/>
        <w:t>Zonele de depozitare în aer liber trebuie să se afle la o distanță de cel puțin 10 m față de limitele amplasamentului sau să aibă pereți rezistenți la foc din materiale de construcție incombustibile, fără deschideri de până la cel puțin 1 m deasupra înălțimii admise de depozitare.</w:t>
      </w:r>
    </w:p>
    <w:p w14:paraId="62879A40" w14:textId="77777777" w:rsidR="00965D53" w:rsidRPr="00422DC0" w:rsidRDefault="00965D53">
      <w:pPr>
        <w:tabs>
          <w:tab w:val="left" w:pos="1134"/>
        </w:tabs>
        <w:ind w:left="426" w:hanging="426"/>
        <w:jc w:val="both"/>
        <w:rPr>
          <w:rFonts w:cs="Arial"/>
          <w:szCs w:val="22"/>
        </w:rPr>
      </w:pPr>
    </w:p>
    <w:p w14:paraId="0735839D" w14:textId="77777777" w:rsidR="00865251" w:rsidRPr="00422DC0" w:rsidRDefault="00A5671A" w:rsidP="00865251">
      <w:pPr>
        <w:tabs>
          <w:tab w:val="left" w:pos="1134"/>
        </w:tabs>
        <w:ind w:left="426" w:hanging="426"/>
        <w:jc w:val="both"/>
        <w:rPr>
          <w:rFonts w:cs="Arial"/>
          <w:szCs w:val="22"/>
        </w:rPr>
      </w:pPr>
      <w:r>
        <w:t>6.6</w:t>
      </w:r>
      <w:r>
        <w:tab/>
        <w:t>De-a lungul a cel puțin unei margini a unei zone de depozitare, trebuie prevăzută o bandă adecvată de 10 m pentru deplasarea și stingerea materialelor care ard. Dacă această bandă coincide cu o zonă fără incendiu în conformitate cu punctul 6.3, este suficientă o lățime totală de 15 m. În locul unei benzi adecvate, se poate prevedea o zonă adecvată în conformitate cu punctul 5.5.</w:t>
      </w:r>
    </w:p>
    <w:p w14:paraId="2B06C2E7" w14:textId="6C3C8AA5" w:rsidR="00965D53" w:rsidRDefault="00965D53">
      <w:pPr>
        <w:tabs>
          <w:tab w:val="left" w:pos="1134"/>
        </w:tabs>
        <w:ind w:left="426" w:hanging="426"/>
        <w:jc w:val="both"/>
        <w:rPr>
          <w:rFonts w:cs="Arial"/>
          <w:szCs w:val="22"/>
        </w:rPr>
      </w:pPr>
    </w:p>
    <w:p w14:paraId="699FDB9E" w14:textId="77777777" w:rsidR="00422DC0" w:rsidRPr="00422DC0" w:rsidRDefault="00422DC0">
      <w:pPr>
        <w:tabs>
          <w:tab w:val="left" w:pos="1134"/>
        </w:tabs>
        <w:ind w:left="426" w:hanging="426"/>
        <w:jc w:val="both"/>
        <w:rPr>
          <w:rFonts w:cs="Arial"/>
          <w:szCs w:val="22"/>
        </w:rPr>
      </w:pPr>
    </w:p>
    <w:p w14:paraId="3D6FD97B" w14:textId="77777777" w:rsidR="003A67C1" w:rsidRPr="00422DC0" w:rsidRDefault="003A67C1">
      <w:pPr>
        <w:tabs>
          <w:tab w:val="left" w:pos="1134"/>
        </w:tabs>
        <w:ind w:left="426" w:hanging="426"/>
        <w:jc w:val="both"/>
        <w:rPr>
          <w:rFonts w:cs="Arial"/>
          <w:szCs w:val="22"/>
        </w:rPr>
      </w:pPr>
    </w:p>
    <w:p w14:paraId="06F71B0E" w14:textId="77777777" w:rsidR="003A67C1" w:rsidRPr="00422DC0" w:rsidRDefault="00A5671A">
      <w:pPr>
        <w:tabs>
          <w:tab w:val="left" w:pos="576"/>
          <w:tab w:val="left" w:pos="1134"/>
        </w:tabs>
        <w:ind w:left="426" w:hanging="426"/>
        <w:jc w:val="both"/>
        <w:rPr>
          <w:rFonts w:cs="Arial"/>
          <w:szCs w:val="22"/>
        </w:rPr>
      </w:pPr>
      <w:r>
        <w:rPr>
          <w:b/>
        </w:rPr>
        <w:t>7.</w:t>
      </w:r>
      <w:r>
        <w:rPr>
          <w:b/>
        </w:rPr>
        <w:tab/>
        <w:t>Înălțime de depozitare</w:t>
      </w:r>
    </w:p>
    <w:p w14:paraId="50D5939E" w14:textId="77777777" w:rsidR="003A67C1" w:rsidRPr="00422DC0" w:rsidRDefault="003A67C1">
      <w:pPr>
        <w:tabs>
          <w:tab w:val="left" w:pos="576"/>
          <w:tab w:val="left" w:pos="1134"/>
        </w:tabs>
        <w:ind w:left="426" w:hanging="426"/>
        <w:jc w:val="both"/>
        <w:rPr>
          <w:rFonts w:cs="Arial"/>
          <w:szCs w:val="22"/>
        </w:rPr>
      </w:pPr>
    </w:p>
    <w:p w14:paraId="2C8D02B2" w14:textId="77777777" w:rsidR="003A67C1" w:rsidRPr="00422DC0" w:rsidRDefault="003A67C1">
      <w:pPr>
        <w:tabs>
          <w:tab w:val="left" w:pos="576"/>
          <w:tab w:val="left" w:pos="1134"/>
        </w:tabs>
        <w:ind w:left="426" w:hanging="426"/>
        <w:jc w:val="both"/>
        <w:rPr>
          <w:rFonts w:cs="Arial"/>
          <w:szCs w:val="22"/>
        </w:rPr>
      </w:pPr>
      <w:r>
        <w:tab/>
        <w:t>Înălțimea materialului de depozitare nu trebuie să depășească 5 m pentru vrac, 4 m pentru depozitarea în blocuri.</w:t>
      </w:r>
    </w:p>
    <w:p w14:paraId="38AD2887" w14:textId="77777777" w:rsidR="003A67C1" w:rsidRPr="00422DC0" w:rsidRDefault="003A67C1">
      <w:pPr>
        <w:tabs>
          <w:tab w:val="left" w:pos="576"/>
          <w:tab w:val="left" w:pos="1134"/>
        </w:tabs>
        <w:ind w:left="426" w:hanging="426"/>
        <w:jc w:val="both"/>
        <w:rPr>
          <w:rFonts w:cs="Arial"/>
          <w:szCs w:val="22"/>
        </w:rPr>
      </w:pPr>
    </w:p>
    <w:p w14:paraId="65F88FEB" w14:textId="77777777" w:rsidR="003A67C1" w:rsidRPr="00422DC0" w:rsidRDefault="003A67C1">
      <w:pPr>
        <w:tabs>
          <w:tab w:val="left" w:pos="1134"/>
        </w:tabs>
        <w:ind w:left="426" w:hanging="426"/>
        <w:jc w:val="both"/>
        <w:rPr>
          <w:rFonts w:cs="Arial"/>
          <w:szCs w:val="22"/>
        </w:rPr>
      </w:pPr>
      <w:r>
        <w:tab/>
        <w:t>Înălțimile de depozitare admise trebuie să fie clar vizibile.</w:t>
      </w:r>
    </w:p>
    <w:p w14:paraId="0BB61226" w14:textId="77777777" w:rsidR="003A67C1" w:rsidRPr="00422DC0" w:rsidRDefault="003A67C1">
      <w:pPr>
        <w:tabs>
          <w:tab w:val="left" w:pos="1134"/>
        </w:tabs>
        <w:ind w:left="426" w:hanging="426"/>
        <w:jc w:val="both"/>
        <w:rPr>
          <w:rFonts w:cs="Arial"/>
          <w:szCs w:val="22"/>
        </w:rPr>
      </w:pPr>
    </w:p>
    <w:p w14:paraId="6E3BF36A" w14:textId="77777777" w:rsidR="003A67C1" w:rsidRPr="00422DC0" w:rsidRDefault="003A67C1">
      <w:pPr>
        <w:tabs>
          <w:tab w:val="left" w:pos="1134"/>
        </w:tabs>
        <w:ind w:left="426" w:hanging="426"/>
        <w:jc w:val="both"/>
        <w:rPr>
          <w:rFonts w:cs="Arial"/>
          <w:szCs w:val="22"/>
        </w:rPr>
      </w:pPr>
    </w:p>
    <w:p w14:paraId="0CF61F99" w14:textId="784D222E" w:rsidR="003A67C1" w:rsidRPr="00422DC0" w:rsidRDefault="003A67C1">
      <w:pPr>
        <w:tabs>
          <w:tab w:val="left" w:pos="1134"/>
        </w:tabs>
        <w:ind w:left="426" w:hanging="426"/>
        <w:jc w:val="both"/>
        <w:rPr>
          <w:rFonts w:cs="Arial"/>
          <w:szCs w:val="22"/>
        </w:rPr>
      </w:pPr>
      <w:r>
        <w:rPr>
          <w:b/>
        </w:rPr>
        <w:t>8.</w:t>
      </w:r>
      <w:r>
        <w:rPr>
          <w:b/>
        </w:rPr>
        <w:tab/>
        <w:t xml:space="preserve">Alimentarea cu apă destinată stingerii incendiilor </w:t>
      </w:r>
    </w:p>
    <w:p w14:paraId="5926EE3F" w14:textId="77777777" w:rsidR="003A67C1" w:rsidRPr="00422DC0" w:rsidRDefault="003A67C1">
      <w:pPr>
        <w:tabs>
          <w:tab w:val="left" w:pos="1134"/>
        </w:tabs>
        <w:ind w:left="426" w:hanging="426"/>
        <w:jc w:val="both"/>
        <w:rPr>
          <w:rFonts w:cs="Arial"/>
          <w:szCs w:val="22"/>
        </w:rPr>
      </w:pPr>
    </w:p>
    <w:p w14:paraId="458ED388" w14:textId="1AAACB22" w:rsidR="003A67C1" w:rsidRPr="00422DC0" w:rsidRDefault="009D0409" w:rsidP="00326C8B">
      <w:pPr>
        <w:tabs>
          <w:tab w:val="left" w:pos="1134"/>
        </w:tabs>
        <w:ind w:left="450"/>
        <w:jc w:val="both"/>
        <w:rPr>
          <w:rFonts w:cs="Arial"/>
          <w:szCs w:val="22"/>
        </w:rPr>
      </w:pPr>
      <w:r>
        <w:t>Pentru a limita răspândirea incendiului dincolo de o zonă de depozitare, trebuie să fie disponibilă o cantitate de apă pentru stingerea incendiilor de cel puțin 192 m</w:t>
      </w:r>
      <w:r>
        <w:rPr>
          <w:vertAlign w:val="superscript"/>
        </w:rPr>
        <w:t>3</w:t>
      </w:r>
      <w:r>
        <w:t>/h pe o perioadă de două ore. În consultare cu Departamentul de protecție împotriva incendiilor, pot fi necesare, dacă este cazul, o cantitate mai mare de apă pentru stingerea incendiilor și un debit mai mare. În depozitele cu sistem automat de stingere a incendiilor, volumul apei de stingere pentru activitățile de stingere a incendiilor de către serviciul de pompieri poate fi redus în consultare cu Departamentul de protecție împotriva incendiilor.</w:t>
      </w:r>
    </w:p>
    <w:p w14:paraId="1355F0C9" w14:textId="135C7F24" w:rsidR="00965D53" w:rsidRPr="00422DC0" w:rsidRDefault="00965D53">
      <w:pPr>
        <w:tabs>
          <w:tab w:val="left" w:pos="1134"/>
        </w:tabs>
        <w:ind w:left="426" w:hanging="426"/>
        <w:jc w:val="both"/>
        <w:rPr>
          <w:rFonts w:cs="Arial"/>
          <w:szCs w:val="22"/>
        </w:rPr>
      </w:pPr>
    </w:p>
    <w:p w14:paraId="05A8F222" w14:textId="5E8636D5" w:rsidR="00CA200D" w:rsidRPr="00422DC0" w:rsidRDefault="00CA200D">
      <w:pPr>
        <w:tabs>
          <w:tab w:val="left" w:pos="1134"/>
        </w:tabs>
        <w:ind w:left="426" w:hanging="426"/>
        <w:jc w:val="both"/>
        <w:rPr>
          <w:rFonts w:cs="Arial"/>
          <w:strike/>
          <w:szCs w:val="22"/>
        </w:rPr>
      </w:pPr>
    </w:p>
    <w:p w14:paraId="3D5DA62B" w14:textId="77777777" w:rsidR="003A67C1" w:rsidRPr="00422DC0" w:rsidRDefault="003A67C1">
      <w:pPr>
        <w:tabs>
          <w:tab w:val="left" w:pos="1134"/>
        </w:tabs>
        <w:ind w:left="426" w:hanging="426"/>
        <w:jc w:val="both"/>
        <w:rPr>
          <w:rFonts w:cs="Arial"/>
          <w:szCs w:val="22"/>
        </w:rPr>
      </w:pPr>
      <w:r>
        <w:rPr>
          <w:b/>
        </w:rPr>
        <w:t>9.</w:t>
      </w:r>
      <w:r>
        <w:rPr>
          <w:b/>
        </w:rPr>
        <w:tab/>
        <w:t>Măsuri operaționale</w:t>
      </w:r>
    </w:p>
    <w:p w14:paraId="4CBC92B7" w14:textId="77777777" w:rsidR="003A67C1" w:rsidRPr="00422DC0" w:rsidRDefault="003A67C1">
      <w:pPr>
        <w:tabs>
          <w:tab w:val="left" w:pos="1134"/>
        </w:tabs>
        <w:ind w:left="426" w:hanging="426"/>
        <w:jc w:val="both"/>
        <w:rPr>
          <w:rFonts w:cs="Arial"/>
          <w:szCs w:val="22"/>
        </w:rPr>
      </w:pPr>
    </w:p>
    <w:p w14:paraId="092E38BC" w14:textId="5DF27067" w:rsidR="00DF79DE" w:rsidRPr="00422DC0" w:rsidRDefault="003A67C1" w:rsidP="00326C8B">
      <w:pPr>
        <w:tabs>
          <w:tab w:val="left" w:pos="1134"/>
        </w:tabs>
        <w:ind w:left="450"/>
        <w:jc w:val="both"/>
        <w:rPr>
          <w:rFonts w:cs="Arial"/>
          <w:szCs w:val="22"/>
        </w:rPr>
      </w:pPr>
      <w:r>
        <w:t>În consultare cu Departamentul de protecție împotriva incendiilor, planurile de incendiu trebuie elaborate și puse la dispoziția serviciului local de pompieri.</w:t>
      </w:r>
    </w:p>
    <w:p w14:paraId="4D433AB2" w14:textId="77777777" w:rsidR="00DF79DE" w:rsidRPr="00422DC0" w:rsidRDefault="00DF79DE" w:rsidP="00DF79DE">
      <w:pPr>
        <w:tabs>
          <w:tab w:val="left" w:pos="567"/>
        </w:tabs>
        <w:ind w:left="426" w:hanging="426"/>
        <w:jc w:val="both"/>
        <w:rPr>
          <w:rFonts w:cs="Arial"/>
          <w:szCs w:val="22"/>
        </w:rPr>
      </w:pPr>
    </w:p>
    <w:p w14:paraId="673CA712" w14:textId="77777777" w:rsidR="003A67C1" w:rsidRPr="00422DC0" w:rsidRDefault="003A67C1" w:rsidP="00DF79DE">
      <w:pPr>
        <w:ind w:left="851" w:hanging="284"/>
        <w:rPr>
          <w:rFonts w:cs="Arial"/>
          <w:szCs w:val="22"/>
        </w:rPr>
      </w:pPr>
    </w:p>
    <w:p w14:paraId="1CE23A61" w14:textId="77777777" w:rsidR="003A67C1" w:rsidRPr="00A1584F" w:rsidRDefault="003A67C1">
      <w:pPr>
        <w:rPr>
          <w:rFonts w:cs="Arial"/>
          <w:szCs w:val="22"/>
        </w:rPr>
      </w:pPr>
    </w:p>
    <w:sectPr w:rsidR="003A67C1" w:rsidRPr="00A1584F">
      <w:headerReference w:type="default" r:id="rId7"/>
      <w:headerReference w:type="first" r:id="rId8"/>
      <w:footerReference w:type="first" r:id="rId9"/>
      <w:pgSz w:w="11907" w:h="16840" w:code="9"/>
      <w:pgMar w:top="1134" w:right="851" w:bottom="851" w:left="1134" w:header="567" w:footer="42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885E7" w14:textId="77777777" w:rsidR="002D56D0" w:rsidRDefault="002D56D0">
      <w:r>
        <w:separator/>
      </w:r>
    </w:p>
  </w:endnote>
  <w:endnote w:type="continuationSeparator" w:id="0">
    <w:p w14:paraId="55411E41" w14:textId="77777777" w:rsidR="002D56D0" w:rsidRDefault="002D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DD1D" w14:textId="335F9458" w:rsidR="003A67C1" w:rsidRDefault="003A67C1">
    <w:pPr>
      <w:pStyle w:val="Footer"/>
      <w:tabs>
        <w:tab w:val="clear" w:pos="4536"/>
        <w:tab w:val="center" w:pos="-3179"/>
        <w:tab w:val="left" w:pos="9072"/>
      </w:tabs>
      <w:rPr>
        <w:sz w:val="12"/>
      </w:rPr>
    </w:pPr>
    <w:r>
      <w:rPr>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8CF97" w14:textId="77777777" w:rsidR="002D56D0" w:rsidRDefault="002D56D0">
      <w:r>
        <w:separator/>
      </w:r>
    </w:p>
  </w:footnote>
  <w:footnote w:type="continuationSeparator" w:id="0">
    <w:p w14:paraId="638E723C" w14:textId="77777777" w:rsidR="002D56D0" w:rsidRDefault="002D56D0">
      <w:r>
        <w:continuationSeparator/>
      </w:r>
    </w:p>
  </w:footnote>
  <w:footnote w:id="1">
    <w:p w14:paraId="40EE6EBA" w14:textId="19CA5F24" w:rsidR="009F36EC" w:rsidRPr="009F36EC" w:rsidRDefault="009F36EC" w:rsidP="009F36EC">
      <w:pPr>
        <w:pStyle w:val="FootnoteText"/>
        <w:ind w:left="142" w:hanging="142"/>
        <w:rPr>
          <w:rFonts w:ascii="Times New Roman" w:hAnsi="Times New Roman"/>
        </w:rPr>
      </w:pPr>
      <w:r>
        <w:rPr>
          <w:rStyle w:val="FootnoteReference"/>
        </w:rPr>
        <w:footnoteRef/>
      </w:r>
      <w:r>
        <w:t xml:space="preserve"> </w:t>
      </w:r>
      <w:r>
        <w:rPr>
          <w:rFonts w:ascii="Times New Roman" w:hAnsi="Times New Roman"/>
        </w:rPr>
        <w:t>Notificat în conformitate cu Directiva (UE) 2015/1535 a Parlamentului European și a Consiliului din 9 septembrie 2015 referitoare la procedura de furnizare de informații în domeniul reglementărilor tehnice și al normelor privind serviciile societății informaționale (JO L 241, 17.9.2015, p. 1).</w:t>
      </w:r>
    </w:p>
    <w:p w14:paraId="161AA333" w14:textId="77777777" w:rsidR="009F36EC" w:rsidRPr="009F36EC" w:rsidRDefault="009F36EC" w:rsidP="009F36EC">
      <w:pPr>
        <w:widowControl w:val="0"/>
        <w:autoSpaceDE w:val="0"/>
        <w:autoSpaceDN w:val="0"/>
        <w:adjustRightInd w:val="0"/>
        <w:rPr>
          <w:rFonts w:ascii="Times New Roman" w:hAnsi="Times New Roman"/>
          <w:sz w:val="20"/>
        </w:rPr>
      </w:pPr>
    </w:p>
    <w:p w14:paraId="73AE2856" w14:textId="0815A1D7" w:rsidR="009F36EC" w:rsidRDefault="009F36E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E832B" w14:textId="484166D2" w:rsidR="003A67C1" w:rsidRDefault="003A67C1">
    <w:pPr>
      <w:pStyle w:val="Heade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023C6C">
      <w:rPr>
        <w:rStyle w:val="PageNumber"/>
      </w:rPr>
      <w:t>3</w:t>
    </w:r>
    <w:r>
      <w:rPr>
        <w:rStyle w:val="PageNumber"/>
      </w:rPr>
      <w:fldChar w:fldCharType="end"/>
    </w:r>
    <w:r>
      <w:rPr>
        <w:rStyle w:val="PageNumber"/>
      </w:rPr>
      <w:t xml:space="preserve"> -</w:t>
    </w:r>
  </w:p>
  <w:p w14:paraId="4DFADCEA" w14:textId="77777777" w:rsidR="003A67C1" w:rsidRDefault="003A67C1">
    <w:pPr>
      <w:pStyle w:val="Header"/>
      <w:rPr>
        <w:rStyle w:val="PageNumber"/>
      </w:rPr>
    </w:pPr>
  </w:p>
  <w:p w14:paraId="2BF9E41C" w14:textId="77777777" w:rsidR="003A67C1" w:rsidRDefault="003A6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83D1C" w14:textId="00A1E439" w:rsidR="006A3F2F" w:rsidRPr="006A3F2F" w:rsidRDefault="006A3F2F" w:rsidP="006A3F2F">
    <w:pPr>
      <w:pStyle w:val="Header"/>
      <w:jc w:val="center"/>
      <w:rPr>
        <w:b/>
      </w:rPr>
    </w:pPr>
    <w:r>
      <w:rPr>
        <w:b/>
      </w:rPr>
      <w:t>Proiect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activeWritingStyle w:appName="MSWord" w:lang="de-DE" w:vendorID="64" w:dllVersion="0" w:nlCheck="1" w:checkStyle="0"/>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Dokument"/>
    <w:docVar w:name="Macro_DIBt" w:val="Dokument"/>
    <w:docVar w:name="Macro_LNX" w:val="Dokument"/>
  </w:docVars>
  <w:rsids>
    <w:rsidRoot w:val="006110CC"/>
    <w:rsid w:val="00023C6C"/>
    <w:rsid w:val="00035157"/>
    <w:rsid w:val="00056889"/>
    <w:rsid w:val="000C2DAA"/>
    <w:rsid w:val="000E05BE"/>
    <w:rsid w:val="000F7109"/>
    <w:rsid w:val="00110088"/>
    <w:rsid w:val="001223EC"/>
    <w:rsid w:val="0017111C"/>
    <w:rsid w:val="002414BD"/>
    <w:rsid w:val="0024228C"/>
    <w:rsid w:val="00273B55"/>
    <w:rsid w:val="00275890"/>
    <w:rsid w:val="002D56D0"/>
    <w:rsid w:val="00326C8B"/>
    <w:rsid w:val="00374CC7"/>
    <w:rsid w:val="003913B8"/>
    <w:rsid w:val="003A67C1"/>
    <w:rsid w:val="00422DC0"/>
    <w:rsid w:val="00443F91"/>
    <w:rsid w:val="004600B6"/>
    <w:rsid w:val="00505F58"/>
    <w:rsid w:val="00515B8A"/>
    <w:rsid w:val="00535436"/>
    <w:rsid w:val="00553B1A"/>
    <w:rsid w:val="00582011"/>
    <w:rsid w:val="005F4E58"/>
    <w:rsid w:val="006063A7"/>
    <w:rsid w:val="006110CC"/>
    <w:rsid w:val="00616FC5"/>
    <w:rsid w:val="00660B48"/>
    <w:rsid w:val="006631C5"/>
    <w:rsid w:val="006933D4"/>
    <w:rsid w:val="006A3F2F"/>
    <w:rsid w:val="006B4BC5"/>
    <w:rsid w:val="00733FCB"/>
    <w:rsid w:val="00741218"/>
    <w:rsid w:val="008113F4"/>
    <w:rsid w:val="0082200B"/>
    <w:rsid w:val="00865251"/>
    <w:rsid w:val="008A1568"/>
    <w:rsid w:val="008B4E71"/>
    <w:rsid w:val="00932ADB"/>
    <w:rsid w:val="00955CCB"/>
    <w:rsid w:val="00965D53"/>
    <w:rsid w:val="00975558"/>
    <w:rsid w:val="00983501"/>
    <w:rsid w:val="009D0409"/>
    <w:rsid w:val="009F36EC"/>
    <w:rsid w:val="009F67A8"/>
    <w:rsid w:val="00A1584F"/>
    <w:rsid w:val="00A24084"/>
    <w:rsid w:val="00A5671A"/>
    <w:rsid w:val="00AB79D1"/>
    <w:rsid w:val="00AC3B3B"/>
    <w:rsid w:val="00AC4161"/>
    <w:rsid w:val="00AE1715"/>
    <w:rsid w:val="00B3627B"/>
    <w:rsid w:val="00B47968"/>
    <w:rsid w:val="00B56A43"/>
    <w:rsid w:val="00B95B0E"/>
    <w:rsid w:val="00BB2343"/>
    <w:rsid w:val="00BC1674"/>
    <w:rsid w:val="00BC49B1"/>
    <w:rsid w:val="00C61DA9"/>
    <w:rsid w:val="00C7155E"/>
    <w:rsid w:val="00CA200D"/>
    <w:rsid w:val="00CE6708"/>
    <w:rsid w:val="00CF1E07"/>
    <w:rsid w:val="00D00DCC"/>
    <w:rsid w:val="00DF79DE"/>
    <w:rsid w:val="00E31342"/>
    <w:rsid w:val="00E46E28"/>
    <w:rsid w:val="00E60194"/>
    <w:rsid w:val="00ED1518"/>
    <w:rsid w:val="00F26827"/>
    <w:rsid w:val="00F73447"/>
    <w:rsid w:val="00FD7C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4D25F"/>
  <w15:chartTrackingRefBased/>
  <w15:docId w15:val="{6DE83AE1-CF80-415B-8B70-10D42C63F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DAA"/>
    <w:rPr>
      <w:rFonts w:ascii="Arial" w:hAnsi="Arial"/>
      <w:sz w:val="22"/>
    </w:rPr>
  </w:style>
  <w:style w:type="paragraph" w:styleId="Heading1">
    <w:name w:val="heading 1"/>
    <w:basedOn w:val="Normal"/>
    <w:next w:val="Heading2"/>
    <w:qFormat/>
    <w:pPr>
      <w:keepNext/>
      <w:spacing w:before="240"/>
      <w:ind w:hanging="993"/>
      <w:outlineLvl w:val="0"/>
    </w:pPr>
    <w:rPr>
      <w:kern w:val="28"/>
      <w:sz w:val="28"/>
    </w:rPr>
  </w:style>
  <w:style w:type="paragraph" w:styleId="Heading2">
    <w:name w:val="heading 2"/>
    <w:basedOn w:val="Heading1"/>
    <w:next w:val="Normal"/>
    <w:qFormat/>
    <w:pPr>
      <w:outlineLvl w:val="1"/>
    </w:pPr>
  </w:style>
  <w:style w:type="paragraph" w:styleId="Heading3">
    <w:name w:val="heading 3"/>
    <w:basedOn w:val="Heading2"/>
    <w:next w:val="Normal"/>
    <w:qFormat/>
    <w:pPr>
      <w:keepNext w:val="0"/>
      <w:spacing w:before="120" w:after="60"/>
      <w:ind w:hanging="992"/>
      <w:outlineLvl w:val="2"/>
    </w:pPr>
    <w:rPr>
      <w:sz w:val="24"/>
    </w:rPr>
  </w:style>
  <w:style w:type="paragraph" w:styleId="Heading4">
    <w:name w:val="heading 4"/>
    <w:basedOn w:val="Heading3"/>
    <w:next w:val="Normal"/>
    <w:qFormat/>
    <w:pPr>
      <w:outlineLvl w:val="3"/>
    </w:p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ind w:left="4248" w:hanging="708"/>
      <w:outlineLvl w:val="5"/>
    </w:pPr>
    <w:rPr>
      <w:i/>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semiHidden/>
    <w:pPr>
      <w:spacing w:before="480" w:after="240"/>
      <w:ind w:right="454"/>
    </w:pPr>
  </w:style>
  <w:style w:type="paragraph" w:customStyle="1" w:styleId="Anschrift">
    <w:name w:val="Anschrift"/>
    <w:basedOn w:val="Normal"/>
    <w:pPr>
      <w:tabs>
        <w:tab w:val="left" w:pos="3260"/>
        <w:tab w:val="left" w:pos="6379"/>
        <w:tab w:val="left" w:pos="7655"/>
      </w:tabs>
    </w:pPr>
    <w:rPr>
      <w:sz w:val="21"/>
    </w:rPr>
  </w:style>
  <w:style w:type="paragraph" w:customStyle="1" w:styleId="Betreff">
    <w:name w:val="Betreff"/>
    <w:basedOn w:val="Normal"/>
    <w:next w:val="Normal"/>
    <w:pPr>
      <w:spacing w:before="240"/>
      <w:ind w:left="851" w:hanging="851"/>
    </w:pPr>
  </w:style>
  <w:style w:type="paragraph" w:customStyle="1" w:styleId="Brief-Absender">
    <w:name w:val="Brief-Absender"/>
    <w:basedOn w:val="Normal"/>
    <w:pPr>
      <w:tabs>
        <w:tab w:val="right" w:pos="9498"/>
      </w:tabs>
      <w:spacing w:before="1500"/>
    </w:pPr>
    <w:rPr>
      <w:sz w:val="12"/>
    </w:rPr>
  </w:style>
  <w:style w:type="paragraph" w:customStyle="1" w:styleId="Brief-Anstaltdes">
    <w:name w:val="Brief-Anstalt des ..."/>
    <w:basedOn w:val="Normal"/>
    <w:pPr>
      <w:tabs>
        <w:tab w:val="right" w:pos="9498"/>
      </w:tabs>
    </w:pPr>
    <w:rPr>
      <w:b/>
      <w:sz w:val="23"/>
    </w:rPr>
  </w:style>
  <w:style w:type="paragraph" w:customStyle="1" w:styleId="Brief-BERLIN">
    <w:name w:val="Brief-BERLIN"/>
    <w:basedOn w:val="Normal"/>
    <w:pPr>
      <w:tabs>
        <w:tab w:val="right" w:pos="9498"/>
      </w:tabs>
      <w:ind w:left="10" w:firstLine="992"/>
    </w:pPr>
    <w:rPr>
      <w:b/>
      <w:sz w:val="54"/>
    </w:rPr>
  </w:style>
  <w:style w:type="paragraph" w:customStyle="1" w:styleId="Brief-DIBt">
    <w:name w:val="Brief-DIBt"/>
    <w:basedOn w:val="Normal"/>
    <w:pPr>
      <w:tabs>
        <w:tab w:val="right" w:pos="9498"/>
      </w:tabs>
      <w:ind w:right="-247"/>
    </w:pPr>
    <w:rPr>
      <w:b/>
      <w:spacing w:val="6"/>
      <w:sz w:val="36"/>
    </w:rPr>
  </w:style>
  <w:style w:type="paragraph" w:customStyle="1" w:styleId="Brief-Fuzeile">
    <w:name w:val="Brief-Fußzeile"/>
    <w:basedOn w:val="Normal"/>
    <w:pPr>
      <w:tabs>
        <w:tab w:val="left" w:pos="2693"/>
        <w:tab w:val="left" w:pos="4536"/>
        <w:tab w:val="left" w:pos="6095"/>
        <w:tab w:val="left" w:pos="7655"/>
        <w:tab w:val="left" w:pos="8363"/>
      </w:tabs>
    </w:pPr>
    <w:rPr>
      <w:sz w:val="12"/>
    </w:rPr>
  </w:style>
  <w:style w:type="paragraph" w:styleId="Header">
    <w:name w:val="header"/>
    <w:basedOn w:val="Normal"/>
    <w:semiHidden/>
    <w:pPr>
      <w:tabs>
        <w:tab w:val="center" w:pos="4536"/>
        <w:tab w:val="right" w:pos="9072"/>
      </w:tabs>
    </w:pPr>
  </w:style>
  <w:style w:type="paragraph" w:customStyle="1" w:styleId="Brief-Text">
    <w:name w:val="Brief-Text"/>
    <w:basedOn w:val="Normal"/>
    <w:pPr>
      <w:jc w:val="both"/>
    </w:pPr>
    <w:rPr>
      <w:sz w:val="24"/>
    </w:rPr>
  </w:style>
  <w:style w:type="paragraph" w:customStyle="1" w:styleId="Brief-Wegengleitender">
    <w:name w:val="Brief-Wegen gleitender ..."/>
    <w:basedOn w:val="Normal"/>
    <w:pPr>
      <w:tabs>
        <w:tab w:val="left" w:pos="572"/>
        <w:tab w:val="left" w:pos="3260"/>
        <w:tab w:val="left" w:pos="6379"/>
        <w:tab w:val="left" w:pos="7655"/>
      </w:tabs>
    </w:pPr>
    <w:rPr>
      <w:sz w:val="14"/>
    </w:rPr>
  </w:style>
  <w:style w:type="paragraph" w:customStyle="1" w:styleId="DIBt-Kopf">
    <w:name w:val="DIBt-Kopf"/>
    <w:basedOn w:val="Normal"/>
    <w:pPr>
      <w:spacing w:before="120" w:after="100"/>
      <w:ind w:right="1"/>
      <w:jc w:val="center"/>
    </w:pPr>
    <w:rPr>
      <w:spacing w:val="-30"/>
      <w:sz w:val="40"/>
    </w:rPr>
  </w:style>
  <w:style w:type="paragraph" w:styleId="Footer">
    <w:name w:val="footer"/>
    <w:basedOn w:val="Normal"/>
    <w:semiHidden/>
    <w:pPr>
      <w:tabs>
        <w:tab w:val="center" w:pos="4536"/>
        <w:tab w:val="right" w:pos="9072"/>
      </w:tabs>
    </w:pPr>
    <w:rPr>
      <w:sz w:val="24"/>
    </w:rPr>
  </w:style>
  <w:style w:type="paragraph" w:customStyle="1" w:styleId="Geschftszeichenzeile">
    <w:name w:val="Geschäftszeichenzeile"/>
    <w:basedOn w:val="Normal"/>
    <w:pPr>
      <w:tabs>
        <w:tab w:val="left" w:pos="3260"/>
        <w:tab w:val="left" w:pos="5812"/>
        <w:tab w:val="left" w:pos="7655"/>
      </w:tabs>
      <w:spacing w:after="240"/>
    </w:pPr>
    <w:rPr>
      <w:sz w:val="12"/>
    </w:rPr>
  </w:style>
  <w:style w:type="character" w:styleId="PageNumber">
    <w:name w:val="page number"/>
    <w:basedOn w:val="DefaultParagraphFont"/>
    <w:semiHidden/>
  </w:style>
  <w:style w:type="paragraph" w:customStyle="1" w:styleId="Ebene5">
    <w:name w:val="Ebene 5"/>
    <w:basedOn w:val="Heading5"/>
    <w:pPr>
      <w:ind w:left="1418" w:hanging="425"/>
      <w:jc w:val="both"/>
      <w:outlineLvl w:val="9"/>
    </w:pPr>
    <w:rPr>
      <w:sz w:val="24"/>
    </w:rPr>
  </w:style>
  <w:style w:type="paragraph" w:styleId="FootnoteText">
    <w:name w:val="footnote text"/>
    <w:basedOn w:val="Normal"/>
    <w:semiHidden/>
    <w:pPr>
      <w:ind w:left="851" w:hanging="851"/>
      <w:jc w:val="both"/>
    </w:pPr>
    <w:rPr>
      <w:sz w:val="18"/>
    </w:rPr>
  </w:style>
  <w:style w:type="character" w:styleId="FootnoteReference">
    <w:name w:val="footnote reference"/>
    <w:semiHidden/>
    <w:rPr>
      <w:rFonts w:ascii="Arial" w:hAnsi="Arial"/>
      <w:noProof w:val="0"/>
      <w:color w:val="auto"/>
      <w:position w:val="6"/>
      <w:sz w:val="18"/>
      <w:u w:val="none"/>
      <w:vertAlign w:val="baseline"/>
      <w:lang w:val="ro-RO"/>
    </w:rPr>
  </w:style>
  <w:style w:type="paragraph" w:customStyle="1" w:styleId="berschrift">
    <w:name w:val="Überschrift"/>
    <w:basedOn w:val="Heading1"/>
    <w:next w:val="Normal"/>
    <w:pPr>
      <w:spacing w:before="120" w:after="480"/>
      <w:ind w:firstLine="0"/>
      <w:jc w:val="center"/>
      <w:outlineLvl w:val="9"/>
    </w:pPr>
    <w:rPr>
      <w:caps/>
      <w:kern w:val="0"/>
      <w:sz w:val="32"/>
    </w:rPr>
  </w:style>
  <w:style w:type="paragraph" w:customStyle="1" w:styleId="Ebene6">
    <w:name w:val="Ebene 6"/>
    <w:basedOn w:val="Ebene5"/>
    <w:pPr>
      <w:spacing w:line="288" w:lineRule="exact"/>
      <w:ind w:left="1701"/>
    </w:pPr>
  </w:style>
  <w:style w:type="paragraph" w:customStyle="1" w:styleId="Fuzeile-Titel">
    <w:name w:val="Fußzeile-Titel"/>
    <w:basedOn w:val="Normal"/>
    <w:rPr>
      <w:sz w:val="12"/>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Arial" w:hAnsi="Arial"/>
      <w:sz w:val="22"/>
    </w:rPr>
  </w:style>
  <w:style w:type="paragraph" w:styleId="EndnoteText">
    <w:name w:val="endnote text"/>
    <w:basedOn w:val="Normal"/>
    <w:semiHidden/>
    <w:pPr>
      <w:jc w:val="both"/>
    </w:pPr>
    <w:rPr>
      <w:sz w:val="18"/>
    </w:rPr>
  </w:style>
  <w:style w:type="character" w:styleId="EndnoteReference">
    <w:name w:val="endnote reference"/>
    <w:semiHidden/>
    <w:rPr>
      <w:rFonts w:ascii="Arial" w:hAnsi="Arial"/>
      <w:noProof/>
      <w:color w:val="auto"/>
      <w:position w:val="6"/>
      <w:sz w:val="18"/>
      <w:u w:val="none"/>
      <w:vertAlign w:val="baseline"/>
    </w:rPr>
  </w:style>
  <w:style w:type="paragraph" w:customStyle="1" w:styleId="Funotentext1">
    <w:name w:val="Fußnotentext1"/>
    <w:basedOn w:val="Normal"/>
    <w:pPr>
      <w:ind w:left="851" w:hanging="851"/>
      <w:jc w:val="both"/>
    </w:pPr>
    <w:rPr>
      <w:sz w:val="18"/>
    </w:rPr>
  </w:style>
  <w:style w:type="paragraph" w:customStyle="1" w:styleId="Funotentext2">
    <w:name w:val="Fußnotentext2"/>
    <w:basedOn w:val="Normal"/>
    <w:pPr>
      <w:tabs>
        <w:tab w:val="left" w:pos="567"/>
        <w:tab w:val="left" w:pos="851"/>
        <w:tab w:val="left" w:pos="1134"/>
        <w:tab w:val="left" w:pos="1701"/>
        <w:tab w:val="left" w:pos="2835"/>
      </w:tabs>
      <w:ind w:left="851"/>
      <w:jc w:val="both"/>
    </w:pPr>
    <w:rPr>
      <w:sz w:val="18"/>
    </w:rPr>
  </w:style>
  <w:style w:type="paragraph" w:styleId="BalloonText">
    <w:name w:val="Balloon Text"/>
    <w:basedOn w:val="Normal"/>
    <w:link w:val="BalloonTextChar"/>
    <w:uiPriority w:val="99"/>
    <w:semiHidden/>
    <w:unhideWhenUsed/>
    <w:rsid w:val="006110CC"/>
    <w:rPr>
      <w:rFonts w:ascii="Segoe UI" w:hAnsi="Segoe UI" w:cs="Segoe UI"/>
      <w:sz w:val="18"/>
      <w:szCs w:val="18"/>
    </w:rPr>
  </w:style>
  <w:style w:type="character" w:customStyle="1" w:styleId="BalloonTextChar">
    <w:name w:val="Balloon Text Char"/>
    <w:link w:val="BalloonText"/>
    <w:uiPriority w:val="99"/>
    <w:semiHidden/>
    <w:rsid w:val="006110CC"/>
    <w:rPr>
      <w:rFonts w:ascii="Segoe UI" w:hAnsi="Segoe UI" w:cs="Segoe UI"/>
      <w:sz w:val="18"/>
      <w:szCs w:val="18"/>
    </w:rPr>
  </w:style>
  <w:style w:type="character" w:styleId="CommentReference">
    <w:name w:val="annotation reference"/>
    <w:basedOn w:val="DefaultParagraphFont"/>
    <w:uiPriority w:val="99"/>
    <w:semiHidden/>
    <w:unhideWhenUsed/>
    <w:rsid w:val="00F73447"/>
    <w:rPr>
      <w:sz w:val="16"/>
      <w:szCs w:val="16"/>
    </w:rPr>
  </w:style>
  <w:style w:type="paragraph" w:styleId="CommentText">
    <w:name w:val="annotation text"/>
    <w:basedOn w:val="Normal"/>
    <w:link w:val="CommentTextChar"/>
    <w:uiPriority w:val="99"/>
    <w:unhideWhenUsed/>
    <w:rsid w:val="00F73447"/>
    <w:rPr>
      <w:sz w:val="20"/>
    </w:rPr>
  </w:style>
  <w:style w:type="character" w:customStyle="1" w:styleId="CommentTextChar">
    <w:name w:val="Comment Text Char"/>
    <w:basedOn w:val="DefaultParagraphFont"/>
    <w:link w:val="CommentText"/>
    <w:uiPriority w:val="99"/>
    <w:rsid w:val="00F73447"/>
    <w:rPr>
      <w:rFonts w:ascii="Arial" w:hAnsi="Arial"/>
    </w:rPr>
  </w:style>
  <w:style w:type="paragraph" w:styleId="CommentSubject">
    <w:name w:val="annotation subject"/>
    <w:basedOn w:val="CommentText"/>
    <w:next w:val="CommentText"/>
    <w:link w:val="CommentSubjectChar"/>
    <w:uiPriority w:val="99"/>
    <w:semiHidden/>
    <w:unhideWhenUsed/>
    <w:rsid w:val="00F73447"/>
    <w:rPr>
      <w:b/>
      <w:bCs/>
    </w:rPr>
  </w:style>
  <w:style w:type="character" w:customStyle="1" w:styleId="CommentSubjectChar">
    <w:name w:val="Comment Subject Char"/>
    <w:basedOn w:val="CommentTextChar"/>
    <w:link w:val="CommentSubject"/>
    <w:uiPriority w:val="99"/>
    <w:semiHidden/>
    <w:rsid w:val="00F7344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B4C11-8870-41CF-88B4-21AFC5BD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1127</Words>
  <Characters>6243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32984.01</vt:lpstr>
    </vt:vector>
  </TitlesOfParts>
  <Company>DIBt</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32984.01</dc:title>
  <dc:subject/>
  <dc:creator>Frau Elke Schwarzwald</dc:creator>
  <cp:keywords/>
  <dc:description>Datei gedruckt von esw_x000d_Datei erstellt am: 12.03.2001	16:40:00_x000d_Datei-Besitzer: Frau Elke Schwarzwald (Referat P3)</dc:description>
  <cp:lastModifiedBy>Liana Brili</cp:lastModifiedBy>
  <cp:revision>7</cp:revision>
  <cp:lastPrinted>2023-02-27T10:46:00Z</cp:lastPrinted>
  <dcterms:created xsi:type="dcterms:W3CDTF">2023-03-23T12:27:00Z</dcterms:created>
  <dcterms:modified xsi:type="dcterms:W3CDTF">2023-03-30T15:18:00Z</dcterms:modified>
</cp:coreProperties>
</file>