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KRALJEVI ODLOK .../... z dne […] o odobritvi standarda protipotresne gradnje NCSR-</w:t>
      </w:r>
      <w:r>
        <w:rPr>
          <w:rFonts w:asciiTheme="minorHAnsi" w:hAnsiTheme="minorHAnsi"/>
          <w:b/>
          <w:sz w:val="28"/>
        </w:rPr>
        <w:t>23</w:t>
      </w:r>
    </w:p>
    <w:p w14:paraId="227AE49F" w14:textId="77777777" w:rsidR="003667D0" w:rsidRPr="003F6236"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pt-PT"/>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Stalni odbor za standarde potresne odpornosti, medresorski kolegijski organ, ustanovljen z Uredbo 3209/1974 z dne 30. avgusta, ki deluje kot del ministrstva za promet, mobilnost in urbano agendo ter v okviru generalnega direktorata Nacionalnega geografskega inštituta, kot je določeno v Kraljevem odloku št. 645/2020 z dne 7. julija o razvoju osnovne organizacijske strukture ministrstva za promet, mobilnost in urbano agendo, je med drugim zadolžen za posodobitev predpisov o potresni odpornosti, kot je določeno v členu 2(B) Kraljevega odloka št. 518/1984 z dne 22. februarja, ki spreminja njegovo sestavo.</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Do zdaj so bili veljavni predpisi vključeni v „Standard protipotresne gradnje: Splošni oddelek in gradnja (NCSE-02)“, odobren s Kraljevim odlokom št. 997/2002 z dne 27. septembra, in v „Standard protipotresne gradnje: Mostovi (NCSP-07)“, odobren s Kraljevim odlokom št. 637/2007 z dne 18. maja. Čas, ki je pretekel od njune odobritve, zahteva, da se zaradi tehničnih in regulativnih razlogov pregledata in posodobita, da se predpisi prilagodijo trenutnemu stanju znanja o seizmologiji in protipotresni gradnji ter regulativnemu okviru, v katerem mora delovati.</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Stalni odbor za standarde potresne odpornosti je pri izvajanju svojih nalog pripravil nov standard protipotresne gradnje, ki nadomešča navedene standarde in vključuje najpomembnejše vidike evropskih predpisov za izračun konstrukcij v skladu s postopki, določenimi v evrokodih za konstrukcije, in razširja njihovo vsebino z bolj strukturnimi tipologijami. Novi standard določa tehnične pogoje, ki jih morajo izpolnjevati gradbeni objekti in gradbena dela, tako da njihovo vedenje pri soočanju s seizmičnimi pojavi preprečuje resne posledice za zdravje in varnost ljudi, preprečuje gospodarske izgube in spodbuja vzdrževanje osnovnih storitev za družbo v primeru potresov z visoko intenzivnostjo.</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Ta kraljevi odlok je v skladu z načeli nujnosti, smotrnosti, sorazmernosti, pravne varnosti, preglednosti in učinkovitosti iz člena 129 Zakona št. 39/2015 z dne 1. oktobra o splošnem upravnem postopku javnih uprav.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Skladen je z načeloma nujnosti in smotrnosti, saj uporaba novega standarda potresne odpornosti glede na prejšnje predpise predstavlja napredek v znanju in določanju potresne aktivnosti ter tudi pojasnilo pri uporabi konceptov in zahtev potresne odpornosti in duktilnosti, ki jih je treba zahtevati za konstrukcije na potresnih območjih. Projekt ne izkrivlja konkurence na trgu, temveč spodbuja konkurenco z urejanjem vidikov, ki niso zajeti v veljavnih predpisih. Prav tako je skladen z načelom sorazmernosti, saj standard vsebuje pravila, potrebna za izpolnitev zgoraj opisane potrebe, ne da bi obstajali drugi ukrepi, ki bi manj omejevali pravice ali nalagali manj obveznosti naslovnikom, in z načelom pravne varnosti zaradi vključitve v pravni red, ob popolnem spoštovanju veljavnih nacionalnih in evropskih predpisov. Načelo preglednosti je zagotovljeno, saj so bili upoštevani vsi postopki obveščanja, navedeni v Zakonu vlade št. 50/1997 z dne 27. novembra, kar je bilo objavljeno na portalu španske vlade za transparentnost. Nazadnje, pri uporabi načela smotrnosti ta standard ne pomeni povečanja dodatnih upravnih bremen ali povečanja javnih odhodkov.</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Ta kraljevi odlok je izdan v skladu z določbami </w:t>
      </w:r>
      <w:r>
        <w:rPr>
          <w:rFonts w:asciiTheme="minorHAnsi" w:hAnsiTheme="minorHAnsi"/>
        </w:rPr>
        <w:t xml:space="preserve">v členu 149.1.13a španske ustave, </w:t>
      </w:r>
      <w:r>
        <w:rPr>
          <w:rFonts w:asciiTheme="minorHAnsi" w:hAnsiTheme="minorHAnsi"/>
          <w:color w:val="000000" w:themeColor="text1"/>
        </w:rPr>
        <w:t>ki državi pripisuje pristojnost v zadevah osnov in usklajevanja splošnega načrtovanja gospodarske dejavnosti.</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 xml:space="preserve">Pri pripravi tega kraljevega odloka so bili izpolnjeni postopki, določeni v Zakonu vlade 50/1997 z dne 27. novembra in v Direktivi (EU) 2015/1535 Evropskega parlamenta in Sveta z dne 9. septembra o določitvi postopka za zbiranje informacij na področju tehničnih predpisov in predpisov o storitvah informacijske družbe ter v Kraljevem odloku št. 1337/1999 z dne 31. julija o zagotavljanju informacij na področju tehničnih predpisov in predpisov o storitvah informacijske družbe.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Ta kraljevi odlok se sprejme na pobudo Stalnega odbora za standarde potresne odpornosti.</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Na predlog ministra za promet, mobilnost in urbano agendo ter po razpravi v Svetu ministrov z dne ...</w:t>
      </w:r>
    </w:p>
    <w:p w14:paraId="01FC4263" w14:textId="77777777" w:rsidR="004459F4" w:rsidRPr="003F6236" w:rsidRDefault="004459F4" w:rsidP="004459F4">
      <w:pPr>
        <w:suppressAutoHyphens/>
        <w:ind w:firstLine="425"/>
        <w:jc w:val="both"/>
        <w:rPr>
          <w:rFonts w:asciiTheme="minorHAnsi" w:eastAsia="Times New Roman" w:hAnsiTheme="minorHAnsi" w:cstheme="minorHAnsi"/>
          <w:color w:val="000000"/>
          <w:lang w:val="pt-PT"/>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ODREJAM</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Člen 1. Namen</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Odobren je standard protipotresne gradnje NCSR-23, ki določa bistvene koncepte in zahteve, ki jih morajo izpolnjevati konstrukcije na potresnih območjih v Španiji, poleg skladnosti s preostalimi posebnimi veljavnimi predpisi v zvezi s konstrukcijami.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Konstrukcije in gradnje, ki so lahko izpostavljene potresom, morajo biti projektirane, izvedene in dokumentirane ob upoštevanju potresnega delovanja v skladu z določbami šestih prilog, ki sestavljajo ta standard potresne odpornosti, in sicer:</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Priloga 1: Splošna pravila, seizmične dejavnosti in gradbena pravila</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Priloga 2: Mostovi</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Priloga 3: Potresna ocena in adaptacija objektov</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Priloga 4: Silosi, rezervoarji in cevi</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Priloga 5: Temelji, zadrževalne strukture in geotehnični vidiki</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Priloga 6: Stolpi, stebri in dimniki</w:t>
      </w:r>
    </w:p>
    <w:p w14:paraId="75E4EE37" w14:textId="77777777" w:rsidR="00870C22" w:rsidRPr="003F6236"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Alternativno lahko avtor projekta in morebitno vodstvo ob uporabi svojih pooblastil, na podlagi svoje odgovornosti in predhodnega soglasja za nepremičnino, sprejmeta druge rešitve, ki delno ali v celoti odstopajo od postopkov iz prejšnjih prilog (prek različnih sistemov izračuna, gradbenih predpisov itd.), pod pogojem, da je dokumentirano, da je konstrukcija skladna z zahtevami tega standarda potresne odpornosti in dosega vsaj storitve, enakovredne tistim, ki bi bile pridobljene z uporabo postopkov iz tega standarda.</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Člen 2. Področje uporabe</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Zahteve glede vsebine tega standarda v zvezi s potresno odpornostjo veljajo za vsa projektna in gradbena dela za nove stavbe, mostove, stolpe, stebre, dimnike, silose, rezervoarje, cevi, zadrževalne strukture in njihove temelje ter za geotehnično projektiranje.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Prav tako se ta standard uporablja za seizmično oceno obstoječih stavb in po potrebi tudi za njihovo seizmično adaptacijo, kadar se izvajajo obnovitvena ali konstrukcijska obnovitvena dela zadostnega obsega ali kadar je takšna ocena ali adaptacija potrebna. Za namene tega standarda potresne </w:t>
      </w:r>
      <w:r>
        <w:rPr>
          <w:rFonts w:asciiTheme="minorHAnsi" w:hAnsiTheme="minorHAnsi"/>
          <w:color w:val="000000"/>
        </w:rPr>
        <w:lastRenderedPageBreak/>
        <w:t>odpornosti seizmična adaptacija zajema tako okrepitev nepoškodovanih konstrukcij kot tudi okrepitev konstrukcij, ki so bile poškodovane zaradi potresa.</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Pogoji, ki lahko zahtevajo seizmično oceno posameznih stavb, kar lahko privede do seizmične adaptacije, ne sodijo v predmet in področje uporabe tega standarda.</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Po potrebi se lahko ta standard potresne odpornosti uporablja tudi poleg drugih strukturnih tipov, ki niso izrecno vključeni v njegovo področje uporabe, če ne obstajajo za ista posebna pravila ali določbe in če niso izrecno izključeni iz njegovega področja uporabe.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Edina prehodna določba. Uporaba za načrtovanje in dela.</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Določbe tega kraljevega odloka se v gradbeništvu ne uporabljajo za projekte, za katere je bila priprava ali študija na področju javne uprave ali v drugih primerih naročena pred začetkom veljavnosti tega kraljevega odloka, in za dela, ki so bila izvedena pri njihovem razvoju, pod pogojem, da se začnejo v obdobju, ki ni daljše od dveh let od začetka veljavnosti, razen če se pristojna javna uprava ali po potrebi nosilec projekta strinja, da je to obvezno.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Določbe tega kraljevega odloka se ne uporabljajo na področju gradnje v projektih, za katere je bilo zahtevano občinsko dovoljenje za dela ali so zanj zaprosili v devetih mesecih po začetku veljavnosti tega kraljevega odloka, v tem primeru se uporablja Kraljevi odlok št. 997/2002 z dne 27. septembra, ki potrjuje standard protipotresne gradnje, ki se uporablja: Splošni oddelek in gradnja (NCSE-02). Taka dela se morajo začeti v najdaljšem obdobju veljavnosti navedenega dovoljenja v skladu z njegovimi predpisi, če tega ni, pa v obdobju, ki ni daljše od šestih mesecev od datuma izdaje navedenega dovoljenja. Projekti morajo biti sicer prilagojeni določbam tega kraljevega odloka.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Edina razveljavitvena določba. Razveljavitev predpisov</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Z začetkom veljavnosti tega kraljevega odloka se razveljavi Kraljevi odlok št. 997/2002 z dne 27. septembra o odobritvi standarda protipotresne gradnje: Splošni oddelek in gradnja (NCSE-02) in Kraljevi odlok št. 637/2007 z dne 18. maja o odobritvi standarda protipotresne gradnje: Mostovi (NCSP-07).</w:t>
      </w:r>
    </w:p>
    <w:p w14:paraId="590D095E" w14:textId="77777777" w:rsidR="00870C22" w:rsidRPr="003F6236"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Prva končna določba. Dodelitev pristojnosti</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Ta kraljevi odlok ima osnovno naravo in je izdan v skladu z določbami člena 149.1.13a španske ustave, ki državi podeljuje izključno pristojnost glede osnove in usklajevanje splošnega načrtovanja gospodarske dejavnosti.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Druga končna določba. </w:t>
      </w:r>
      <w:r>
        <w:rPr>
          <w:rFonts w:asciiTheme="minorHAnsi" w:hAnsiTheme="minorHAnsi"/>
          <w:b/>
          <w:color w:val="333333"/>
        </w:rPr>
        <w:t>Organ za izvajanje</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Vodja ministrstva za promet, mobilnost in urbano agendo je pooblaščen za izdajo potrebnih določb za razvoj in uporabo določb tega kraljevega odloka.</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Tretja končna določba. Dovoljenje za posodobitev dodatkov E, F in G k Prilogi 1 k standardu protipotresne gradnje.</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Vodja ministrstva za promet, mobilnost in urbano agendo je pooblaščen, da posodobi zemljevid nevarnosti, opredeljen v dodatkih E in F k Prilogi 1, ter seznam standardov iz Dodatka G k Prilogi 1, če je namen takih posodobitev uskladiti te vsebine z napredkom tehnike ali zakonodajo Skupnosti.</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Četrta končna določba. Začetek veljavnosti</w:t>
      </w:r>
    </w:p>
    <w:p w14:paraId="78134748" w14:textId="042BB1B1"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Ta kraljevi odlok začne veljati </w:t>
      </w:r>
      <w:r>
        <w:rPr>
          <w:rFonts w:asciiTheme="minorHAnsi" w:hAnsiTheme="minorHAnsi"/>
          <w:color w:val="000000"/>
          <w:highlight w:val="yellow"/>
        </w:rPr>
        <w:t>1. julija 2023.</w:t>
      </w:r>
    </w:p>
    <w:p w14:paraId="16A294E9" w14:textId="77777777" w:rsidR="00056AAB" w:rsidRPr="003F6236" w:rsidRDefault="00056AAB" w:rsidP="00870C22">
      <w:pPr>
        <w:spacing w:after="120"/>
        <w:jc w:val="both"/>
        <w:textAlignment w:val="baseline"/>
        <w:rPr>
          <w:rFonts w:asciiTheme="minorHAnsi" w:eastAsia="Times New Roman" w:hAnsiTheme="minorHAnsi"/>
          <w:color w:val="000000"/>
          <w:spacing w:val="2"/>
        </w:rPr>
      </w:pPr>
    </w:p>
    <w:sectPr w:rsidR="00056AAB" w:rsidRPr="003F6236"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3F6236"/>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1368</Words>
  <Characters>7803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10</cp:revision>
  <cp:lastPrinted>2021-08-26T09:18:00Z</cp:lastPrinted>
  <dcterms:created xsi:type="dcterms:W3CDTF">2022-09-20T11:25:00Z</dcterms:created>
  <dcterms:modified xsi:type="dcterms:W3CDTF">2023-03-31T14:13:00Z</dcterms:modified>
</cp:coreProperties>
</file>