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7DE0A" w14:textId="77777777" w:rsidR="006D6021" w:rsidRPr="008E5B84" w:rsidRDefault="00311339">
      <w:pPr>
        <w:pStyle w:val="Ttulo4"/>
        <w:widowControl w:val="0"/>
        <w:spacing w:after="120" w:line="360" w:lineRule="auto"/>
        <w:ind w:firstLine="0"/>
        <w:jc w:val="both"/>
        <w:outlineLvl w:val="9"/>
        <w:rPr>
          <w:sz w:val="24"/>
          <w:szCs w:val="24"/>
          <w:rFonts w:ascii="Garamond" w:hAnsi="Garamond"/>
        </w:rPr>
      </w:pPr>
      <w:r>
        <w:rPr>
          <w:sz w:val="24"/>
          <w:rFonts w:ascii="Garamond" w:hAnsi="Garamond"/>
        </w:rPr>
        <w:t xml:space="preserve">DL n.º XX/2020</w:t>
      </w:r>
      <w:r>
        <w:rPr>
          <w:sz w:val="24"/>
          <w:rFonts w:ascii="Garamond" w:hAnsi="Garamond"/>
        </w:rPr>
        <w:t xml:space="preserve"> </w:t>
      </w:r>
    </w:p>
    <w:p w14:paraId="5D0DF49B" w14:textId="77777777" w:rsidR="006D6021" w:rsidRPr="008E5B84" w:rsidRDefault="00311339">
      <w:pPr>
        <w:pStyle w:val="Ttulo4"/>
        <w:widowControl w:val="0"/>
        <w:spacing w:after="120" w:line="360" w:lineRule="auto"/>
        <w:ind w:firstLine="0"/>
        <w:jc w:val="both"/>
        <w:outlineLvl w:val="9"/>
        <w:rPr>
          <w:sz w:val="24"/>
          <w:szCs w:val="24"/>
          <w:rFonts w:ascii="Garamond" w:hAnsi="Garamond"/>
        </w:rPr>
      </w:pPr>
      <w:bookmarkStart w:id="0" w:name="_Hlk61623095"/>
      <w:r>
        <w:t xml:space="preserve">El Decreto-ley n.º 102-D/2020, de 10 de diciembre,</w:t>
      </w:r>
      <w:bookmarkEnd w:id="0"/>
      <w:r>
        <w:t xml:space="preserve"> actualizó el </w:t>
      </w:r>
      <w:hyperlink r:id="rId8" w:tooltip="Decreto-ley n.º 152-D/2017" w:history="1">
        <w:r>
          <w:rPr>
            <w:sz w:val="24"/>
            <w:rFonts w:ascii="Garamond" w:hAnsi="Garamond"/>
          </w:rPr>
          <w:t xml:space="preserve">Decreto-ley n.º 152-D/2017</w:t>
        </w:r>
      </w:hyperlink>
      <w:r>
        <w:t xml:space="preserve">, de 11 de diciembre, por el que se transpone al Derecho interno la </w:t>
      </w:r>
      <w:hyperlink r:id="rId9" w:tooltip="Enlace con la Directiva de la Unión Europea" w:history="1">
        <w:r>
          <w:rPr>
            <w:sz w:val="24"/>
            <w:rFonts w:ascii="Garamond" w:hAnsi="Garamond"/>
          </w:rPr>
          <w:t xml:space="preserve">Directiva 94/62/CE</w:t>
        </w:r>
      </w:hyperlink>
      <w:r>
        <w:t xml:space="preserve"> del Parlamento Europeo y del Consejo, de 20 de diciembre de 1994, relativa a los envases y residuos de envases, modificada por la Directiva (UE) </w:t>
      </w:r>
      <w:hyperlink r:id="rId10" w:tooltip="Enlace con la Directiva de la Unión Europea" w:history="1">
        <w:r>
          <w:rPr>
            <w:sz w:val="24"/>
            <w:rFonts w:ascii="Garamond" w:hAnsi="Garamond"/>
          </w:rPr>
          <w:t xml:space="preserve">2018/852</w:t>
        </w:r>
      </w:hyperlink>
      <w:r>
        <w:t xml:space="preserve"> del Parlamento Europeo y del Consejo, de 30 de mayo de 2018, y las Directivas </w:t>
      </w:r>
      <w:hyperlink r:id="rId11" w:tooltip="Enlace con la Directiva de la Unión Europea" w:history="1">
        <w:r>
          <w:rPr>
            <w:sz w:val="24"/>
            <w:rFonts w:ascii="Garamond" w:hAnsi="Garamond"/>
          </w:rPr>
          <w:t xml:space="preserve">2000/53/CE</w:t>
        </w:r>
      </w:hyperlink>
      <w:r>
        <w:t xml:space="preserve"> sobre los vehículos al final de su vida útil, </w:t>
      </w:r>
      <w:hyperlink r:id="rId12" w:tooltip="Enlace con la Directiva de la Unión Europea" w:history="1">
        <w:r>
          <w:rPr>
            <w:sz w:val="24"/>
            <w:rFonts w:ascii="Garamond" w:hAnsi="Garamond"/>
          </w:rPr>
          <w:t xml:space="preserve">2006/66/CE</w:t>
        </w:r>
      </w:hyperlink>
      <w:r>
        <w:t xml:space="preserve"> sobre las baterías y sus residuos, y </w:t>
      </w:r>
      <w:hyperlink r:id="rId13" w:tooltip="Enlace con la Directiva de la Unión Europea" w:history="1">
        <w:r>
          <w:rPr>
            <w:sz w:val="24"/>
            <w:rFonts w:ascii="Garamond" w:hAnsi="Garamond"/>
          </w:rPr>
          <w:t xml:space="preserve">2012/19/UE</w:t>
        </w:r>
      </w:hyperlink>
      <w:r>
        <w:t xml:space="preserve"> sobre residuos de aparatos eléctricos y electrónicos, modificada por la Directiva (UE) </w:t>
      </w:r>
      <w:hyperlink r:id="rId14" w:tooltip="Enlace con la Directiva de la Unión Europea" w:history="1">
        <w:r>
          <w:rPr>
            <w:sz w:val="24"/>
            <w:rFonts w:ascii="Garamond" w:hAnsi="Garamond"/>
          </w:rPr>
          <w:t xml:space="preserve">2018/849</w:t>
        </w:r>
      </w:hyperlink>
      <w:r>
        <w:t xml:space="preserve"> del Parlamento Europeo y del Consejo, de 30 de mayo de 2018.</w:t>
      </w:r>
    </w:p>
    <w:p w14:paraId="7B6DC961" w14:textId="7C6704AB" w:rsidR="006D6021" w:rsidRPr="008E5B84" w:rsidRDefault="00311339">
      <w:pPr>
        <w:spacing w:after="120" w:line="360" w:lineRule="auto"/>
        <w:jc w:val="both"/>
        <w:rPr>
          <w:sz w:val="24"/>
          <w:szCs w:val="24"/>
          <w:rFonts w:ascii="Garamond" w:hAnsi="Garamond"/>
        </w:rPr>
      </w:pPr>
      <w:r>
        <w:t xml:space="preserve">Con el fin de transponer rápidamente estas Directivas y cumplir el procedimiento de información en el ámbito de los reglamentos técnicos y de las reglas relativas a los servicios de la sociedad de la información previstos en la </w:t>
      </w:r>
      <w:hyperlink r:id="rId15" w:tooltip="Enlace con la Directiva de la Unión Europea" w:history="1">
        <w:r>
          <w:rPr>
            <w:sz w:val="24"/>
            <w:rFonts w:ascii="Garamond" w:hAnsi="Garamond"/>
          </w:rPr>
          <w:t xml:space="preserve">Directiva 2015/1535/UE</w:t>
        </w:r>
      </w:hyperlink>
      <w:r>
        <w:t xml:space="preserve"> del Parlamento Europeo y del Consejo, de 9 de septiembre de 2015, se han presentado más tarde para su aprobación las modificaciones necesarias del </w:t>
      </w:r>
      <w:hyperlink r:id="rId16" w:tooltip="Decreto-ley n.º 152-D/2017" w:history="1">
        <w:r>
          <w:rPr>
            <w:sz w:val="24"/>
            <w:rFonts w:ascii="Garamond" w:hAnsi="Garamond"/>
          </w:rPr>
          <w:t xml:space="preserve">Decreto-ley n.º 152-D/2017</w:t>
        </w:r>
      </w:hyperlink>
      <w:r>
        <w:t xml:space="preserve">, de 11 de diciembre.</w:t>
      </w:r>
      <w:r>
        <w:rPr>
          <w:sz w:val="24"/>
          <w:rFonts w:ascii="Garamond" w:hAnsi="Garamond"/>
        </w:rPr>
        <w:t xml:space="preserve"> </w:t>
      </w:r>
    </w:p>
    <w:p w14:paraId="3DD37DBB" w14:textId="6C301508" w:rsidR="006D6021" w:rsidRPr="008E5B84" w:rsidRDefault="00311339">
      <w:pPr>
        <w:spacing w:after="120" w:line="360" w:lineRule="auto"/>
        <w:jc w:val="both"/>
        <w:rPr>
          <w:sz w:val="24"/>
          <w:szCs w:val="24"/>
          <w:rFonts w:ascii="Garamond" w:hAnsi="Garamond"/>
        </w:rPr>
      </w:pPr>
      <w:r>
        <w:rPr>
          <w:sz w:val="24"/>
          <w:rFonts w:ascii="Garamond" w:hAnsi="Garamond"/>
        </w:rPr>
        <w:t xml:space="preserve">Por lo tanto, este Decreto-ley aprueba las actualizaciones antes mencionadas, en particular la introducción del marcado de los envases reutilizables y de los envases gestionados conforme al sistema de depósito, y el marcado de los envases reciclables con instrucciones de clasificación adecuadas.</w:t>
      </w:r>
      <w:r>
        <w:rPr>
          <w:sz w:val="24"/>
          <w:rFonts w:ascii="Garamond" w:hAnsi="Garamond"/>
        </w:rPr>
        <w:t xml:space="preserve"> </w:t>
      </w:r>
      <w:r>
        <w:rPr>
          <w:sz w:val="24"/>
          <w:rFonts w:ascii="Garamond" w:hAnsi="Garamond"/>
        </w:rPr>
        <w:t xml:space="preserve">También establece la obligación de que los operadores de tratamiento de residuos demuestren anualmente al licenciante que los requisitos de cualificación y las normas aplicables se cumplen mediante un documento expedido por verificadores cualificados.</w:t>
      </w:r>
      <w:r>
        <w:rPr>
          <w:sz w:val="24"/>
          <w:rFonts w:ascii="Garamond" w:hAnsi="Garamond"/>
        </w:rPr>
        <w:t xml:space="preserve"> </w:t>
      </w:r>
    </w:p>
    <w:p w14:paraId="758B538F" w14:textId="77777777" w:rsidR="006D6021" w:rsidRPr="008E5B84" w:rsidRDefault="00311339">
      <w:pPr>
        <w:pStyle w:val="Ttulo4"/>
        <w:widowControl w:val="0"/>
        <w:spacing w:after="120" w:line="360" w:lineRule="auto"/>
        <w:ind w:firstLine="0"/>
        <w:jc w:val="left"/>
        <w:outlineLvl w:val="9"/>
        <w:rPr>
          <w:sz w:val="24"/>
          <w:szCs w:val="24"/>
          <w:rFonts w:ascii="Garamond" w:hAnsi="Garamond"/>
        </w:rPr>
      </w:pPr>
      <w:r>
        <w:rPr>
          <w:sz w:val="24"/>
          <w:rFonts w:ascii="Garamond" w:hAnsi="Garamond"/>
        </w:rPr>
        <w:t xml:space="preserve">Se escuchó a los órganos autónomos de las regiones autónomas.</w:t>
      </w:r>
    </w:p>
    <w:p w14:paraId="7D1192FA" w14:textId="77777777" w:rsidR="006D6021" w:rsidRPr="008E5B84" w:rsidRDefault="00311339">
      <w:pPr>
        <w:pStyle w:val="NormalWeb"/>
        <w:shd w:val="clear" w:color="auto" w:fill="FFFFFF"/>
        <w:spacing w:before="0" w:after="225" w:line="390" w:lineRule="atLeast"/>
        <w:jc w:val="both"/>
        <w:rPr>
          <w:rFonts w:ascii="Garamond" w:eastAsia="Calibri" w:hAnsi="Garamond"/>
        </w:rPr>
      </w:pPr>
      <w:r>
        <w:rPr>
          <w:rFonts w:ascii="Garamond" w:hAnsi="Garamond"/>
        </w:rPr>
        <w:t xml:space="preserve">Por lo tanto:</w:t>
      </w:r>
    </w:p>
    <w:p w14:paraId="26406EBE" w14:textId="77777777" w:rsidR="006D6021" w:rsidRPr="008E5B84" w:rsidRDefault="00311339">
      <w:pPr>
        <w:pStyle w:val="NormalWeb"/>
        <w:shd w:val="clear" w:color="auto" w:fill="FFFFFF"/>
        <w:spacing w:before="0" w:after="225" w:line="390" w:lineRule="atLeast"/>
        <w:jc w:val="both"/>
        <w:rPr>
          <w:rFonts w:ascii="Garamond" w:eastAsia="Calibri" w:hAnsi="Garamond"/>
        </w:rPr>
      </w:pPr>
      <w:r>
        <w:rPr>
          <w:rFonts w:ascii="Garamond" w:hAnsi="Garamond"/>
        </w:rPr>
        <w:t xml:space="preserve">De conformidad con el artículo 198, apartado 1, letra a), de la Constitución, el Gobierno decreta lo siguiente:</w:t>
      </w:r>
    </w:p>
    <w:p w14:paraId="10E5347C" w14:textId="77777777" w:rsidR="006D6021" w:rsidRPr="008E5B84" w:rsidRDefault="006D6021">
      <w:pPr>
        <w:pStyle w:val="NormalWeb"/>
        <w:shd w:val="clear" w:color="auto" w:fill="FFFFFF"/>
        <w:spacing w:before="0" w:after="225" w:line="390" w:lineRule="atLeast"/>
        <w:jc w:val="both"/>
        <w:rPr>
          <w:rFonts w:ascii="Garamond" w:hAnsi="Garamond"/>
          <w:color w:val="333333"/>
        </w:rPr>
      </w:pPr>
    </w:p>
    <w:p w14:paraId="4D7E55DE" w14:textId="02B10543" w:rsidR="006D6021" w:rsidRPr="008E5B84" w:rsidRDefault="00BC4ADA" w:rsidP="00BC4ADA">
      <w:pPr>
        <w:suppressAutoHyphens w:val="0"/>
        <w:rPr>
          <w:color w:val="333333"/>
          <w:sz w:val="24"/>
          <w:szCs w:val="24"/>
          <w:rFonts w:ascii="Garamond" w:eastAsia="Times New Roman" w:hAnsi="Garamond"/>
        </w:rPr>
      </w:pPr>
      <w:r>
        <w:br w:type="page"/>
      </w:r>
    </w:p>
    <w:p w14:paraId="34A618C4" w14:textId="77777777" w:rsidR="006D6021" w:rsidRPr="008E5B84" w:rsidRDefault="00311339">
      <w:pPr>
        <w:pStyle w:val="Ttulo4"/>
        <w:widowControl w:val="0"/>
        <w:spacing w:after="120" w:line="360" w:lineRule="auto"/>
        <w:outlineLvl w:val="9"/>
        <w:rPr>
          <w:sz w:val="24"/>
          <w:szCs w:val="24"/>
          <w:rFonts w:ascii="Garamond" w:hAnsi="Garamond"/>
        </w:rPr>
      </w:pPr>
      <w:r>
        <w:rPr>
          <w:sz w:val="24"/>
          <w:rFonts w:ascii="Garamond" w:hAnsi="Garamond"/>
        </w:rPr>
        <w:t xml:space="preserve">Artículo 1</w:t>
      </w:r>
    </w:p>
    <w:p w14:paraId="6310E1C1" w14:textId="77777777" w:rsidR="006D6021" w:rsidRPr="008E5B84" w:rsidRDefault="00311339">
      <w:pPr>
        <w:pStyle w:val="Ttulo4"/>
        <w:widowControl w:val="0"/>
        <w:spacing w:after="120" w:line="360" w:lineRule="auto"/>
        <w:outlineLvl w:val="9"/>
        <w:rPr>
          <w:sz w:val="24"/>
          <w:szCs w:val="24"/>
          <w:rFonts w:ascii="Garamond" w:hAnsi="Garamond"/>
        </w:rPr>
      </w:pPr>
      <w:r>
        <w:rPr>
          <w:sz w:val="24"/>
          <w:rFonts w:ascii="Garamond" w:hAnsi="Garamond"/>
        </w:rPr>
        <w:t xml:space="preserve">Objeto</w:t>
      </w:r>
    </w:p>
    <w:p w14:paraId="19B19F0E" w14:textId="3AE3B598" w:rsidR="006D6021" w:rsidRPr="008E5B84" w:rsidRDefault="00311339">
      <w:pPr>
        <w:pStyle w:val="Ttulo4"/>
        <w:widowControl w:val="0"/>
        <w:spacing w:after="120" w:line="360" w:lineRule="auto"/>
        <w:ind w:firstLine="0"/>
        <w:jc w:val="both"/>
        <w:outlineLvl w:val="9"/>
        <w:rPr>
          <w:sz w:val="24"/>
          <w:szCs w:val="24"/>
          <w:rFonts w:ascii="Garamond" w:hAnsi="Garamond"/>
        </w:rPr>
      </w:pPr>
      <w:r>
        <w:t xml:space="preserve">Este Decreto-ley introduce la quinta modificación del </w:t>
      </w:r>
      <w:hyperlink r:id="rId17" w:tooltip="Decreto-ley n.º 152-D/2017" w:history="1">
        <w:r>
          <w:rPr>
            <w:sz w:val="24"/>
            <w:rFonts w:ascii="Garamond" w:hAnsi="Garamond"/>
          </w:rPr>
          <w:t xml:space="preserve">Decreto-ley n.º 152-D/2017</w:t>
        </w:r>
      </w:hyperlink>
      <w:r>
        <w:t xml:space="preserve"> de 11 de diciembre, modificado por las Leyes n.º </w:t>
      </w:r>
      <w:hyperlink r:id="rId18" w:tooltip="Ley n.º 69/2018" w:history="1">
        <w:r>
          <w:rPr>
            <w:sz w:val="24"/>
            <w:rFonts w:ascii="Garamond" w:hAnsi="Garamond"/>
          </w:rPr>
          <w:t xml:space="preserve">69/2018</w:t>
        </w:r>
      </w:hyperlink>
      <w:r>
        <w:t xml:space="preserve"> de 26 de diciembre y </w:t>
      </w:r>
      <w:hyperlink r:id="rId19" w:tooltip="Ley n.º 41/2019" w:history="1">
        <w:r>
          <w:rPr>
            <w:sz w:val="24"/>
            <w:rFonts w:ascii="Garamond" w:hAnsi="Garamond"/>
          </w:rPr>
          <w:t xml:space="preserve">41/2019</w:t>
        </w:r>
      </w:hyperlink>
      <w:r>
        <w:t xml:space="preserve"> de 21 de junio, por el </w:t>
      </w:r>
      <w:hyperlink r:id="rId20" w:tooltip="Decreto-ley n.º 86/2020" w:history="1">
        <w:r>
          <w:rPr>
            <w:sz w:val="24"/>
            <w:rFonts w:ascii="Garamond" w:hAnsi="Garamond"/>
          </w:rPr>
          <w:t xml:space="preserve">Decreto-ley n.º 86/2020</w:t>
        </w:r>
      </w:hyperlink>
      <w:r>
        <w:t xml:space="preserve"> de 14 de octubre, y modificado y reeditado por el Decreto-ley n.º 102-D/2020 de 10 de diciembre.</w:t>
      </w:r>
      <w:r>
        <w:rPr>
          <w:sz w:val="24"/>
          <w:rFonts w:ascii="Garamond" w:hAnsi="Garamond"/>
        </w:rPr>
        <w:t xml:space="preserve"> </w:t>
      </w:r>
    </w:p>
    <w:p w14:paraId="11139F74" w14:textId="77777777" w:rsidR="006D6021" w:rsidRPr="008E5B84" w:rsidRDefault="00311339">
      <w:pPr>
        <w:jc w:val="center"/>
        <w:rPr>
          <w:sz w:val="24"/>
          <w:szCs w:val="24"/>
          <w:rFonts w:ascii="Garamond" w:hAnsi="Garamond"/>
        </w:rPr>
      </w:pPr>
      <w:r>
        <w:rPr>
          <w:sz w:val="24"/>
          <w:rFonts w:ascii="Garamond" w:hAnsi="Garamond"/>
        </w:rPr>
        <w:t xml:space="preserve">Artículo 2</w:t>
      </w:r>
    </w:p>
    <w:p w14:paraId="38D8E667" w14:textId="77777777" w:rsidR="006D6021" w:rsidRPr="008E5B84" w:rsidRDefault="00311339">
      <w:pPr>
        <w:jc w:val="center"/>
        <w:rPr>
          <w:sz w:val="24"/>
          <w:szCs w:val="24"/>
          <w:rFonts w:ascii="Garamond" w:hAnsi="Garamond"/>
        </w:rPr>
      </w:pPr>
      <w:r>
        <w:rPr>
          <w:sz w:val="24"/>
          <w:rFonts w:ascii="Garamond" w:hAnsi="Garamond"/>
        </w:rPr>
        <w:t xml:space="preserve">Modificación del Decreto-ley n.º 152-D/2017, de 11 de diciembre</w:t>
      </w:r>
    </w:p>
    <w:p w14:paraId="740BDF45" w14:textId="1C138E32" w:rsidR="006D6021" w:rsidRPr="008E5B84" w:rsidRDefault="00311339">
      <w:pPr>
        <w:pStyle w:val="NormalWeb"/>
        <w:shd w:val="clear" w:color="auto" w:fill="FFFFFF"/>
        <w:spacing w:before="0" w:after="225" w:line="390" w:lineRule="atLeast"/>
        <w:jc w:val="both"/>
        <w:rPr>
          <w:rFonts w:ascii="Garamond" w:hAnsi="Garamond"/>
        </w:rPr>
      </w:pPr>
      <w:r>
        <w:t xml:space="preserve">Los artículos 8, 23, 28 y 90 del </w:t>
      </w:r>
      <w:hyperlink r:id="rId21" w:tooltip="Decreto-ley n.º 152-D/2017" w:history="1">
        <w:r>
          <w:rPr>
            <w:rFonts w:ascii="Garamond" w:hAnsi="Garamond"/>
          </w:rPr>
          <w:t xml:space="preserve">Decreto-ley n.º 152-D/2017</w:t>
        </w:r>
      </w:hyperlink>
      <w:r>
        <w:t xml:space="preserve">, de 11 de diciembre, en su redacción actual, se sustituyen por el texto siguiente:</w:t>
      </w:r>
    </w:p>
    <w:p w14:paraId="2CB88C12" w14:textId="77777777" w:rsidR="006D6021" w:rsidRPr="008E5B84" w:rsidRDefault="00311339">
      <w:pPr>
        <w:shd w:val="clear" w:color="auto" w:fill="FFFFFF"/>
        <w:suppressAutoHyphens w:val="0"/>
        <w:spacing w:after="225" w:line="390" w:lineRule="atLeast"/>
        <w:jc w:val="center"/>
        <w:textAlignment w:val="auto"/>
        <w:rPr>
          <w:sz w:val="24"/>
          <w:szCs w:val="24"/>
          <w:rFonts w:ascii="Garamond" w:hAnsi="Garamond"/>
        </w:rPr>
      </w:pPr>
      <w:r>
        <w:rPr>
          <w:sz w:val="24"/>
          <w:rFonts w:ascii="Garamond" w:hAnsi="Garamond"/>
        </w:rPr>
        <w:t xml:space="preserve">«Artículo 8</w:t>
      </w:r>
    </w:p>
    <w:p w14:paraId="3EE26575" w14:textId="77777777" w:rsidR="006D6021" w:rsidRPr="008E5B84" w:rsidRDefault="00311339">
      <w:pPr>
        <w:pStyle w:val="Ttulo4"/>
        <w:widowControl w:val="0"/>
        <w:spacing w:after="120" w:line="360" w:lineRule="auto"/>
        <w:outlineLvl w:val="9"/>
        <w:rPr>
          <w:sz w:val="24"/>
          <w:szCs w:val="24"/>
          <w:rFonts w:ascii="Garamond" w:hAnsi="Garamond"/>
        </w:rPr>
      </w:pPr>
      <w:r>
        <w:rPr>
          <w:sz w:val="24"/>
          <w:rFonts w:ascii="Garamond" w:hAnsi="Garamond"/>
        </w:rPr>
        <w:t xml:space="preserve">Cualificación de los operadores de tratamiento de residuos, incluido el almacenamiento</w:t>
      </w:r>
    </w:p>
    <w:p w14:paraId="0E5B07F5" w14:textId="4679E0F2" w:rsidR="006D6021" w:rsidRPr="008E5B84" w:rsidRDefault="00311339">
      <w:pPr>
        <w:pStyle w:val="ListParagraph"/>
        <w:widowControl w:val="0"/>
        <w:numPr>
          <w:ilvl w:val="0"/>
          <w:numId w:val="1"/>
        </w:numPr>
        <w:spacing w:after="120" w:line="360" w:lineRule="auto"/>
        <w:ind w:left="993" w:right="567" w:hanging="426"/>
        <w:jc w:val="both"/>
        <w:rPr>
          <w:sz w:val="24"/>
          <w:szCs w:val="24"/>
          <w:rFonts w:ascii="Garamond" w:hAnsi="Garamond"/>
        </w:rPr>
      </w:pPr>
      <w:r>
        <w:rPr>
          <w:sz w:val="24"/>
          <w:rFonts w:ascii="Garamond" w:hAnsi="Garamond"/>
        </w:rPr>
        <w:t xml:space="preserve">Sin perjuicio de lo dispuesto en los apartados 5 y 6, los operadores de tratamiento de residuos, incluido el almacenamiento, que operen dentro de los flujos específicos de residuos estarán sujetos a requisitos de cualificación para el control efectivo y la trazabilidad de los residuos tratados de conformidad con los objetivos y metas establecidos en el presente Decreto-Ley.</w:t>
      </w:r>
      <w:r>
        <w:rPr>
          <w:sz w:val="24"/>
          <w:rFonts w:ascii="Garamond" w:hAnsi="Garamond"/>
        </w:rPr>
        <w:t xml:space="preserve"> </w:t>
      </w:r>
    </w:p>
    <w:p w14:paraId="554CFC4C" w14:textId="400163F5" w:rsidR="006D6021" w:rsidRPr="008E5B84" w:rsidRDefault="00311339">
      <w:pPr>
        <w:pStyle w:val="ListParagraph"/>
        <w:widowControl w:val="0"/>
        <w:numPr>
          <w:ilvl w:val="0"/>
          <w:numId w:val="1"/>
        </w:numPr>
        <w:spacing w:after="120" w:line="360" w:lineRule="auto"/>
        <w:ind w:left="993" w:right="567" w:hanging="426"/>
        <w:jc w:val="both"/>
        <w:rPr>
          <w:sz w:val="24"/>
          <w:szCs w:val="24"/>
          <w:rFonts w:ascii="Garamond" w:hAnsi="Garamond"/>
        </w:rPr>
      </w:pPr>
      <w:r>
        <w:rPr>
          <w:sz w:val="24"/>
          <w:rFonts w:ascii="Garamond" w:hAnsi="Garamond"/>
        </w:rPr>
        <w:t xml:space="preserve">Los requisitos mencionados en el apartado anterior, así como su alcance, son establecidos por la </w:t>
      </w:r>
      <w:r>
        <w:rPr>
          <w:sz w:val="24"/>
          <w:shd w:val="clear" w:color="auto" w:fill="FFFFFF"/>
          <w:rFonts w:ascii="Garamond" w:hAnsi="Garamond"/>
        </w:rPr>
        <w:t xml:space="preserve">Agencia Portuguesa de Medio Ambiente, I.P.</w:t>
      </w:r>
      <w:r>
        <w:rPr>
          <w:sz w:val="24"/>
          <w:shd w:val="clear" w:color="auto" w:fill="FFFFFF"/>
          <w:rFonts w:ascii="Garamond" w:hAnsi="Garamond"/>
        </w:rPr>
        <w:t xml:space="preserve"> </w:t>
      </w:r>
      <w:r>
        <w:rPr>
          <w:sz w:val="24"/>
          <w:shd w:val="clear" w:color="auto" w:fill="FFFFFF"/>
          <w:rFonts w:ascii="Garamond" w:hAnsi="Garamond"/>
        </w:rPr>
        <w:t xml:space="preserve">(</w:t>
      </w:r>
      <w:r>
        <w:rPr>
          <w:sz w:val="24"/>
          <w:rFonts w:ascii="Garamond" w:hAnsi="Garamond"/>
        </w:rPr>
        <w:t xml:space="preserve">APA, I.P.), tras escuchar a las asociaciones representativas de operadores de gestión de residuos, autoridades de concesión de licencias, entidades encargadas de la gestión de sistemas integrados de residuos y otras entidades que considere pertinentes consultar, teniendo en cuenta criterios técnicos de calidad y eficiencia, y anunciadas en su sitio web.</w:t>
      </w:r>
      <w:r>
        <w:rPr>
          <w:sz w:val="24"/>
          <w:rFonts w:ascii="Garamond" w:hAnsi="Garamond"/>
        </w:rPr>
        <w:t xml:space="preserve"> </w:t>
      </w:r>
    </w:p>
    <w:p w14:paraId="0577D597" w14:textId="77777777" w:rsidR="006D6021" w:rsidRPr="008E5B84" w:rsidRDefault="00311339">
      <w:pPr>
        <w:pStyle w:val="ListParagraph"/>
        <w:widowControl w:val="0"/>
        <w:numPr>
          <w:ilvl w:val="0"/>
          <w:numId w:val="1"/>
        </w:numPr>
        <w:spacing w:after="120" w:line="360" w:lineRule="auto"/>
        <w:ind w:left="993" w:right="567" w:hanging="426"/>
        <w:jc w:val="both"/>
        <w:rPr>
          <w:sz w:val="24"/>
          <w:szCs w:val="24"/>
          <w:rFonts w:ascii="Garamond" w:hAnsi="Garamond"/>
        </w:rPr>
      </w:pPr>
      <w:r>
        <w:rPr>
          <w:sz w:val="24"/>
          <w:rFonts w:ascii="Garamond" w:hAnsi="Garamond"/>
        </w:rPr>
        <w:t xml:space="preserve">[…].</w:t>
      </w:r>
      <w:r>
        <w:rPr>
          <w:sz w:val="24"/>
          <w:rFonts w:ascii="Garamond" w:hAnsi="Garamond"/>
        </w:rPr>
        <w:t xml:space="preserve">  </w:t>
      </w:r>
    </w:p>
    <w:p w14:paraId="6149BD7F" w14:textId="77777777" w:rsidR="006D6021" w:rsidRPr="008E5B84" w:rsidRDefault="00311339">
      <w:pPr>
        <w:pStyle w:val="ListParagraph"/>
        <w:widowControl w:val="0"/>
        <w:numPr>
          <w:ilvl w:val="0"/>
          <w:numId w:val="1"/>
        </w:numPr>
        <w:spacing w:after="120" w:line="360" w:lineRule="auto"/>
        <w:ind w:left="993" w:right="567" w:hanging="426"/>
        <w:jc w:val="both"/>
        <w:rPr>
          <w:sz w:val="24"/>
          <w:szCs w:val="24"/>
          <w:rFonts w:ascii="Garamond" w:hAnsi="Garamond"/>
        </w:rPr>
      </w:pPr>
      <w:r>
        <w:rPr>
          <w:sz w:val="24"/>
          <w:rFonts w:ascii="Garamond" w:hAnsi="Garamond"/>
        </w:rPr>
        <w:t xml:space="preserve">Los requisitos mencionados en los párrafos anteriores se establecen en los permisos de los operadores de tratamiento de residuos y su cumplimiento se demostrará de conformidad con los apartados 8 y 10.</w:t>
      </w:r>
      <w:r>
        <w:rPr>
          <w:sz w:val="24"/>
          <w:rFonts w:ascii="Garamond" w:hAnsi="Garamond"/>
        </w:rPr>
        <w:t xml:space="preserve"> </w:t>
      </w:r>
    </w:p>
    <w:p w14:paraId="64F7A174" w14:textId="77777777" w:rsidR="006D6021" w:rsidRPr="008E5B84" w:rsidRDefault="00311339">
      <w:pPr>
        <w:pStyle w:val="ListParagraph"/>
        <w:widowControl w:val="0"/>
        <w:numPr>
          <w:ilvl w:val="0"/>
          <w:numId w:val="1"/>
        </w:numPr>
        <w:spacing w:after="120" w:line="360" w:lineRule="auto"/>
        <w:ind w:left="993" w:right="567" w:hanging="426"/>
        <w:jc w:val="both"/>
        <w:rPr>
          <w:sz w:val="24"/>
          <w:szCs w:val="24"/>
          <w:rFonts w:ascii="Garamond" w:hAnsi="Garamond"/>
        </w:rPr>
      </w:pPr>
      <w:r>
        <w:rPr>
          <w:sz w:val="24"/>
          <w:rFonts w:ascii="Garamond" w:hAnsi="Garamond"/>
        </w:rPr>
        <w:t xml:space="preserve">Los operadores de tratamiento de residuos, incluido el almacenamiento, que operen bajo el flujo específico de RAEE estarán certificados por NP EN 50625-1:2014 «Requisitos para la recogida, el transporte y el tratamiento de RAEE – Parte 1:</w:t>
      </w:r>
      <w:r>
        <w:rPr>
          <w:sz w:val="24"/>
          <w:rFonts w:ascii="Garamond" w:hAnsi="Garamond"/>
        </w:rPr>
        <w:t xml:space="preserve"> </w:t>
      </w:r>
      <w:r>
        <w:rPr>
          <w:sz w:val="24"/>
          <w:rFonts w:ascii="Garamond" w:hAnsi="Garamond"/>
        </w:rPr>
        <w:t xml:space="preserve">Requisitos generales y tratamientos» con su redacción actualizada y por la norma que lo sustituye.</w:t>
      </w:r>
    </w:p>
    <w:p w14:paraId="0AF9C3B3" w14:textId="77777777" w:rsidR="006D6021" w:rsidRPr="008E5B84" w:rsidRDefault="00311339">
      <w:pPr>
        <w:pStyle w:val="ListParagraph"/>
        <w:widowControl w:val="0"/>
        <w:numPr>
          <w:ilvl w:val="0"/>
          <w:numId w:val="2"/>
        </w:numPr>
        <w:spacing w:after="120" w:line="360" w:lineRule="auto"/>
        <w:ind w:right="567"/>
        <w:jc w:val="both"/>
        <w:rPr>
          <w:sz w:val="24"/>
          <w:szCs w:val="24"/>
          <w:rFonts w:ascii="Garamond" w:hAnsi="Garamond"/>
        </w:rPr>
      </w:pPr>
      <w:r>
        <w:rPr>
          <w:sz w:val="24"/>
          <w:rFonts w:ascii="Garamond" w:hAnsi="Garamond"/>
        </w:rPr>
        <w:t xml:space="preserve">Los operadores de tratamiento de RAEE clasificados como peligrosos, además de la certificación prevista en el párrafo anterior, estarán certificados por la norma respectiva de la serie de normas EN 50625, a saber, para lámparas (NP EN 50625-2-1:2014), pantallas y monitores (NP EN 50625-2-2:2015) y equipos de regulación de la temperatura (EN 50625-2-3:2017), con su redacción actualizada y por las normas que los sustituyan.</w:t>
      </w:r>
      <w:r>
        <w:rPr>
          <w:sz w:val="24"/>
          <w:rFonts w:ascii="Garamond" w:hAnsi="Garamond"/>
        </w:rPr>
        <w:t xml:space="preserve"> </w:t>
      </w:r>
    </w:p>
    <w:p w14:paraId="2AD5545D" w14:textId="1D2B1236"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El apartado 1 no se aplicará a los operadores que realicen el tratamiento de residuos en un establecimiento industrial en el marco del Sistema de Industria Responsable (SIR), salvo en el caso de una instalación de tratamiento de residuos extrínseco a la actividad industrial.</w:t>
      </w:r>
    </w:p>
    <w:p w14:paraId="55123F50" w14:textId="5AFC3F8E"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Los operadores de tratamiento de residuos a que se refieren los apartados 1, 5 y 6 demostrarán, a más tardar el 31 de marzo de cada año, que se han cumplido los requisitos y normas de cualificación aplicables el año anterior al organismo coordinador de la concesión de licencias, con sujeción a la suspensión total o parcial de la licencia de conformidad con el artículo 81 del régimen general de gestión de residuos.</w:t>
      </w:r>
      <w:r>
        <w:rPr>
          <w:sz w:val="24"/>
          <w:rFonts w:ascii="Garamond" w:hAnsi="Garamond"/>
        </w:rPr>
        <w:t xml:space="preserve"> </w:t>
      </w:r>
    </w:p>
    <w:p w14:paraId="3813BD80" w14:textId="77777777"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Las disposiciones del apartado anterior solo se aplicarán si el operador, el 31 de marzo, ha obtenido una licencia para recibir tratamiento durante al menos seis meses.</w:t>
      </w:r>
    </w:p>
    <w:p w14:paraId="68599E61" w14:textId="44D5CD63"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La prueba del cumplimiento de los requisitos de cualificación a que se refiere el apartado 1 se presentará mediante un documento expedido por verificadores cualificados.</w:t>
      </w:r>
      <w:bookmarkStart w:id="1" w:name="_Hlk52723080"/>
    </w:p>
    <w:bookmarkEnd w:id="1"/>
    <w:p w14:paraId="511DE8FF" w14:textId="77777777"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Los criterios y la metodología para el reconocimiento de las entidades competentes en materia de certificación y verificadores cualificados se establecen en la ordenanza del miembro del Gobierno responsable de los asuntos medioambientales.</w:t>
      </w:r>
    </w:p>
    <w:p w14:paraId="03805ED9" w14:textId="59353803" w:rsidR="006D6021" w:rsidRPr="008E5B84" w:rsidRDefault="00BC4ADA">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La certificación prevista en los apartados 5 y 6 será llevada a cabo por un tercero acreditado.</w:t>
      </w:r>
      <w:r>
        <w:rPr>
          <w:sz w:val="24"/>
          <w:rFonts w:ascii="Garamond" w:hAnsi="Garamond"/>
        </w:rPr>
        <w:t xml:space="preserve"> </w:t>
      </w:r>
    </w:p>
    <w:p w14:paraId="6EC366FF" w14:textId="77777777"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El incumplimiento de los requisitos o normas de cualificación previstos en el presente artículo, según proceda, constituirá motivo para la revocación total o parcial de su licencia de conformidad con el artículo 81 del régimen general de gestión de residuos.</w:t>
      </w:r>
      <w:r>
        <w:rPr>
          <w:sz w:val="24"/>
          <w:rFonts w:ascii="Garamond" w:hAnsi="Garamond"/>
        </w:rPr>
        <w:t xml:space="preserve"> </w:t>
      </w:r>
    </w:p>
    <w:p w14:paraId="69B2E75E" w14:textId="77777777" w:rsidR="006D6021" w:rsidRPr="008E5B84" w:rsidRDefault="00311339">
      <w:pPr>
        <w:widowControl w:val="0"/>
        <w:spacing w:after="120" w:line="360" w:lineRule="auto"/>
        <w:ind w:firstLine="284"/>
        <w:jc w:val="center"/>
        <w:rPr>
          <w:sz w:val="24"/>
          <w:szCs w:val="24"/>
          <w:rFonts w:ascii="Garamond" w:hAnsi="Garamond"/>
        </w:rPr>
      </w:pPr>
      <w:bookmarkStart w:id="2" w:name="_Hlk58518925"/>
      <w:r>
        <w:rPr>
          <w:sz w:val="24"/>
          <w:rFonts w:ascii="Garamond" w:hAnsi="Garamond"/>
        </w:rPr>
        <w:t xml:space="preserve">Artículo 23</w:t>
      </w:r>
    </w:p>
    <w:p w14:paraId="0F62E269" w14:textId="34428259" w:rsidR="006D6021" w:rsidRPr="008E5B84" w:rsidRDefault="008B3D7C">
      <w:pPr>
        <w:widowControl w:val="0"/>
        <w:spacing w:after="120" w:line="360" w:lineRule="auto"/>
        <w:ind w:firstLine="284"/>
        <w:jc w:val="center"/>
        <w:rPr>
          <w:sz w:val="24"/>
          <w:szCs w:val="24"/>
          <w:rFonts w:ascii="Garamond" w:hAnsi="Garamond"/>
        </w:rPr>
      </w:pPr>
      <w:r>
        <w:rPr>
          <w:sz w:val="24"/>
          <w:rFonts w:ascii="Garamond" w:hAnsi="Garamond"/>
        </w:rPr>
        <w:t xml:space="preserve">[…]</w:t>
      </w:r>
    </w:p>
    <w:p w14:paraId="5F9480C7" w14:textId="454DC417"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5F1D39B1" w14:textId="77777777"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r>
        <w:rPr>
          <w:sz w:val="24"/>
          <w:rFonts w:ascii="Garamond" w:hAnsi="Garamond"/>
        </w:rPr>
        <w:t xml:space="preserve"> </w:t>
      </w:r>
    </w:p>
    <w:p w14:paraId="7F3B2E9D" w14:textId="53686E70"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1C782BC8" w14:textId="68618E7C"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49345D1D" w14:textId="77777777"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r>
        <w:rPr>
          <w:sz w:val="24"/>
          <w:i/>
          <w:iCs/>
          <w:rFonts w:ascii="Garamond" w:hAnsi="Garamond"/>
        </w:rPr>
        <w:t xml:space="preserve">Derogado</w:t>
      </w:r>
      <w:r>
        <w:rPr>
          <w:sz w:val="24"/>
          <w:rFonts w:ascii="Garamond" w:hAnsi="Garamond"/>
        </w:rPr>
        <w:t xml:space="preserve">];</w:t>
      </w:r>
    </w:p>
    <w:p w14:paraId="78E509FB" w14:textId="77777777"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r>
        <w:rPr>
          <w:sz w:val="24"/>
          <w:rFonts w:ascii="Garamond" w:hAnsi="Garamond"/>
        </w:rPr>
        <w:t xml:space="preserve"> </w:t>
      </w:r>
    </w:p>
    <w:p w14:paraId="05BCEA55" w14:textId="01A4160C"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3B767401" w14:textId="7091B311" w:rsidR="006D6021" w:rsidRPr="008E5B84" w:rsidRDefault="008600E0">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4A4D1BE3" w14:textId="4898503B"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0B339EEC" w14:textId="208F75F9"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566473D6" w14:textId="164AC433"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bookmarkStart w:id="3" w:name="_Hlk61626903"/>
      <w:r>
        <w:rPr>
          <w:sz w:val="24"/>
          <w:rFonts w:ascii="Garamond" w:hAnsi="Garamond"/>
        </w:rPr>
        <w:t xml:space="preserve">[…].</w:t>
      </w:r>
    </w:p>
    <w:p w14:paraId="66BCCA1B" w14:textId="4D55870F"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73A26731" w14:textId="652B1C92"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bookmarkStart w:id="4" w:name="_Hlk61626654"/>
      <w:bookmarkEnd w:id="3"/>
      <w:r>
        <w:rPr>
          <w:sz w:val="24"/>
          <w:rFonts w:ascii="Garamond" w:hAnsi="Garamond"/>
        </w:rPr>
        <w:t xml:space="preserve">[…].</w:t>
      </w:r>
    </w:p>
    <w:bookmarkEnd w:id="4"/>
    <w:p w14:paraId="385DA688" w14:textId="0D95D9A5"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7BCA8040" w14:textId="4560123D"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bookmarkStart w:id="5" w:name="_Hlk52724639"/>
      <w:r>
        <w:rPr>
          <w:sz w:val="24"/>
          <w:rFonts w:ascii="Garamond" w:hAnsi="Garamond"/>
        </w:rPr>
        <w:t xml:space="preserve">[…].</w:t>
      </w:r>
    </w:p>
    <w:p w14:paraId="22A71714" w14:textId="11A87C2A"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bookmarkStart w:id="6" w:name="_Hlk52724601"/>
      <w:bookmarkEnd w:id="5"/>
      <w:r>
        <w:rPr>
          <w:sz w:val="24"/>
          <w:rFonts w:ascii="Garamond" w:hAnsi="Garamond"/>
        </w:rPr>
        <w:t xml:space="preserve">[…].</w:t>
      </w:r>
    </w:p>
    <w:p w14:paraId="7F2D2F9B" w14:textId="47B01B05" w:rsidR="006D6021" w:rsidRPr="008E5B84" w:rsidRDefault="00311339" w:rsidP="007E1034">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Los envases reutilizables están sujetos a un marcado, cuyo símbolo y normas de marcado se determinan por ordenanza de los miembros del Gobierno responsables de asuntos económicos y medioambientales, previa consulta a las asociaciones representativas de los sectores afectados.</w:t>
      </w:r>
    </w:p>
    <w:p w14:paraId="0388493E" w14:textId="282251FD" w:rsidR="006D6021" w:rsidRPr="008E5B84" w:rsidRDefault="00311339" w:rsidP="007E1034">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La ordenanza mencionada en el apartado anterior se publicará hasta el 31 de diciembre de 2022, por la que se fijará un período transitorio para el cumplimiento de la obligación de marcado de un año como mínimo.</w:t>
      </w:r>
      <w:r>
        <w:rPr>
          <w:sz w:val="24"/>
          <w:rFonts w:ascii="Garamond" w:hAnsi="Garamond"/>
        </w:rPr>
        <w:t xml:space="preserve"> </w:t>
      </w:r>
    </w:p>
    <w:bookmarkEnd w:id="2"/>
    <w:bookmarkEnd w:id="6"/>
    <w:p w14:paraId="2073F806" w14:textId="77777777" w:rsidR="006D6021" w:rsidRPr="008E5B84" w:rsidRDefault="00311339">
      <w:pPr>
        <w:widowControl w:val="0"/>
        <w:spacing w:after="120" w:line="360" w:lineRule="auto"/>
        <w:ind w:left="851" w:right="567" w:hanging="284"/>
        <w:jc w:val="center"/>
        <w:rPr>
          <w:sz w:val="24"/>
          <w:szCs w:val="24"/>
          <w:rFonts w:ascii="Garamond" w:hAnsi="Garamond"/>
        </w:rPr>
      </w:pPr>
      <w:r>
        <w:rPr>
          <w:sz w:val="24"/>
          <w:rFonts w:ascii="Garamond" w:hAnsi="Garamond"/>
        </w:rPr>
        <w:t xml:space="preserve">Artículo 28</w:t>
      </w:r>
    </w:p>
    <w:p w14:paraId="1BFEB45B" w14:textId="255D8B70" w:rsidR="006D6021" w:rsidRPr="008E5B84" w:rsidRDefault="00311339">
      <w:pPr>
        <w:widowControl w:val="0"/>
        <w:spacing w:after="120" w:line="360" w:lineRule="auto"/>
        <w:ind w:left="851" w:right="567" w:hanging="284"/>
        <w:jc w:val="center"/>
        <w:rPr>
          <w:sz w:val="24"/>
          <w:szCs w:val="24"/>
          <w:rFonts w:ascii="Garamond" w:hAnsi="Garamond"/>
        </w:rPr>
      </w:pPr>
      <w:r>
        <w:rPr>
          <w:sz w:val="24"/>
          <w:rFonts w:ascii="Garamond" w:hAnsi="Garamond"/>
        </w:rPr>
        <w:t xml:space="preserve">Marcado de los envases</w:t>
      </w:r>
    </w:p>
    <w:p w14:paraId="1559C70D"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w:t>
      </w:r>
      <w:r>
        <w:rPr>
          <w:sz w:val="24"/>
          <w:i/>
          <w:iCs/>
          <w:rFonts w:ascii="Garamond" w:hAnsi="Garamond"/>
        </w:rPr>
        <w:t xml:space="preserve">Derogado</w:t>
      </w:r>
      <w:r>
        <w:rPr>
          <w:sz w:val="24"/>
          <w:rFonts w:ascii="Garamond" w:hAnsi="Garamond"/>
        </w:rPr>
        <w:t xml:space="preserve">].</w:t>
      </w:r>
      <w:r>
        <w:rPr>
          <w:sz w:val="24"/>
          <w:rFonts w:ascii="Garamond" w:hAnsi="Garamond"/>
        </w:rPr>
        <w:t xml:space="preserve"> </w:t>
      </w:r>
    </w:p>
    <w:p w14:paraId="3035F5D8"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Sin perjuicio de lo dispuesto en el apartado 9, los envases primarios no reutilizables procedentes de otros Estados miembros de la Unión Europea o de terceros países que hayan sido marcados con un símbolo específico en origen podrán comercializarse con dicho símbolo.</w:t>
      </w:r>
      <w:r>
        <w:rPr>
          <w:sz w:val="24"/>
          <w:rFonts w:ascii="Garamond" w:hAnsi="Garamond"/>
        </w:rPr>
        <w:t xml:space="preserve"> </w:t>
      </w:r>
    </w:p>
    <w:p w14:paraId="21253B2F"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Los envases gestionados con arreglo al sistema de depósito contemplado en el artículo 23 C se marcarán con el símbolo definido en una ordenanza que deberá ser aprobada por los miembros del Gobierno competentes en materia económica y medioambiental.</w:t>
      </w:r>
    </w:p>
    <w:p w14:paraId="2C5C3A24"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A fin de facilitar la recogida, reutilización y valorización, incluido el reciclado, los envases indicarán la naturaleza del material o materiales de envasado utilizados, a efectos de su identificación y clasificación por parte de su industria, de acuerdo con el sistema de identificación establecido en la Decisión 97/129/CE de la Comisión, de 28 de enero de 1997, cuyo sistema figura en el anexo IX del presente Decreto-ley y del que forma parte integrante.</w:t>
      </w:r>
    </w:p>
    <w:p w14:paraId="692F362A"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t xml:space="preserve">Con el fin de promover la correcta separación de los residuos y aumentar los niveles y la calidad del reciclado, </w:t>
      </w:r>
      <w:bookmarkStart w:id="7" w:name="_Hlk61624722"/>
      <w:r>
        <w:t xml:space="preserve">los envases reciclables comercializados se marcarán con instrucciones de clasificación adecuadas</w:t>
      </w:r>
      <w:bookmarkEnd w:id="7"/>
      <w:r>
        <w:t xml:space="preserve">, en particular el color del contenedor de reciclado en el que deben depositarse, de conformidad con las condiciones que determine la Ordenanza de los miembros del Gobierno competentes en materia económica y medioambiental.</w:t>
      </w:r>
    </w:p>
    <w:p w14:paraId="533DE736"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El marcado mencionado en el apartado anterior deberá cumplir los siguientes requisitos:</w:t>
      </w:r>
    </w:p>
    <w:p w14:paraId="08DBE96C" w14:textId="77777777" w:rsidR="006D6021" w:rsidRPr="008E5B84" w:rsidRDefault="00311339">
      <w:pPr>
        <w:widowControl w:val="0"/>
        <w:numPr>
          <w:ilvl w:val="0"/>
          <w:numId w:val="5"/>
        </w:numPr>
        <w:spacing w:after="120" w:line="360" w:lineRule="auto"/>
        <w:ind w:left="1418" w:right="567" w:hanging="284"/>
        <w:jc w:val="both"/>
        <w:rPr>
          <w:sz w:val="24"/>
          <w:szCs w:val="24"/>
          <w:rFonts w:ascii="Garamond" w:hAnsi="Garamond"/>
        </w:rPr>
      </w:pPr>
      <w:r>
        <w:rPr>
          <w:sz w:val="24"/>
          <w:rFonts w:ascii="Garamond" w:hAnsi="Garamond"/>
        </w:rPr>
        <w:t xml:space="preserve">Puede presentarse mediante iconografía o texto escrito, o ambos;</w:t>
      </w:r>
    </w:p>
    <w:p w14:paraId="77968FCD" w14:textId="77777777" w:rsidR="006D6021" w:rsidRPr="008E5B84" w:rsidRDefault="00311339">
      <w:pPr>
        <w:widowControl w:val="0"/>
        <w:numPr>
          <w:ilvl w:val="0"/>
          <w:numId w:val="5"/>
        </w:numPr>
        <w:spacing w:after="120" w:line="360" w:lineRule="auto"/>
        <w:ind w:left="1418" w:right="567" w:hanging="284"/>
        <w:jc w:val="both"/>
        <w:rPr>
          <w:sz w:val="24"/>
          <w:szCs w:val="24"/>
          <w:rFonts w:ascii="Garamond" w:hAnsi="Garamond"/>
        </w:rPr>
      </w:pPr>
      <w:r>
        <w:rPr>
          <w:sz w:val="24"/>
          <w:rFonts w:ascii="Garamond" w:hAnsi="Garamond"/>
        </w:rPr>
        <w:t xml:space="preserve">Debe estar impreso de forma visible, legible e indeleble.</w:t>
      </w:r>
    </w:p>
    <w:p w14:paraId="661794D2"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Los envases primarios y los envases secundarios destinados al consumidor estarán sujetos a la obligación de marcado a que se refiere el apartado 5.</w:t>
      </w:r>
    </w:p>
    <w:p w14:paraId="31B5251D"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Los envases cuyo tamaño no permita el marcado conforme al apartado 6 estarán exentos de la obligación mencionada en el apartado 5.</w:t>
      </w:r>
    </w:p>
    <w:p w14:paraId="0D5DA7CC" w14:textId="07B00E1C" w:rsidR="006D6021" w:rsidRPr="008B3D7C"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Con el fin de aclarar la información a los consumidores y promover el correcto transporte de los residuos de envases, se prohibirá la comercialización de envases reciclables y reutilizables marcados con el símbolo de «hombre limpio» a partir de la fecha de entrada en vigor de la obligación establecida en el apartado 5.</w:t>
      </w:r>
    </w:p>
    <w:p w14:paraId="5CFB03EA" w14:textId="77777777" w:rsidR="006D6021" w:rsidRPr="008E5B84" w:rsidRDefault="00311339">
      <w:pPr>
        <w:widowControl w:val="0"/>
        <w:numPr>
          <w:ilvl w:val="0"/>
          <w:numId w:val="4"/>
        </w:numPr>
        <w:spacing w:after="120" w:line="360" w:lineRule="auto"/>
        <w:ind w:right="567"/>
        <w:jc w:val="both"/>
        <w:rPr>
          <w:sz w:val="24"/>
          <w:szCs w:val="24"/>
          <w:rFonts w:ascii="Garamond" w:hAnsi="Garamond"/>
        </w:rPr>
      </w:pPr>
      <w:r>
        <w:rPr>
          <w:sz w:val="24"/>
          <w:rFonts w:ascii="Garamond" w:hAnsi="Garamond"/>
        </w:rPr>
        <w:t xml:space="preserve">La ordenanza a que se refiere el apartado 5 se publicará a más tardar el 31 de diciembre de 2022, y se establecerá un período transitorio para el cumplimiento de la obligación de marcado de un año como mínimo.</w:t>
      </w:r>
      <w:r>
        <w:rPr>
          <w:sz w:val="24"/>
          <w:rFonts w:ascii="Garamond" w:hAnsi="Garamond"/>
        </w:rPr>
        <w:t xml:space="preserve"> </w:t>
      </w:r>
    </w:p>
    <w:p w14:paraId="2B5AE871" w14:textId="77777777" w:rsidR="006D6021" w:rsidRPr="008E5B84" w:rsidRDefault="00311339">
      <w:pPr>
        <w:pStyle w:val="ListParagraph"/>
        <w:widowControl w:val="0"/>
        <w:tabs>
          <w:tab w:val="left" w:pos="567"/>
        </w:tabs>
        <w:spacing w:after="120" w:line="360" w:lineRule="auto"/>
        <w:ind w:left="426"/>
        <w:jc w:val="center"/>
        <w:rPr>
          <w:sz w:val="24"/>
          <w:szCs w:val="24"/>
          <w:rFonts w:ascii="Garamond" w:hAnsi="Garamond"/>
        </w:rPr>
      </w:pPr>
      <w:r>
        <w:rPr>
          <w:sz w:val="24"/>
          <w:rFonts w:ascii="Garamond" w:hAnsi="Garamond"/>
        </w:rPr>
        <w:t xml:space="preserve">Artículo 90</w:t>
      </w:r>
    </w:p>
    <w:p w14:paraId="5993F2D8" w14:textId="679E6390" w:rsidR="006D6021" w:rsidRPr="008E5B84" w:rsidRDefault="00BB1999">
      <w:pPr>
        <w:pStyle w:val="ListParagraph"/>
        <w:widowControl w:val="0"/>
        <w:tabs>
          <w:tab w:val="left" w:pos="567"/>
        </w:tabs>
        <w:spacing w:after="120" w:line="360" w:lineRule="auto"/>
        <w:ind w:left="426"/>
        <w:jc w:val="center"/>
        <w:rPr>
          <w:sz w:val="24"/>
          <w:szCs w:val="24"/>
          <w:rFonts w:ascii="Garamond" w:hAnsi="Garamond"/>
        </w:rPr>
      </w:pPr>
      <w:r>
        <w:rPr>
          <w:sz w:val="24"/>
          <w:rFonts w:ascii="Garamond" w:hAnsi="Garamond"/>
        </w:rPr>
        <w:t xml:space="preserve">[…]</w:t>
      </w:r>
    </w:p>
    <w:p w14:paraId="1BD8205D" w14:textId="1A72943D" w:rsidR="006D6021" w:rsidRPr="008E5B84" w:rsidRDefault="00311339">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1. [...].</w:t>
      </w:r>
    </w:p>
    <w:p w14:paraId="4D5E45BC" w14:textId="264AD440" w:rsidR="006D6021" w:rsidRPr="008E5B84" w:rsidRDefault="00311339">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2. La comisión de los siguientes actos constituirá una infracción administrativa grave, sancionable de conformidad con la legislación sobre infracciones administrativas:</w:t>
      </w:r>
    </w:p>
    <w:p w14:paraId="34A60EBF" w14:textId="26983D8A" w:rsidR="006D6021" w:rsidRDefault="00311339"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91F789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76331E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C058247"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A63D56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2FDC02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BC28BB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177A222"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593CF5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286000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9BC6BC2"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C7EA91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2290F3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C38F47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0064F84"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D256B32"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F8E3AE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E766C4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025FBF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C40613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CDF3C9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B239DF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06F8F9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2E3F6D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E82248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1BFF0E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B8A0F7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A7FDC2A"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62DF6D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C64AB0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D01A8C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3B4721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C8ADFF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6BEABE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BD54DA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10FE05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91F700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61AB74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9F70C98"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5AAF438"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A67C961"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AA5818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A67ED0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FFD8B5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CD7B2B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9EF169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442035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387A0E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535D9BA"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DEE736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FCF525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F97F9A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45242A7"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2D3F49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85AD1E4"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F3308E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3E916B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018C53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153AACC"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1CC34B1"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20E494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91F41D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F2D2B9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2EE4E4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B3E788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6A382E1"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9E0BA6C"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D5C7C0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00FEF1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E55170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162670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7174398"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19079DF" w14:textId="3E22BD35" w:rsidR="006D6021" w:rsidRPr="008E5B84" w:rsidRDefault="00311339"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El ejercicio de la actividad de tratamiento de residuos por parte de operadores que no cumplan los requisitos o normas de cualificación aplicables de conformidad con el artículo 8, apartados 1, 5 y 6;</w:t>
      </w:r>
      <w:r>
        <w:rPr>
          <w:sz w:val="24"/>
          <w:rFonts w:ascii="Garamond" w:hAnsi="Garamond"/>
        </w:rPr>
        <w:t xml:space="preserve"> </w:t>
      </w:r>
    </w:p>
    <w:p w14:paraId="7EA03A99" w14:textId="76D22DF1" w:rsidR="006D6021" w:rsidRPr="008E5B84" w:rsidRDefault="00311339"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Incumplimiento de la obligación de marcar los envases de conformidad con el artículo 23, apartado 11, y el artículo 28, apartado 3.</w:t>
      </w:r>
    </w:p>
    <w:p w14:paraId="63F4F092" w14:textId="77777777" w:rsidR="006D6021" w:rsidRPr="008E5B84" w:rsidRDefault="00311339" w:rsidP="008E5B84">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3. La comisión de los siguientes actos constituirá una infracción administrativa ambiental leve, sancionable de conformidad con la Ley Marco de Infracciones Administrativas Ambientales:</w:t>
      </w:r>
    </w:p>
    <w:p w14:paraId="717D1B1F" w14:textId="6632C3C4" w:rsidR="00AE3FD7" w:rsidRDefault="00311339"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7866387"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6DAF0A6"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84EE665"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5E9A59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F82066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A3C0C2F"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CAC497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88AD3EF"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0F16E2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91B075C"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CF63BAD"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D5C265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3372D1F"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6CAD88E"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EE26E58"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FAFE6A2"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A2FA55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0E63E2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BEAAE8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535C3B7"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AA1FB1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329FF90"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D3E144C"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19D916A"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4E02EE8"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93628B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429CEE4" w14:textId="7C04ACFC" w:rsidR="006D6021" w:rsidRPr="008E5B84" w:rsidRDefault="00311339"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Incumplimiento de la obligación de identificar en el envase el material o los materiales de envasado utilizados de conformidad con el artículo 28, apartado 4;</w:t>
      </w:r>
    </w:p>
    <w:p w14:paraId="52F2A95D" w14:textId="5A6D3D93" w:rsidR="006D6021" w:rsidRPr="008E5B84" w:rsidRDefault="00311339"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El incumplimiento de la obligación de identificar el destino de los envases cuando son reciclables de conformidad con el artículo 28, apartados 5 y 6;</w:t>
      </w:r>
    </w:p>
    <w:p w14:paraId="6D3571B6" w14:textId="2BE01E53" w:rsidR="007C12A7" w:rsidRDefault="00311339"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El uso del símbolo de «hombre limpio» en los envases reciclables y reutilizables infringe lo dispuesto en el artículo 28, apartado 9.</w:t>
      </w:r>
      <w:r>
        <w:rPr>
          <w:sz w:val="24"/>
          <w:rFonts w:ascii="Garamond" w:hAnsi="Garamond"/>
        </w:rPr>
        <w:t xml:space="preserve"> </w:t>
      </w:r>
    </w:p>
    <w:p w14:paraId="7C8C6BB9" w14:textId="1CA7F2E5" w:rsidR="007C12A7" w:rsidRPr="007C12A7" w:rsidRDefault="007C12A7" w:rsidP="007C12A7">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4. </w:t>
      </w:r>
      <w:r>
        <w:rPr>
          <w:sz w:val="24"/>
          <w:rFonts w:ascii="Garamond" w:hAnsi="Garamond"/>
        </w:rPr>
        <w:tab/>
      </w:r>
      <w:r>
        <w:rPr>
          <w:sz w:val="24"/>
          <w:rFonts w:ascii="Garamond" w:hAnsi="Garamond"/>
        </w:rPr>
        <w:t xml:space="preserve">[…].</w:t>
      </w:r>
    </w:p>
    <w:p w14:paraId="320DA334" w14:textId="78F12E10" w:rsidR="007C12A7" w:rsidRPr="007C12A7" w:rsidRDefault="007C12A7" w:rsidP="007C12A7">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5. </w:t>
      </w:r>
      <w:r>
        <w:rPr>
          <w:sz w:val="24"/>
          <w:rFonts w:ascii="Garamond" w:hAnsi="Garamond"/>
        </w:rPr>
        <w:tab/>
      </w:r>
      <w:r>
        <w:rPr>
          <w:sz w:val="24"/>
          <w:rFonts w:ascii="Garamond" w:hAnsi="Garamond"/>
        </w:rPr>
        <w:t xml:space="preserve">[…].</w:t>
      </w:r>
    </w:p>
    <w:p w14:paraId="503ACA32" w14:textId="77777777" w:rsidR="007C12A7" w:rsidRPr="007C12A7" w:rsidRDefault="007C12A7" w:rsidP="007C12A7">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6. </w:t>
      </w:r>
      <w:r>
        <w:rPr>
          <w:sz w:val="24"/>
          <w:rFonts w:ascii="Garamond" w:hAnsi="Garamond"/>
        </w:rPr>
        <w:tab/>
      </w:r>
      <w:r>
        <w:rPr>
          <w:sz w:val="24"/>
          <w:rFonts w:ascii="Garamond" w:hAnsi="Garamond"/>
        </w:rPr>
        <w:t xml:space="preserve">[…].</w:t>
      </w:r>
      <w:r>
        <w:rPr>
          <w:sz w:val="24"/>
          <w:rFonts w:ascii="Garamond" w:hAnsi="Garamond"/>
        </w:rPr>
        <w:t xml:space="preserve"> </w:t>
      </w:r>
    </w:p>
    <w:p w14:paraId="425838E4" w14:textId="5781235B" w:rsidR="006D6021" w:rsidRPr="008E5B84" w:rsidRDefault="007C12A7" w:rsidP="007C12A7">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7. </w:t>
      </w:r>
      <w:r>
        <w:rPr>
          <w:sz w:val="24"/>
          <w:rFonts w:ascii="Garamond" w:hAnsi="Garamond"/>
        </w:rPr>
        <w:tab/>
      </w:r>
      <w:r>
        <w:rPr>
          <w:sz w:val="24"/>
          <w:rFonts w:ascii="Garamond" w:hAnsi="Garamond"/>
        </w:rPr>
        <w:t xml:space="preserve">[…].»</w:t>
      </w:r>
    </w:p>
    <w:p w14:paraId="4D8B5014" w14:textId="77777777" w:rsidR="006D6021" w:rsidRPr="008E5B84" w:rsidRDefault="00311339">
      <w:pPr>
        <w:shd w:val="clear" w:color="auto" w:fill="FFFFFF"/>
        <w:suppressAutoHyphens w:val="0"/>
        <w:spacing w:after="225" w:line="390" w:lineRule="atLeast"/>
        <w:jc w:val="center"/>
        <w:textAlignment w:val="auto"/>
        <w:rPr>
          <w:sz w:val="24"/>
          <w:szCs w:val="24"/>
          <w:rFonts w:ascii="Garamond" w:hAnsi="Garamond"/>
        </w:rPr>
      </w:pPr>
      <w:r>
        <w:rPr>
          <w:sz w:val="24"/>
          <w:rFonts w:ascii="Garamond" w:hAnsi="Garamond"/>
        </w:rPr>
        <w:t xml:space="preserve">Artículo 3</w:t>
      </w:r>
    </w:p>
    <w:p w14:paraId="748BF384" w14:textId="77777777" w:rsidR="006D6021" w:rsidRPr="008E5B84" w:rsidRDefault="00311339">
      <w:pPr>
        <w:shd w:val="clear" w:color="auto" w:fill="FFFFFF"/>
        <w:suppressAutoHyphens w:val="0"/>
        <w:spacing w:after="225" w:line="390" w:lineRule="atLeast"/>
        <w:jc w:val="center"/>
        <w:textAlignment w:val="auto"/>
        <w:rPr>
          <w:sz w:val="24"/>
          <w:szCs w:val="24"/>
          <w:rFonts w:ascii="Garamond" w:hAnsi="Garamond"/>
        </w:rPr>
      </w:pPr>
      <w:r>
        <w:t xml:space="preserve">Adición al </w:t>
      </w:r>
      <w:hyperlink r:id="rId22" w:tooltip="Decreto-ley n.º 152-D/2017" w:history="1">
        <w:r>
          <w:rPr>
            <w:sz w:val="24"/>
            <w:rFonts w:ascii="Garamond" w:hAnsi="Garamond"/>
          </w:rPr>
          <w:t xml:space="preserve">Decreto-ley n.º 152-D/2017</w:t>
        </w:r>
      </w:hyperlink>
      <w:r>
        <w:t xml:space="preserve"> de 11 de diciembre</w:t>
      </w:r>
    </w:p>
    <w:p w14:paraId="380A1081" w14:textId="6C021E2E" w:rsidR="006D6021" w:rsidRPr="008E5B84" w:rsidRDefault="00311339">
      <w:pPr>
        <w:shd w:val="clear" w:color="auto" w:fill="FFFFFF"/>
        <w:suppressAutoHyphens w:val="0"/>
        <w:spacing w:after="225" w:line="390" w:lineRule="atLeast"/>
        <w:jc w:val="both"/>
        <w:textAlignment w:val="auto"/>
        <w:rPr>
          <w:sz w:val="24"/>
          <w:szCs w:val="24"/>
          <w:rFonts w:ascii="Garamond" w:hAnsi="Garamond"/>
        </w:rPr>
      </w:pPr>
      <w:r>
        <w:t xml:space="preserve">El artículo 20-A se añade al </w:t>
      </w:r>
      <w:hyperlink r:id="rId23" w:tooltip="Decreto-ley n.º 152-D/2017" w:history="1">
        <w:r>
          <w:rPr>
            <w:sz w:val="24"/>
            <w:rFonts w:ascii="Garamond" w:hAnsi="Garamond"/>
          </w:rPr>
          <w:t xml:space="preserve">Decreto-ley n.º 152-D/2017</w:t>
        </w:r>
      </w:hyperlink>
      <w:r>
        <w:t xml:space="preserve"> de 11 de diciembre, en su redacción actual, con la siguiente redacción:</w:t>
      </w:r>
    </w:p>
    <w:p w14:paraId="752800F2" w14:textId="77777777" w:rsidR="006D6021" w:rsidRPr="008E5B84" w:rsidRDefault="00311339">
      <w:pPr>
        <w:widowControl w:val="0"/>
        <w:spacing w:after="120" w:line="360" w:lineRule="auto"/>
        <w:jc w:val="center"/>
        <w:rPr>
          <w:sz w:val="24"/>
          <w:szCs w:val="24"/>
          <w:rFonts w:ascii="Garamond" w:hAnsi="Garamond"/>
        </w:rPr>
      </w:pPr>
      <w:r>
        <w:rPr>
          <w:sz w:val="24"/>
          <w:rFonts w:ascii="Garamond" w:hAnsi="Garamond"/>
        </w:rPr>
        <w:t xml:space="preserve">«Artículo 20-A</w:t>
      </w:r>
    </w:p>
    <w:p w14:paraId="1AB94D2F" w14:textId="77777777" w:rsidR="006D6021" w:rsidRPr="008E5B84" w:rsidRDefault="00311339">
      <w:pPr>
        <w:widowControl w:val="0"/>
        <w:spacing w:after="120" w:line="360" w:lineRule="auto"/>
        <w:jc w:val="center"/>
        <w:rPr>
          <w:sz w:val="24"/>
          <w:szCs w:val="24"/>
          <w:rFonts w:ascii="Garamond" w:hAnsi="Garamond"/>
        </w:rPr>
      </w:pPr>
      <w:r>
        <w:rPr>
          <w:sz w:val="24"/>
          <w:rFonts w:ascii="Garamond" w:hAnsi="Garamond"/>
        </w:rPr>
        <w:t xml:space="preserve">Responsabilidad del proveedor intermediario de servicios de red</w:t>
      </w:r>
      <w:r>
        <w:rPr>
          <w:sz w:val="24"/>
          <w:rFonts w:ascii="Garamond" w:hAnsi="Garamond"/>
        </w:rPr>
        <w:t xml:space="preserve"> </w:t>
      </w:r>
    </w:p>
    <w:p w14:paraId="51D2D4EC" w14:textId="77777777" w:rsidR="006D6021" w:rsidRPr="008E5B84" w:rsidRDefault="00311339">
      <w:pPr>
        <w:numPr>
          <w:ilvl w:val="0"/>
          <w:numId w:val="6"/>
        </w:numPr>
        <w:spacing w:after="0" w:line="360" w:lineRule="auto"/>
        <w:ind w:left="993"/>
        <w:jc w:val="both"/>
        <w:rPr>
          <w:sz w:val="24"/>
          <w:szCs w:val="24"/>
          <w:rFonts w:ascii="Garamond" w:hAnsi="Garamond"/>
        </w:rPr>
      </w:pPr>
      <w:r>
        <w:rPr>
          <w:sz w:val="24"/>
          <w:rFonts w:ascii="Garamond" w:hAnsi="Garamond"/>
        </w:rPr>
        <w:t xml:space="preserve">El proveedor intermediario de servicios de comunicación por medios informáticos que no tenga la consideración de productor a los efectos del presente Decreto-Ley, pero que facilite, mediante el uso de una interfaz electrónica como un mercado, una plataforma, un portal o un dispositivo similar, la venta a distancia o la entrega de productos amparados por el principio de responsabilidad ampliada del productor por cuenta de un tercero, solicitará esta información para acreditar el cumplimiento de las obligaciones relativas a:</w:t>
      </w:r>
    </w:p>
    <w:p w14:paraId="203F3B33" w14:textId="77777777" w:rsidR="006D6021" w:rsidRPr="008E5B84" w:rsidRDefault="00311339">
      <w:pPr>
        <w:numPr>
          <w:ilvl w:val="1"/>
          <w:numId w:val="6"/>
        </w:numPr>
        <w:spacing w:after="120" w:line="360" w:lineRule="auto"/>
        <w:ind w:left="1560" w:hanging="284"/>
        <w:jc w:val="both"/>
        <w:rPr>
          <w:sz w:val="24"/>
          <w:szCs w:val="24"/>
          <w:rFonts w:ascii="Garamond" w:hAnsi="Garamond"/>
        </w:rPr>
      </w:pPr>
      <w:r>
        <w:rPr>
          <w:sz w:val="24"/>
          <w:rFonts w:ascii="Garamond" w:hAnsi="Garamond"/>
        </w:rPr>
        <w:t xml:space="preserve">Introducción y presentación anual de datos al SIRER de conformidad con el artículo 19, apartado 1;</w:t>
      </w:r>
    </w:p>
    <w:p w14:paraId="34CEE8B9" w14:textId="77777777" w:rsidR="006D6021" w:rsidRPr="008E5B84" w:rsidRDefault="00311339">
      <w:pPr>
        <w:numPr>
          <w:ilvl w:val="1"/>
          <w:numId w:val="6"/>
        </w:numPr>
        <w:spacing w:after="120" w:line="360" w:lineRule="auto"/>
        <w:ind w:left="1560" w:hanging="284"/>
        <w:jc w:val="both"/>
        <w:rPr>
          <w:sz w:val="24"/>
          <w:szCs w:val="24"/>
          <w:rFonts w:ascii="Garamond" w:hAnsi="Garamond"/>
        </w:rPr>
      </w:pPr>
      <w:r>
        <w:rPr>
          <w:sz w:val="24"/>
          <w:rFonts w:ascii="Garamond" w:hAnsi="Garamond"/>
        </w:rPr>
        <w:t xml:space="preserve">Adopción de uno de los sistemas previstos en el artículo 7, apartado 1, para el tipo o categoría de productos disponibles en la plataforma.</w:t>
      </w:r>
    </w:p>
    <w:p w14:paraId="00C2C8D8" w14:textId="77777777" w:rsidR="006D6021" w:rsidRPr="008E5B84" w:rsidRDefault="00311339">
      <w:pPr>
        <w:numPr>
          <w:ilvl w:val="0"/>
          <w:numId w:val="6"/>
        </w:numPr>
        <w:spacing w:after="0" w:line="360" w:lineRule="auto"/>
        <w:ind w:left="993"/>
        <w:jc w:val="both"/>
        <w:rPr>
          <w:sz w:val="24"/>
          <w:szCs w:val="24"/>
          <w:rFonts w:ascii="Garamond" w:hAnsi="Garamond"/>
        </w:rPr>
      </w:pPr>
      <w:r>
        <w:rPr>
          <w:sz w:val="24"/>
          <w:rFonts w:ascii="Garamond" w:hAnsi="Garamond"/>
        </w:rPr>
        <w:t xml:space="preserve">A efectos del apartado anterior, el proveedor intermediario de servicios de comunicación por medios informáticos exigirá la información de que se trate como requisito previo al registro en la plataforma y a los efectos del procedimiento contractual y, posteriormente, una actualización de dicha información con carácter anual.</w:t>
      </w:r>
    </w:p>
    <w:p w14:paraId="4B9FAC75" w14:textId="77777777" w:rsidR="006D6021" w:rsidRDefault="00311339">
      <w:pPr>
        <w:numPr>
          <w:ilvl w:val="0"/>
          <w:numId w:val="6"/>
        </w:numPr>
        <w:spacing w:after="0" w:line="360" w:lineRule="auto"/>
        <w:ind w:left="993"/>
        <w:jc w:val="both"/>
        <w:rPr>
          <w:sz w:val="24"/>
          <w:szCs w:val="24"/>
          <w:rFonts w:ascii="Garamond" w:hAnsi="Garamond"/>
        </w:rPr>
      </w:pPr>
      <w:r>
        <w:rPr>
          <w:sz w:val="24"/>
          <w:rFonts w:ascii="Garamond" w:hAnsi="Garamond"/>
        </w:rPr>
        <w:t xml:space="preserve">El proveedor intermediario de servicios de comunicación por medios informáticos que facilite, mediante el uso de una interfaz electrónica como un mercado, una plataforma, un portal o un dispositivo similar, la venta a distancia o la entrega de piezas usadas de RAEE y VFV para su reutilización, solicitará al vendedor la información que demuestre el cumplimiento de la obligación de garantizar que las piezas utilizadas proceden de operadores de desmantelamiento autorizados y exigirá, entre otras cosas, información sobre el número del licenciante del operador de desmantelamiento puesta a disposición en la plataforma.»</w:t>
      </w:r>
    </w:p>
    <w:p w14:paraId="41D1684A" w14:textId="77777777" w:rsidR="00E262CE" w:rsidRPr="008E5B84" w:rsidRDefault="00E262CE" w:rsidP="002E3B2F">
      <w:pPr>
        <w:spacing w:after="0" w:line="360" w:lineRule="auto"/>
        <w:ind w:left="993"/>
        <w:jc w:val="both"/>
        <w:rPr>
          <w:rFonts w:ascii="Garamond" w:hAnsi="Garamond"/>
          <w:sz w:val="24"/>
          <w:szCs w:val="24"/>
        </w:rPr>
      </w:pPr>
    </w:p>
    <w:p w14:paraId="6416550A" w14:textId="77777777" w:rsidR="006D6021" w:rsidRPr="008E5B84" w:rsidRDefault="00311339">
      <w:pPr>
        <w:widowControl w:val="0"/>
        <w:tabs>
          <w:tab w:val="left" w:pos="142"/>
        </w:tabs>
        <w:spacing w:after="120" w:line="360" w:lineRule="auto"/>
        <w:jc w:val="center"/>
        <w:rPr>
          <w:sz w:val="24"/>
          <w:szCs w:val="24"/>
          <w:rFonts w:ascii="Garamond" w:eastAsia="Times New Roman" w:hAnsi="Garamond" w:cs="Calibri Light"/>
        </w:rPr>
      </w:pPr>
      <w:r>
        <w:rPr>
          <w:sz w:val="24"/>
          <w:rFonts w:ascii="Garamond" w:hAnsi="Garamond"/>
        </w:rPr>
        <w:t xml:space="preserve">Artículo 4</w:t>
      </w:r>
    </w:p>
    <w:p w14:paraId="47C9561F" w14:textId="77777777" w:rsidR="006D6021" w:rsidRPr="008E5B84" w:rsidRDefault="00311339">
      <w:pPr>
        <w:widowControl w:val="0"/>
        <w:tabs>
          <w:tab w:val="left" w:pos="142"/>
        </w:tabs>
        <w:spacing w:after="120" w:line="360" w:lineRule="auto"/>
        <w:jc w:val="center"/>
        <w:rPr>
          <w:sz w:val="24"/>
          <w:szCs w:val="24"/>
          <w:rFonts w:ascii="Garamond" w:eastAsia="Times New Roman" w:hAnsi="Garamond" w:cs="Calibri Light"/>
        </w:rPr>
      </w:pPr>
      <w:r>
        <w:rPr>
          <w:sz w:val="24"/>
          <w:rFonts w:ascii="Garamond" w:hAnsi="Garamond"/>
        </w:rPr>
        <w:t xml:space="preserve">Disposiciones transitorias</w:t>
      </w:r>
      <w:r>
        <w:rPr>
          <w:sz w:val="24"/>
          <w:rFonts w:ascii="Garamond" w:hAnsi="Garamond"/>
        </w:rPr>
        <w:t xml:space="preserve"> </w:t>
      </w:r>
    </w:p>
    <w:p w14:paraId="11F9B5E9" w14:textId="77777777" w:rsidR="006D6021" w:rsidRPr="008E5B84" w:rsidRDefault="00311339" w:rsidP="008E5B84">
      <w:pPr>
        <w:pStyle w:val="ListParagraph"/>
        <w:widowControl w:val="0"/>
        <w:numPr>
          <w:ilvl w:val="0"/>
          <w:numId w:val="7"/>
        </w:numPr>
        <w:spacing w:after="120" w:line="360" w:lineRule="auto"/>
        <w:ind w:left="993" w:hanging="709"/>
        <w:jc w:val="both"/>
        <w:rPr>
          <w:sz w:val="24"/>
          <w:szCs w:val="24"/>
          <w:rFonts w:ascii="Garamond" w:hAnsi="Garamond"/>
        </w:rPr>
      </w:pPr>
      <w:r>
        <w:rPr>
          <w:sz w:val="24"/>
          <w:rFonts w:ascii="Garamond" w:hAnsi="Garamond"/>
        </w:rPr>
        <w:t xml:space="preserve">Las disposiciones del artículo 8, apartado 5, del Decreto-ley n.º 152-D/2017, de 11 de diciembre, modificadas por el presente Decreto-ley, se aplicarán un año después de la entrada en vigor del presente Decreto-ley.</w:t>
      </w:r>
      <w:r>
        <w:rPr>
          <w:sz w:val="24"/>
          <w:rFonts w:ascii="Garamond" w:hAnsi="Garamond"/>
        </w:rPr>
        <w:t xml:space="preserve"> </w:t>
      </w:r>
    </w:p>
    <w:p w14:paraId="33C46C89" w14:textId="77777777" w:rsidR="006D6021" w:rsidRPr="008E5B84" w:rsidRDefault="00311339" w:rsidP="008E5B84">
      <w:pPr>
        <w:pStyle w:val="ListParagraph"/>
        <w:widowControl w:val="0"/>
        <w:numPr>
          <w:ilvl w:val="0"/>
          <w:numId w:val="7"/>
        </w:numPr>
        <w:spacing w:after="120" w:line="360" w:lineRule="auto"/>
        <w:ind w:left="993" w:hanging="710"/>
        <w:jc w:val="both"/>
        <w:rPr>
          <w:sz w:val="24"/>
          <w:szCs w:val="24"/>
          <w:rFonts w:ascii="Garamond" w:hAnsi="Garamond"/>
        </w:rPr>
      </w:pPr>
      <w:r>
        <w:rPr>
          <w:sz w:val="24"/>
          <w:rFonts w:ascii="Garamond" w:hAnsi="Garamond"/>
        </w:rPr>
        <w:t xml:space="preserve">Las disposiciones del artículo 8, apartado 6, del Decreto-ley n.º 152-D/2017, de 11 de diciembre, modificadas por el presente Decreto-ley, se aplicarán dos años después de la entrada en vigor del presente Decreto-ley.</w:t>
      </w:r>
    </w:p>
    <w:p w14:paraId="118482CA" w14:textId="77777777" w:rsidR="006D6021" w:rsidRPr="008E5B84" w:rsidRDefault="00311339" w:rsidP="008E5B84">
      <w:pPr>
        <w:pStyle w:val="ListParagraph"/>
        <w:widowControl w:val="0"/>
        <w:numPr>
          <w:ilvl w:val="0"/>
          <w:numId w:val="7"/>
        </w:numPr>
        <w:spacing w:after="120" w:line="360" w:lineRule="auto"/>
        <w:ind w:left="993" w:hanging="710"/>
        <w:jc w:val="both"/>
        <w:rPr>
          <w:sz w:val="24"/>
          <w:szCs w:val="24"/>
          <w:rFonts w:ascii="Garamond" w:hAnsi="Garamond"/>
        </w:rPr>
      </w:pPr>
      <w:r>
        <w:rPr>
          <w:sz w:val="24"/>
          <w:rFonts w:ascii="Garamond" w:hAnsi="Garamond"/>
        </w:rPr>
        <w:t xml:space="preserve">El primer año de cumplimiento de la obligación establecida en el artículo 8, apartado 8, del Decreto-ley n.º 152-D/2017, de 11 de diciembre, modificado por el presente Decreto-ley, será el año 2022, en relación con el año 2021, sin perjuicio de lo dispuesto en el apartado 9 de dicho artículo, y siempre que existan, a esa fecha, verificadores cualificados.</w:t>
      </w:r>
    </w:p>
    <w:p w14:paraId="239A29A5" w14:textId="77777777" w:rsidR="006D6021" w:rsidRPr="008E5B84" w:rsidRDefault="00311339" w:rsidP="008E5B84">
      <w:pPr>
        <w:pStyle w:val="ListParagraph"/>
        <w:widowControl w:val="0"/>
        <w:numPr>
          <w:ilvl w:val="0"/>
          <w:numId w:val="7"/>
        </w:numPr>
        <w:spacing w:after="120" w:line="360" w:lineRule="auto"/>
        <w:ind w:left="993" w:hanging="710"/>
        <w:jc w:val="both"/>
        <w:rPr>
          <w:sz w:val="24"/>
          <w:szCs w:val="24"/>
          <w:rFonts w:ascii="Garamond" w:hAnsi="Garamond"/>
        </w:rPr>
      </w:pPr>
      <w:r>
        <w:rPr>
          <w:sz w:val="24"/>
          <w:rFonts w:ascii="Garamond" w:hAnsi="Garamond"/>
        </w:rPr>
        <w:t xml:space="preserve">Las disposiciones del artículo 28, apartado 4, del Decreto-ley n.º 152-D/2017, de 11 de diciembre, modificadas por el presente Decreto-ley, se aplicarán dos años después de la entrada en vigor del presente Decreto-ley.</w:t>
      </w:r>
    </w:p>
    <w:p w14:paraId="561C5A3C" w14:textId="77777777" w:rsidR="00FA19BE" w:rsidRDefault="00FA19BE">
      <w:pPr>
        <w:jc w:val="center"/>
        <w:rPr>
          <w:rFonts w:ascii="Garamond" w:hAnsi="Garamond"/>
          <w:sz w:val="24"/>
          <w:szCs w:val="24"/>
        </w:rPr>
      </w:pPr>
    </w:p>
    <w:p w14:paraId="3AA09853" w14:textId="77777777" w:rsidR="00FA19BE" w:rsidRPr="008E5B84" w:rsidRDefault="00FA19BE" w:rsidP="00FA19BE">
      <w:pPr>
        <w:jc w:val="center"/>
        <w:rPr>
          <w:sz w:val="24"/>
          <w:szCs w:val="24"/>
          <w:rFonts w:ascii="Garamond" w:hAnsi="Garamond"/>
        </w:rPr>
      </w:pPr>
      <w:r>
        <w:rPr>
          <w:sz w:val="24"/>
          <w:rFonts w:ascii="Garamond" w:hAnsi="Garamond"/>
        </w:rPr>
        <w:t xml:space="preserve">Artículo 5</w:t>
      </w:r>
    </w:p>
    <w:p w14:paraId="3E008870" w14:textId="2B7749B8" w:rsidR="00FA19BE" w:rsidRPr="008E5B84" w:rsidRDefault="00FA19BE" w:rsidP="00FA19BE">
      <w:pPr>
        <w:jc w:val="center"/>
        <w:rPr>
          <w:sz w:val="24"/>
          <w:szCs w:val="24"/>
          <w:rFonts w:ascii="Garamond" w:hAnsi="Garamond"/>
        </w:rPr>
      </w:pPr>
      <w:r>
        <w:rPr>
          <w:sz w:val="24"/>
          <w:rFonts w:ascii="Garamond" w:hAnsi="Garamond"/>
        </w:rPr>
        <w:t xml:space="preserve">Derogación</w:t>
      </w:r>
    </w:p>
    <w:p w14:paraId="357EF3D3" w14:textId="36BD9C91" w:rsidR="00FA19BE" w:rsidRPr="008E5B84" w:rsidRDefault="00FA19BE" w:rsidP="00FA19BE">
      <w:pPr>
        <w:shd w:val="clear" w:color="auto" w:fill="FFFFFF"/>
        <w:suppressAutoHyphens w:val="0"/>
        <w:spacing w:after="225" w:line="390" w:lineRule="atLeast"/>
        <w:jc w:val="both"/>
        <w:textAlignment w:val="auto"/>
        <w:rPr>
          <w:sz w:val="24"/>
          <w:szCs w:val="24"/>
          <w:rFonts w:ascii="Garamond" w:hAnsi="Garamond"/>
        </w:rPr>
      </w:pPr>
      <w:r>
        <w:rPr>
          <w:sz w:val="24"/>
          <w:rFonts w:ascii="Garamond" w:hAnsi="Garamond"/>
        </w:rPr>
        <w:t xml:space="preserve">Queda derogado el apartado 1 del artículo 28 del Decreto-ley n.º 152-D/2017, de 11 de diciembre, modificado por la Ley no 69/2018, de 26 de diciembre, y la Ley 41/2019, de 21 de junio, por el Decreto-ley n.º 86/2020, de 14 de octubre, y modificado y reeditado por el Decreto-ley n.º 102-D/2020, de 10 de diciembre.</w:t>
      </w:r>
      <w:r>
        <w:rPr>
          <w:sz w:val="24"/>
          <w:rFonts w:ascii="Garamond" w:hAnsi="Garamond"/>
        </w:rPr>
        <w:t xml:space="preserve"> </w:t>
      </w:r>
    </w:p>
    <w:p w14:paraId="18BEA12B" w14:textId="77777777" w:rsidR="00FA19BE" w:rsidRDefault="00FA19BE">
      <w:pPr>
        <w:jc w:val="center"/>
        <w:rPr>
          <w:rFonts w:ascii="Garamond" w:hAnsi="Garamond"/>
          <w:sz w:val="24"/>
          <w:szCs w:val="24"/>
        </w:rPr>
      </w:pPr>
    </w:p>
    <w:p w14:paraId="2595911C" w14:textId="07A0F7C4" w:rsidR="006D6021" w:rsidRPr="008E5B84" w:rsidRDefault="00311339">
      <w:pPr>
        <w:jc w:val="center"/>
        <w:rPr>
          <w:sz w:val="24"/>
          <w:szCs w:val="24"/>
          <w:rFonts w:ascii="Garamond" w:hAnsi="Garamond"/>
        </w:rPr>
      </w:pPr>
      <w:r>
        <w:rPr>
          <w:sz w:val="24"/>
          <w:rFonts w:ascii="Garamond" w:hAnsi="Garamond"/>
        </w:rPr>
        <w:t xml:space="preserve">Artículo 6</w:t>
      </w:r>
    </w:p>
    <w:p w14:paraId="75EC9DA9" w14:textId="77777777" w:rsidR="006D6021" w:rsidRPr="008E5B84" w:rsidRDefault="00311339">
      <w:pPr>
        <w:jc w:val="center"/>
        <w:rPr>
          <w:sz w:val="24"/>
          <w:szCs w:val="24"/>
          <w:rFonts w:ascii="Garamond" w:hAnsi="Garamond"/>
        </w:rPr>
      </w:pPr>
      <w:r>
        <w:rPr>
          <w:sz w:val="24"/>
          <w:rFonts w:ascii="Garamond" w:hAnsi="Garamond"/>
        </w:rPr>
        <w:t xml:space="preserve">Entrada en vigor</w:t>
      </w:r>
    </w:p>
    <w:p w14:paraId="116948F8" w14:textId="77777777" w:rsidR="006D6021" w:rsidRPr="008E5B84" w:rsidRDefault="00311339" w:rsidP="008E5B84">
      <w:pPr>
        <w:shd w:val="clear" w:color="auto" w:fill="FFFFFF"/>
        <w:suppressAutoHyphens w:val="0"/>
        <w:spacing w:after="225" w:line="390" w:lineRule="atLeast"/>
        <w:jc w:val="both"/>
        <w:textAlignment w:val="auto"/>
        <w:rPr>
          <w:sz w:val="24"/>
          <w:szCs w:val="24"/>
          <w:rFonts w:ascii="Garamond" w:hAnsi="Garamond"/>
        </w:rPr>
      </w:pPr>
      <w:r>
        <w:rPr>
          <w:sz w:val="24"/>
          <w:rFonts w:ascii="Garamond" w:hAnsi="Garamond"/>
        </w:rPr>
        <w:t xml:space="preserve">El presente Decreto-Ley entrará en vigor al día siguiente de su publicación.</w:t>
      </w:r>
      <w:r>
        <w:rPr>
          <w:sz w:val="24"/>
          <w:rFonts w:ascii="Garamond" w:hAnsi="Garamond"/>
        </w:rPr>
        <w:t xml:space="preserve"> </w:t>
      </w:r>
    </w:p>
    <w:sectPr w:rsidR="006D6021" w:rsidRPr="008E5B84">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5514C" w14:textId="77777777" w:rsidR="00071555" w:rsidRDefault="00071555">
      <w:pPr>
        <w:spacing w:after="0"/>
      </w:pPr>
      <w:r>
        <w:separator/>
      </w:r>
    </w:p>
  </w:endnote>
  <w:endnote w:type="continuationSeparator" w:id="0">
    <w:p w14:paraId="3A09787D" w14:textId="77777777" w:rsidR="00071555" w:rsidRDefault="000715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3DC03" w14:textId="77777777" w:rsidR="00071555" w:rsidRDefault="00071555">
      <w:pPr>
        <w:spacing w:after="0"/>
      </w:pPr>
      <w:r>
        <w:rPr>
          <w:color w:val="000000"/>
        </w:rPr>
        <w:separator/>
      </w:r>
    </w:p>
  </w:footnote>
  <w:footnote w:type="continuationSeparator" w:id="0">
    <w:p w14:paraId="66F4E6EC" w14:textId="77777777" w:rsidR="00071555" w:rsidRDefault="000715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13657"/>
    <w:multiLevelType w:val="multilevel"/>
    <w:tmpl w:val="D05AC05A"/>
    <w:lvl w:ilvl="0">
      <w:start w:val="6"/>
      <w:numFmt w:val="decimal"/>
      <w:lvlText w:val="%1 -"/>
      <w:lvlJc w:val="left"/>
      <w:pPr>
        <w:ind w:left="100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97B0D"/>
    <w:multiLevelType w:val="hybridMultilevel"/>
    <w:tmpl w:val="80DE6CC4"/>
    <w:lvl w:ilvl="0" w:tplc="1800124C">
      <w:start w:val="1"/>
      <w:numFmt w:val="lowerLetter"/>
      <w:lvlText w:val="%1)"/>
      <w:lvlJc w:val="left"/>
      <w:pPr>
        <w:ind w:left="786" w:hanging="360"/>
      </w:pPr>
      <w:rPr>
        <w:rFonts w:hint="default"/>
        <w:i/>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2" w15:restartNumberingAfterBreak="0">
    <w:nsid w:val="0F392368"/>
    <w:multiLevelType w:val="multilevel"/>
    <w:tmpl w:val="F1BEC4E6"/>
    <w:lvl w:ilvl="0">
      <w:start w:val="1"/>
      <w:numFmt w:val="lowerLetter"/>
      <w:lvlText w:val="%1)"/>
      <w:lvlJc w:val="left"/>
      <w:pPr>
        <w:ind w:left="644" w:hanging="360"/>
      </w:pPr>
      <w:rPr>
        <w:i/>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33CE25F0"/>
    <w:multiLevelType w:val="multilevel"/>
    <w:tmpl w:val="45E6EE42"/>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41AC33B5"/>
    <w:multiLevelType w:val="multilevel"/>
    <w:tmpl w:val="D7103C30"/>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42DF1C07"/>
    <w:multiLevelType w:val="multilevel"/>
    <w:tmpl w:val="E982D0B8"/>
    <w:lvl w:ilvl="0">
      <w:start w:val="1"/>
      <w:numFmt w:val="decimal"/>
      <w:lvlText w:val="%1 - "/>
      <w:lvlJc w:val="right"/>
      <w:pPr>
        <w:ind w:left="720" w:hanging="360"/>
      </w:pPr>
    </w:lvl>
    <w:lvl w:ilvl="1">
      <w:start w:val="1"/>
      <w:numFmt w:val="lowerLetter"/>
      <w:lvlText w:val="%2)"/>
      <w:lvlJc w:val="left"/>
      <w:pPr>
        <w:ind w:left="1440" w:hanging="360"/>
      </w:pPr>
      <w:rPr>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7E471E"/>
    <w:multiLevelType w:val="multilevel"/>
    <w:tmpl w:val="30E8A17C"/>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75F63389"/>
    <w:multiLevelType w:val="multilevel"/>
    <w:tmpl w:val="BC00FD0C"/>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7DC659A2"/>
    <w:multiLevelType w:val="hybridMultilevel"/>
    <w:tmpl w:val="80DE6CC4"/>
    <w:lvl w:ilvl="0" w:tplc="1800124C">
      <w:start w:val="1"/>
      <w:numFmt w:val="lowerLetter"/>
      <w:lvlText w:val="%1)"/>
      <w:lvlJc w:val="left"/>
      <w:pPr>
        <w:ind w:left="786" w:hanging="360"/>
      </w:pPr>
      <w:rPr>
        <w:rFonts w:hint="default"/>
        <w:i/>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num w:numId="1">
    <w:abstractNumId w:val="4"/>
  </w:num>
  <w:num w:numId="2">
    <w:abstractNumId w:val="0"/>
  </w:num>
  <w:num w:numId="3">
    <w:abstractNumId w:val="3"/>
  </w:num>
  <w:num w:numId="4">
    <w:abstractNumId w:val="6"/>
  </w:num>
  <w:num w:numId="5">
    <w:abstractNumId w:val="2"/>
  </w:num>
  <w:num w:numId="6">
    <w:abstractNumId w:val="5"/>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dirty" w:grammar="dirty"/>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021"/>
    <w:rsid w:val="00071555"/>
    <w:rsid w:val="00166DDB"/>
    <w:rsid w:val="001C005C"/>
    <w:rsid w:val="00221984"/>
    <w:rsid w:val="002E3B2F"/>
    <w:rsid w:val="00311339"/>
    <w:rsid w:val="00381105"/>
    <w:rsid w:val="00401FF0"/>
    <w:rsid w:val="005370FE"/>
    <w:rsid w:val="00595413"/>
    <w:rsid w:val="005E437A"/>
    <w:rsid w:val="006D6021"/>
    <w:rsid w:val="00774954"/>
    <w:rsid w:val="007C12A7"/>
    <w:rsid w:val="007E1034"/>
    <w:rsid w:val="00815E10"/>
    <w:rsid w:val="008518A0"/>
    <w:rsid w:val="008600E0"/>
    <w:rsid w:val="008B3D7C"/>
    <w:rsid w:val="008E5B84"/>
    <w:rsid w:val="00913675"/>
    <w:rsid w:val="009207B5"/>
    <w:rsid w:val="009C3B2B"/>
    <w:rsid w:val="00A14A5D"/>
    <w:rsid w:val="00AB6977"/>
    <w:rsid w:val="00AC1D9E"/>
    <w:rsid w:val="00AE3FD7"/>
    <w:rsid w:val="00BB1999"/>
    <w:rsid w:val="00BC4ADA"/>
    <w:rsid w:val="00BD1E18"/>
    <w:rsid w:val="00C57444"/>
    <w:rsid w:val="00CD351B"/>
    <w:rsid w:val="00DB12E4"/>
    <w:rsid w:val="00E262CE"/>
    <w:rsid w:val="00E94D66"/>
    <w:rsid w:val="00FA19BE"/>
    <w:rsid w:val="00FB0FBD"/>
    <w:rsid w:val="00FB3CFA"/>
    <w:rsid w:val="00FD444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FEA0"/>
  <w15:docId w15:val="{CB9A8596-23B0-4A3D-8DE0-4AA2AE32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s-E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4">
    <w:name w:val="Título 4"/>
    <w:basedOn w:val="Normal"/>
    <w:next w:val="Normal"/>
    <w:pPr>
      <w:ind w:firstLine="284"/>
      <w:jc w:val="center"/>
      <w:outlineLvl w:val="3"/>
    </w:pPr>
    <w:rPr>
      <w:rFonts w:ascii="Times New Roman" w:hAnsi="Times New Roman"/>
      <w:sz w:val="20"/>
    </w:rPr>
  </w:style>
  <w:style w:type="character" w:customStyle="1" w:styleId="Ttulo4Carter">
    <w:name w:val="Título 4 Caráter"/>
    <w:basedOn w:val="DefaultParagraphFont"/>
    <w:rPr>
      <w:rFonts w:ascii="Times New Roman" w:hAnsi="Times New Roman" w:cs="Times New Roman"/>
      <w:sz w:val="20"/>
    </w:rPr>
  </w:style>
  <w:style w:type="paragraph" w:styleId="ListParagraph">
    <w:name w:val="List Paragraph"/>
    <w:basedOn w:val="Normal"/>
    <w:pPr>
      <w:ind w:left="720"/>
    </w:pPr>
  </w:style>
  <w:style w:type="character" w:customStyle="1" w:styleId="PargrafodaListaCarter">
    <w:name w:val="Parágrafo da Lista Caráter"/>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TextodebaloCarter">
    <w:name w:val="Texto de balão Caráter"/>
    <w:basedOn w:val="DefaultParagraphFont"/>
    <w:rPr>
      <w:rFonts w:ascii="Segoe U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TextodecomentrioCarter">
    <w:name w:val="Texto de comentário Caráter"/>
    <w:basedOn w:val="DefaultParagraphFont"/>
    <w:rPr>
      <w:sz w:val="20"/>
      <w:szCs w:val="20"/>
    </w:rPr>
  </w:style>
  <w:style w:type="paragraph" w:styleId="CommentSubject">
    <w:name w:val="annotation subject"/>
    <w:basedOn w:val="CommentText"/>
    <w:next w:val="CommentText"/>
    <w:rPr>
      <w:b/>
      <w:bCs/>
    </w:rPr>
  </w:style>
  <w:style w:type="character" w:customStyle="1" w:styleId="AssuntodecomentrioCarter">
    <w:name w:val="Assunto de comentário Caráter"/>
    <w:basedOn w:val="TextodecomentrioCarter"/>
    <w:rPr>
      <w:b/>
      <w:bCs/>
      <w:sz w:val="20"/>
      <w:szCs w:val="20"/>
    </w:rPr>
  </w:style>
  <w:style w:type="character" w:styleId="Hyperlink">
    <w:name w:val="Hyperlink"/>
    <w:basedOn w:val="DefaultParagraphFont"/>
    <w:rPr>
      <w:color w:val="0563C1"/>
      <w:u w:val="single"/>
    </w:rPr>
  </w:style>
  <w:style w:type="character" w:customStyle="1" w:styleId="MenoNoResolvida">
    <w:name w:val="Menção Não Resolvida"/>
    <w:basedOn w:val="DefaultParagraphFont"/>
    <w:rPr>
      <w:color w:val="605E5C"/>
      <w:shd w:val="clear" w:color="auto" w:fill="E1DFDD"/>
    </w:rPr>
  </w:style>
  <w:style w:type="paragraph" w:customStyle="1" w:styleId="Default">
    <w:name w:val="Default"/>
    <w:pPr>
      <w:autoSpaceDE w:val="0"/>
      <w:spacing w:after="0"/>
      <w:textAlignment w:val="auto"/>
    </w:pPr>
    <w:rPr>
      <w:rFonts w:cs="Calibri"/>
      <w:color w:val="000000"/>
      <w:sz w:val="24"/>
      <w:szCs w:val="24"/>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 standalone="yes"?>
<Relationships xmlns="http://schemas.openxmlformats.org/package/2006/relationships"><Relationship Id="rId8" Type="http://schemas.openxmlformats.org/officeDocument/2006/relationships/hyperlink" Target="https://dre.pt/web/guest/pesquisa/-/search/114337042/details/normal?l=1" TargetMode="External"/><Relationship Id="rId13" Type="http://schemas.openxmlformats.org/officeDocument/2006/relationships/hyperlink" Target="https://eur-lex.europa.eu/legal-content/ES/TXT/?uri=CELEX%3A32012L0019" TargetMode="External"/><Relationship Id="rId18" Type="http://schemas.openxmlformats.org/officeDocument/2006/relationships/hyperlink" Target="https://dre.pt/web/guest/pesquisa/-/search/117484671/details/normal?l=1" TargetMode="External"/><Relationship Id="rId3" Type="http://schemas.openxmlformats.org/officeDocument/2006/relationships/styles" Target="styles.xml"/><Relationship Id="rId21" Type="http://schemas.openxmlformats.org/officeDocument/2006/relationships/hyperlink" Target="https://dre.pt/web/guest/pesquisa/-/search/114337042/details/normal?l=1" TargetMode="External"/><Relationship Id="rId7" Type="http://schemas.openxmlformats.org/officeDocument/2006/relationships/endnotes" Target="endnotes.xml"/><Relationship Id="rId12" Type="http://schemas.openxmlformats.org/officeDocument/2006/relationships/hyperlink" Target="https://eur-lex.europa.eu/legal-content/ES/TXT/?uri=CELEX%3A32006L0066" TargetMode="External"/><Relationship Id="rId17" Type="http://schemas.openxmlformats.org/officeDocument/2006/relationships/hyperlink" Target="https://dre.pt/web/guest/pesquisa/-/search/114337042/details/normal?l=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e.pt/web/guest/pesquisa/-/search/114337042/details/normal?l=1" TargetMode="External"/><Relationship Id="rId20" Type="http://schemas.openxmlformats.org/officeDocument/2006/relationships/hyperlink" Target="https://dre.pt/web/guest/pesquisa/-/search/145359680/details/normal?l=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S/TXT/?uri=CELEX%3A32000L005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ur-lex.europa.eu/legal-content/ES/TXT/?uri=CELEX%3A32015L1535" TargetMode="External"/><Relationship Id="rId23" Type="http://schemas.openxmlformats.org/officeDocument/2006/relationships/hyperlink" Target="https://dre.pt/web/guest/pesquisa/-/search/114337042/details/normal?l=1" TargetMode="External"/><Relationship Id="rId10" Type="http://schemas.openxmlformats.org/officeDocument/2006/relationships/hyperlink" Target="https://eur-lex.europa.eu/legal-content/ES/TXT/?uri=CELEX%3A32018L0852" TargetMode="External"/><Relationship Id="rId19" Type="http://schemas.openxmlformats.org/officeDocument/2006/relationships/hyperlink" Target="https://dre.pt/web/guest/pesquisa/-/search/122627506/details/normal?l=1" TargetMode="External"/><Relationship Id="rId4" Type="http://schemas.openxmlformats.org/officeDocument/2006/relationships/settings" Target="settings.xml"/><Relationship Id="rId9" Type="http://schemas.openxmlformats.org/officeDocument/2006/relationships/hyperlink" Target="https://eur-lex.europa.eu/legal-content/ES/TXT/?uri=CELEX%3A31994L0062" TargetMode="External"/><Relationship Id="rId14" Type="http://schemas.openxmlformats.org/officeDocument/2006/relationships/hyperlink" Target="https://eur-lex.europa.eu/legal-content/ES/TXT/?uri=CELEX%3A32018L0849" TargetMode="External"/><Relationship Id="rId22" Type="http://schemas.openxmlformats.org/officeDocument/2006/relationships/hyperlink" Target="https://dre.pt/web/guest/pesquisa/-/search/114337042/details/normal?l=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50415-889B-4084-922C-B491886F8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12</Pages>
  <Words>2233</Words>
  <Characters>12730</Characters>
  <Application>Microsoft Office Word</Application>
  <DocSecurity>0</DocSecurity>
  <Lines>106</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GSEAMB</dc:creator>
  <dc:description/>
  <cp:lastModifiedBy>Dimitris</cp:lastModifiedBy>
  <cp:revision>10</cp:revision>
  <dcterms:created xsi:type="dcterms:W3CDTF">2021-02-18T16:42:00Z</dcterms:created>
  <dcterms:modified xsi:type="dcterms:W3CDTF">2021-03-01T14:11:00Z</dcterms:modified>
</cp:coreProperties>
</file>