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Zakonodajni predlog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Predpisi švedske Agencije za kemikalije (KIFS 2017:7) o kemičnih proizvodih in biotehnoloških organizmih</w:t>
      </w:r>
    </w:p>
    <w:p w14:paraId="7AFDF2AB" w14:textId="7BEF76B0" w:rsidR="009F020D" w:rsidRDefault="009F020D" w:rsidP="009F020D">
      <w:r>
        <w:t xml:space="preserve">Poglavje 4</w:t>
      </w:r>
      <w:r>
        <w:t xml:space="preserve"> </w:t>
      </w:r>
    </w:p>
    <w:p w14:paraId="794D3BB0" w14:textId="540B037C" w:rsidR="009F020D" w:rsidRDefault="009F020D" w:rsidP="009F020D">
      <w:r>
        <w:t xml:space="preserve">Oddelek 3. Določbe oddelkov 7 in 9–14 Odloka (2008:245) se ne uporabljajo za natrijev hidroksid in kalijev hidroksid kot snov ali v zmeseh.</w:t>
      </w:r>
      <w:r>
        <w:t xml:space="preserve"> </w:t>
      </w:r>
      <w:r>
        <w:t xml:space="preserve">Določbe se prav tako ne uporabljajo za eksploziva, kurilna olja in goriva, namenjena za delovanje motorja.</w:t>
      </w:r>
      <w:r>
        <w:t xml:space="preserve">  </w:t>
      </w:r>
    </w:p>
    <w:p w14:paraId="22F7CF4B" w14:textId="77777777" w:rsidR="009F020D" w:rsidRDefault="009F020D" w:rsidP="009F020D">
      <w:r>
        <w:t xml:space="preserve">Oddelek 3a. Z odstopanjem od oddelka 3 pa je dovoljenje potrebno: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–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za ravnanje z natrijevim hidroksidom in kalijevim hidroksidom kot snovjo ali v zmeseh, namenjenih odmaševanju ali čiščenju odtokov, ki ni strokovno v skladu z oddelkom 7(1) Odloka (2008:245).</w:t>
      </w:r>
      <w:r>
        <w:t xml:space="preserve"> </w:t>
      </w:r>
      <w:r>
        <w:t xml:space="preserve">Za zgoraj navedene proizvode se uporabljajo tudi določbe oddelka 9(2) Odloka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