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A66A" w14:textId="77777777" w:rsidR="00221B1A" w:rsidRDefault="00E123F5">
      <w:pPr>
        <w:pStyle w:val="zamik"/>
        <w:pBdr>
          <w:top w:val="none" w:sz="0" w:space="24" w:color="auto"/>
        </w:pBdr>
        <w:spacing w:after="210"/>
        <w:jc w:val="both"/>
        <w:rPr>
          <w:rFonts w:ascii="Arial" w:eastAsia="Arial" w:hAnsi="Arial" w:cs="Arial"/>
          <w:sz w:val="21"/>
          <w:szCs w:val="21"/>
        </w:rPr>
      </w:pPr>
      <w:r>
        <w:rPr>
          <w:rFonts w:ascii="Arial" w:hAnsi="Arial"/>
          <w:sz w:val="21"/>
        </w:rPr>
        <w:t>În temeiul articolului 9 alineatele (1) și (5), al articolului 11 alineatul (5) și pentru punerea în aplicare a articolului 12 din Legea privind metrologia (Monitorul Oficial al Republicii Slovenia [</w:t>
      </w:r>
      <w:r>
        <w:rPr>
          <w:rFonts w:ascii="Arial" w:hAnsi="Arial"/>
          <w:i/>
          <w:sz w:val="21"/>
        </w:rPr>
        <w:t>Uradni List RS</w:t>
      </w:r>
      <w:r>
        <w:rPr>
          <w:rFonts w:ascii="Arial" w:hAnsi="Arial"/>
          <w:sz w:val="21"/>
        </w:rPr>
        <w:t>] nr. 26/05 – text consolidat oficial), ministrul economiei, turismului și sportului emite următoarele:</w:t>
      </w:r>
    </w:p>
    <w:p w14:paraId="1AF1E363"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N O R M E</w:t>
      </w:r>
    </w:p>
    <w:p w14:paraId="4CAD0D41"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de modificare a Normelor privind cerințele metrologice pentru dispozitivele de măsurare a vitezei în traficul rutier</w:t>
      </w:r>
    </w:p>
    <w:p w14:paraId="25E24A9C"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w:t>
      </w:r>
    </w:p>
    <w:p w14:paraId="75550DE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În Normele privind cerințele metrologice pentru dispozitivele de măsurare a vitezei în traficul rutier (Monitorul Oficial al Republicii Slovenia [</w:t>
      </w:r>
      <w:r>
        <w:rPr>
          <w:rFonts w:ascii="Arial" w:hAnsi="Arial"/>
          <w:i/>
          <w:sz w:val="21"/>
        </w:rPr>
        <w:t>Lista Uradni RS</w:t>
      </w:r>
      <w:r>
        <w:rPr>
          <w:rFonts w:ascii="Arial" w:hAnsi="Arial"/>
          <w:sz w:val="21"/>
        </w:rPr>
        <w:t>] nr. 91/15), al doilea paragraf de la articolul 1 se elimină, iar primul paragraf devine textul articolului.</w:t>
      </w:r>
    </w:p>
    <w:p w14:paraId="5B03187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w:t>
      </w:r>
    </w:p>
    <w:p w14:paraId="20CEFE2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După articolul 1, se introduce un nou articol 1.a, cu următoarea formulare:</w:t>
      </w:r>
    </w:p>
    <w:p w14:paraId="3FF7EA7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1.a</w:t>
      </w:r>
    </w:p>
    <w:p w14:paraId="24EBA796"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(Procedura și clauza privind furnizarea de informații)</w:t>
      </w:r>
    </w:p>
    <w:p w14:paraId="7F88E7B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Prezentele norme au fost elaborate în temeiul procedurii de furnizare de informații conform </w:t>
      </w:r>
      <w:hyperlink r:id="rId4" w:tgtFrame="_blank" w:tooltip="to EUR-Lex" w:history="1">
        <w:r>
          <w:rPr>
            <w:rFonts w:ascii="Arial" w:hAnsi="Arial"/>
            <w:color w:val="0000EE"/>
            <w:sz w:val="21"/>
            <w:u w:val="single" w:color="0000EE"/>
          </w:rPr>
          <w:t>Directivei (UE) 2015/1535</w:t>
        </w:r>
      </w:hyperlink>
      <w:r>
        <w:rPr>
          <w:rFonts w:ascii="Arial" w:hAnsi="Arial"/>
          <w:sz w:val="21"/>
        </w:rPr>
        <w:t xml:space="preserve"> a Parlamentului European și a Consiliului din 9 septembrie 2015 referitoare la procedura de furnizare de informații în domeniul reglementărilor tehnice și al normelor privind serviciile societății informaționale (JO L 241, 17. 9. 2015, p. 1).</w:t>
      </w:r>
    </w:p>
    <w:p w14:paraId="422EBA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Dispozițiile prezentelor norme nu se aplică produselor care sunt fabricate sau comercializate în mod legal în alte state membre ale Uniunii Europene și în Turcia sau produse în țările Asociației Europene a Liberului Schimb (AELS), care sunt, de asemenea, semnatare ale Acordului privind Spațiul Economic European, în conformitate cu legislația națională care asigură un nivel echivalent de protecție a interesului public, astfel cum prevede legislația Republicii Slovenia.</w:t>
      </w:r>
    </w:p>
    <w:p w14:paraId="15AD7C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Prezentele norme sunt puse în aplicare în conformitate cu </w:t>
      </w:r>
      <w:hyperlink r:id="rId5" w:tgtFrame="_blank" w:tooltip="to EUR-Lex" w:history="1">
        <w:r>
          <w:rPr>
            <w:rFonts w:ascii="Arial" w:hAnsi="Arial"/>
            <w:color w:val="0000EE"/>
            <w:sz w:val="21"/>
            <w:u w:val="single" w:color="0000EE"/>
          </w:rPr>
          <w:t>Regulamentul (UE) 2019/515</w:t>
        </w:r>
      </w:hyperlink>
      <w:r>
        <w:t xml:space="preserve"> </w:t>
      </w:r>
      <w:r>
        <w:rPr>
          <w:rFonts w:ascii="Arial" w:hAnsi="Arial"/>
          <w:sz w:val="21"/>
        </w:rPr>
        <w:t xml:space="preserve">al Parlamentului European și al Consiliului din 19 martie 2019 privind recunoașterea reciprocă a mărfurilor comercializate în mod legal în alt stat membru și de abrogare a </w:t>
      </w:r>
      <w:hyperlink r:id="rId6" w:tgtFrame="_blank" w:tooltip="to EUR-Lex" w:history="1">
        <w:r>
          <w:rPr>
            <w:rFonts w:ascii="Arial" w:hAnsi="Arial"/>
            <w:color w:val="0000EE"/>
            <w:sz w:val="21"/>
            <w:u w:val="single" w:color="0000EE"/>
          </w:rPr>
          <w:t>Regulamentului (CE) nr. 764/2008</w:t>
        </w:r>
      </w:hyperlink>
      <w:r>
        <w:rPr>
          <w:rFonts w:ascii="Arial" w:hAnsi="Arial"/>
          <w:sz w:val="21"/>
        </w:rPr>
        <w:t xml:space="preserve"> (JO L 91, 29. 3. 2019, p. 1).</w:t>
      </w:r>
    </w:p>
    <w:p w14:paraId="3B7FD04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3</w:t>
      </w:r>
    </w:p>
    <w:p w14:paraId="31655E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Articolul 2 se modifică după cum urmează:</w:t>
      </w:r>
    </w:p>
    <w:p w14:paraId="18F0BF5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w:t>
      </w:r>
    </w:p>
    <w:p w14:paraId="66EA6E4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Termenii utilizați în prezentele norme au următoarele semnificații:</w:t>
      </w:r>
    </w:p>
    <w:p w14:paraId="4A94D68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 „dispozitiv de măsurare a vitezei” înseamnă un măsurand pentru măsurarea vitezei vehiculelor în traficul rutier;</w:t>
      </w:r>
    </w:p>
    <w:p w14:paraId="4AF60EB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 „dispozitive radar de măsurare a vitezei” înseamnă dispozitive de măsurare a vitezei care utilizează principiul RADAR și efectul Doppler pentru funcționarea lor;</w:t>
      </w:r>
    </w:p>
    <w:p w14:paraId="5C9F8C5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 „radar” înseamnă detectarea și măsurarea distanței sau a poziției prin intermediul semnalelor radio;</w:t>
      </w:r>
    </w:p>
    <w:p w14:paraId="6FD8148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 „efect Doppler” înseamnă un fenomen fizic în care schimbarea frecvenței undei unde are loc pentru un observator care se deplasează în raport cu sursa sa;</w:t>
      </w:r>
    </w:p>
    <w:p w14:paraId="4F99B72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5. „dispozitive laser de măsurare a vitezei” înseamnă dispozitive de măsurare a vitezei care utilizează transmisia și recepția semnalelor laser în conformitate cu principiul LIDAR pentru funcționarea lor;</w:t>
      </w:r>
    </w:p>
    <w:p w14:paraId="5714EB5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6. „LIDAR” înseamnă măsurarea distanței cu ajutorul unui fascicul luminos;</w:t>
      </w:r>
    </w:p>
    <w:p w14:paraId="5894AEE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7. „dispozitive de măsurare a distanței/timpului” înseamnă dispozitive de măsurare a vitezei pentru măsurarea vitezei unui vehicul pe baza timpului măsurat de deplasare a vehiculului pe o rută cu o lungime măsurată;</w:t>
      </w:r>
    </w:p>
    <w:p w14:paraId="5B06FFB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8. „dispozitive de măsurare a vitezei de detectare” înseamnă un subtip de dispozitive de măsurare a distanței/timpului care măsoară viteza unui vehicul pe o distanță scurtă prin măsurarea timpului de deplasare între cel puțin trei poziții consecutive ale vehiculului, în care detectoarele de poziție ale vehiculului sunt legate de aceeași sursă de timp, cu distanțe cunoscute între detectoare;</w:t>
      </w:r>
    </w:p>
    <w:p w14:paraId="368D6FA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9. „dispozitive de măsurare a vitezei secțiunii” înseamnă un subtip de dispozitive de măsurare a distanței/timpului care măsoară viteza medie pe o distanță mai mare prin măsurarea timpului de deplasare și identificarea vehiculului la punctele de pornire și de sfârșit ale unei secțiuni de măsurare cu o lungime cunoscută;</w:t>
      </w:r>
    </w:p>
    <w:p w14:paraId="6B01B89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10. „dispozitive de măsurare a vitezei pe bază de urmărire” înseamnă un subtip de dispozitive de măsurare a distanței/timpului, instalate într-un vehicul de măsurare care urmează vehiculului măsurat și pe baza distanței măsurate a secțiunii sau rutei parcurse și a timpului de deplasare al vehiculului de măsurare, măsoară viteza medie a vehiculului măsurat;</w:t>
      </w:r>
    </w:p>
    <w:p w14:paraId="3C12EE37"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11. „vehicul de măsurare” înseamnă un vehicul în care este instalat un dispozitiv de măsurare a vitezei care permite măsurarea vitezei proprii și a vitezei vehiculului măsurat pe baza măsurătorilor efectuate dintr-un punct în mișcare;</w:t>
      </w:r>
    </w:p>
    <w:p w14:paraId="3D4995E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12. „vehicul măsurat” înseamnă un vehicul a cărui viteză este măsurată cu ajutorul unui dispozitiv de măsurare a vitezei;</w:t>
      </w:r>
    </w:p>
    <w:p w14:paraId="4B08F4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13. „operator” înseamnă persoana care manipulează dispozitivul de măsurare a vitezei și efectuează măsurători ale vitezei;</w:t>
      </w:r>
    </w:p>
    <w:p w14:paraId="31AB9CF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14. „dispozitive automate de măsurare a vitezei” înseamnă dispozitive de măsurare a vitezei care efectuează măsurarea automată, fără intervenția operatorului;</w:t>
      </w:r>
    </w:p>
    <w:p w14:paraId="1FB0E69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15. „dispozitiv neautomat de măsurare a vitezei” înseamnă dispozitive de măsurare a vitezei care efectuează o măsurare la cererea unui operator;</w:t>
      </w:r>
    </w:p>
    <w:p w14:paraId="608B70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16. „măsurare dintr-un punct staționar” înseamnă că dispozitivul de măsurare a vitezei măsoară viteza vehiculului măsurat de la un punct care nu se deplasează;</w:t>
      </w:r>
    </w:p>
    <w:p w14:paraId="607AB25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17. „măsurare dintr-un punct în mișcare” înseamnă că dispozitivul de măsurare a vitezei măsoară viteza vehiculului măsurat de la un punct în mișcare;</w:t>
      </w:r>
    </w:p>
    <w:p w14:paraId="5E17926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18. „eroarea maximă admisă” (denumită în continuare „MPE”) înseamnă valoarea extremă a erorii de măsurare, permisă de specificații sau reglementări în conformitate cu o valoare de referință cunoscută pentru o anumită măsurare, măsurand sau sistem de măsurare;</w:t>
      </w:r>
    </w:p>
    <w:p w14:paraId="4959915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19. „mărime de influență” înseamnă o cantitate care nu este o cantitate măsurată, dar care afectează rezultatul măsurării;</w:t>
      </w:r>
    </w:p>
    <w:p w14:paraId="0C2917A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20. „condiții nominale de funcționare” înseamnă condițiile de funcționare care trebuie îndeplinite în timpul măsurării pentru ca dispozitivul de măsurare a vitezei să funcționeze astfel cum a fost proiectat;</w:t>
      </w:r>
    </w:p>
    <w:p w14:paraId="1F7D879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21. „interferență” înseamnă o cantitate de influență care are o valoare în limitele specificate în cerința relevantă, dar în afara condițiilor nominale de funcționare specificate ale măsurii; o mărime de influență este o interferență în cazul în care condițiile nominale de funcționare nu sunt determinate pentru această mărime de influență;</w:t>
      </w:r>
    </w:p>
    <w:p w14:paraId="2DC658A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22. „încercare pe teren” înseamnă o procedură prin care dispozitivul de măsurare a vitezei este încercat pe baza măsurării vitezei vehiculelor cu o viteză cunoscută în condiții realiste de utilizare;</w:t>
      </w:r>
    </w:p>
    <w:p w14:paraId="2D4316F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23. „simulare” înseamnă un proces în care conducerea vehiculului măsurat este înlocuită de un alt fenomen fizic, care poate reprezenta viteza de conducere a vehiculului, direcția de conducere a vehiculului, distanța parcursă de vehicul sau durata de conducere a vehiculului;</w:t>
      </w:r>
    </w:p>
    <w:p w14:paraId="01D4F2F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24. „încercare de laborator” înseamnă o procedură prin care se testează un dispozitiv de măsurare a vitezei pe bază de simulare;</w:t>
      </w:r>
    </w:p>
    <w:p w14:paraId="6179195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25. „viteză proprie” înseamnă viteza vehiculului de măsurare atunci când se măsoară viteza dintr-un punct în mișcare;</w:t>
      </w:r>
    </w:p>
    <w:p w14:paraId="7DCECA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26. „axă de măsurare” înseamnă linia aparentă în direcția căreia dispozitivul de măsurare a vitezei măsoară viteza vehiculului măsurat;</w:t>
      </w:r>
    </w:p>
    <w:p w14:paraId="01376BB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27. „direcția de conducere a vehiculului” înseamnă linia dreaptă aparentă de-a lungul căreia este condus vehiculul măsurat;</w:t>
      </w:r>
    </w:p>
    <w:p w14:paraId="462C42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28. „fenomen cosinus” înseamnă un fenomen fizic care are loc atunci când axa de măsurare a vitezei este deplasată din direcția de deplasare a vehiculului măsurat la un anumit unghi într-un plan sau spațiu;</w:t>
      </w:r>
    </w:p>
    <w:p w14:paraId="2AFBDA4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29. „frecvență purtătoare” înseamnă una sau mai multe frecvențe la care se transmite radar;</w:t>
      </w:r>
    </w:p>
    <w:p w14:paraId="1AF1ED4D"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30. „detector de poziție” înseamnă un senzor sau un dispozitiv care determină momentul în care vehiculul măsurat a trecut printr-un punct selectat;</w:t>
      </w:r>
    </w:p>
    <w:p w14:paraId="4E2961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31. „punct de intrare” înseamnă zona în care un vehicul măsurat intră într-o secțiune de măsurare;</w:t>
      </w:r>
    </w:p>
    <w:p w14:paraId="247E79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32. „punct de ieșire” înseamnă zona în care un vehicul măsurat iese dintr-o secțiune de măsurare;</w:t>
      </w:r>
    </w:p>
    <w:p w14:paraId="22F810A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33. „lungimea măsurată a secțiunii” înseamnă lungimea care reprezintă cea mai scurtă curbă aparentă dintre punctele de intrare și de ieșire și care circulă de-a lungul tronsonului rutier limitat pe ambele părți de marcaje rutiere sau de marginea șoselei;</w:t>
      </w:r>
    </w:p>
    <w:p w14:paraId="21A340A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34. „senzor de mișcare” înseamnă o componentă a vehiculului care permite măsurarea vitezei vehiculului;</w:t>
      </w:r>
    </w:p>
    <w:p w14:paraId="0EF39DF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35. „diferența de timp dintre cele două vehicule măsurate în trafic” înseamnă timpul, la viteza măsurată, necesar celui de al doilea vehicul măsurat care se deplasează în spatele primului vehicul măsurat pentru a atinge punctul în care este măsurată viteza primului vehicul măsurat;</w:t>
      </w:r>
    </w:p>
    <w:p w14:paraId="33008E2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36. „diferență de siguranță” înseamnă valoarea numerică a vitezei care este luată în considerare în favoarea vehiculului măsurat la fiecare măsurătoare;</w:t>
      </w:r>
    </w:p>
    <w:p w14:paraId="375B7F6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37. „incertitudine de măsurare extinsă” înseamnă produsul dintre incertitudinea de măsurare standard combinată cu un factor mai mare de 1;</w:t>
      </w:r>
    </w:p>
    <w:p w14:paraId="4C33ACE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38. „gabarit” înseamnă partea dispozitivului de măsurare a vitezei care permite alinierea axei de măsurare a vitezei la vehiculul măsurat și trebuie să reflecte poziția admisă și expansiunea fasciculului de măsurare;</w:t>
      </w:r>
    </w:p>
    <w:p w14:paraId="757DA20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39. „dispozitiv individual de măsurare a vitezei vehiculului” înseamnă un dispozitiv de măsurare a vitezei care, pe baza modului său de funcționare, poate măsura și documenta simultan viteza unui singur vehicul;</w:t>
      </w:r>
    </w:p>
    <w:p w14:paraId="6FBE3E5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40. „dispozitiv de măsurare a vitezei pentru mai multe vehicule” înseamnă un dispozitiv de măsurare a vitezei care, pe baza modului său de funcționare, este capabil să monitorizeze, să măsoare și să documenteze simultan viteza mai multor vehicule.</w:t>
      </w:r>
    </w:p>
    <w:p w14:paraId="706A47E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4</w:t>
      </w:r>
    </w:p>
    <w:p w14:paraId="3854461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18, la al treilea paragraf, după cuvântul „viteză”, se adaugă cuvintele „sau după deplasarea vehiculului cu cel puțin 10 m”.</w:t>
      </w:r>
    </w:p>
    <w:p w14:paraId="1412125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5</w:t>
      </w:r>
    </w:p>
    <w:p w14:paraId="145549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19 se modifică după cum urmează:</w:t>
      </w:r>
    </w:p>
    <w:p w14:paraId="26FB178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19</w:t>
      </w:r>
    </w:p>
    <w:p w14:paraId="09C35D0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(cerințe suplimentare pentru documentarea măsurătorilor dintr-un punct în mișcare, cu excepția dispozitivelor de măsurare a vitezei bazate pe urmărire)</w:t>
      </w:r>
    </w:p>
    <w:p w14:paraId="26D4C97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„Măsurarea documentată a vitezei, atunci când este măsurată dintr-un punct în mișcare cu dispozitive de măsurare a vitezei, cu excepția dispozitivelor de măsurare a vitezei în conformitate cu principiul urmăririi, trebuie să includă, în plus față de cerințele articolului 17 din prezentele norme, viteza vehiculului de măsurare în momentul efectuării măsurătorii.”.</w:t>
      </w:r>
    </w:p>
    <w:p w14:paraId="4C41674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6</w:t>
      </w:r>
    </w:p>
    <w:p w14:paraId="04238CC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26 se modifică după cum urmează:</w:t>
      </w:r>
    </w:p>
    <w:p w14:paraId="62DC3F1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26</w:t>
      </w:r>
    </w:p>
    <w:p w14:paraId="366CB0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(cerințe pentru interfața de încercare)</w:t>
      </w:r>
    </w:p>
    <w:p w14:paraId="02AD3E2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Dispozitivele de măsurare a vitezei trebuie să fie echipate cu o interfață de încercare care să permită funcționarea dispozitivului de măsurare a vitezei și obținerea datelor sau a semnalelor necesare pentru efectuarea evaluării conformității, a verificării și a controlului metrologic.</w:t>
      </w:r>
    </w:p>
    <w:p w14:paraId="4B36FE9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Interfața de încercare trebuie să ofere acces la cel puțin următoarele date:</w:t>
      </w:r>
    </w:p>
    <w:p w14:paraId="17D0DFB1"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viteza măsurată;</w:t>
      </w:r>
    </w:p>
    <w:p w14:paraId="432239B4"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distanța sau poziția măsurată a vehiculului măsurat (pentru dispozitivele de măsurare a vitezei în cazul în care principiul de măsurare permite acest lucru);</w:t>
      </w:r>
    </w:p>
    <w:p w14:paraId="130C9545"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vitezele proprii ale vehiculului măsurat (pentru dispozitivele de măsurare a vitezei care măsoară dintr-un punct în mișcare);</w:t>
      </w:r>
    </w:p>
    <w:p w14:paraId="64C73A9A"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identificarea unică a dispozitivului de măsurare a vitezei și a componentelor acestuia;</w:t>
      </w:r>
    </w:p>
    <w:p w14:paraId="4A200B2C"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identificarea software-ului dispozitivului de măsurare a vitezei și suma de control a acestuia și</w:t>
      </w:r>
    </w:p>
    <w:p w14:paraId="4A598009"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rezultatul autocontrolului.</w:t>
      </w:r>
    </w:p>
    <w:p w14:paraId="6691A61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Interfața de încercare trebuie protejată împotriva interferențelor neautorizate.”</w:t>
      </w:r>
    </w:p>
    <w:p w14:paraId="7C9CE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7</w:t>
      </w:r>
    </w:p>
    <w:p w14:paraId="297DE0E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29 se modifică după cum urmează:</w:t>
      </w:r>
    </w:p>
    <w:p w14:paraId="5D2917F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29</w:t>
      </w:r>
    </w:p>
    <w:p w14:paraId="0C884A3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(cerințe suplimentare pentru dispozitivele de măsurare a vitezei radar care măsoară un vehicul individual)</w:t>
      </w:r>
    </w:p>
    <w:p w14:paraId="6394461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Frecvența purtătoare individuală a dispozitivului radar de măsurare a vitezei care măsoară un vehicul individual nu trebuie să se abată cu mai mult de ± 0,15 % de la valoarea nominală specificată de producător.</w:t>
      </w:r>
    </w:p>
    <w:p w14:paraId="4A51FB4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Lățimea dispozitivului radar de măsurare a vitezei fasciculului care măsoară un vehicul individual nu depășește lățimea fasciculului specificată de producător.</w:t>
      </w:r>
    </w:p>
    <w:p w14:paraId="4622D17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Linia mediană a antenei dispozitivului radar de măsurare a vitezei nu trebuie să se abată cu mai mult de ± 1° de la linia mediană a antenei.”</w:t>
      </w:r>
    </w:p>
    <w:p w14:paraId="40CA1B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8</w:t>
      </w:r>
    </w:p>
    <w:p w14:paraId="247F2EC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După articolul 29 se introduce un nou articol 29.a, după cum urmează:</w:t>
      </w:r>
    </w:p>
    <w:p w14:paraId="3E32832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29.a</w:t>
      </w:r>
    </w:p>
    <w:p w14:paraId="32DF2AF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(cerințe suplimentare pentru dispozitivele radar de măsurare a vitezei mai multor vehicule)</w:t>
      </w:r>
    </w:p>
    <w:p w14:paraId="36811D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Dispozitivele radar de măsurare a vitezei mai multor vehicule trebuie să demonstreze, în scopul încercărilor de laborator și pe teren, poziția și distanța vehiculului măsurat față de dispozitivul de măsurare a vitezei.”</w:t>
      </w:r>
    </w:p>
    <w:p w14:paraId="124FDFB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9</w:t>
      </w:r>
    </w:p>
    <w:p w14:paraId="1D451C2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30 se modifică după cum urmează:</w:t>
      </w:r>
    </w:p>
    <w:p w14:paraId="7F57083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30</w:t>
      </w:r>
    </w:p>
    <w:p w14:paraId="48E341A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(cerințe suplimentare pentru dispozitivele laser de măsurare a vitezei care măsoară un vehicul individual)</w:t>
      </w:r>
    </w:p>
    <w:p w14:paraId="515B9B6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Frecvența impulsurilor transmise de dispozitivul laser de măsurare a vitezei care măsoară un vehicul individual nu trebuie să se abată cu mai mult de ± 1 % de la valoarea nominală specificată de producător.</w:t>
      </w:r>
    </w:p>
    <w:p w14:paraId="4266C8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Un dispozitiv de măsurare a vitezei cu laser care măsoară un vehicul individual indică distanța vehiculului măsurat cu o diviziune de cel mult 0,1 m. Distanța măsurată a vehiculului măsurat nu trebuie să se abată cu mai mult de ± 0,2 m de la valoarea reală la o distanță de până la 50 m sau cu 0,4 % pentru distanțe mai mari de 50 m.</w:t>
      </w:r>
    </w:p>
    <w:p w14:paraId="7C2280B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Distanța maximă admisă a vehiculului măsurat atunci când este măsurată cu un dispozitiv de măsurare a vitezei laser care măsoară un vehicul individual este de 1 000 m.</w:t>
      </w:r>
    </w:p>
    <w:p w14:paraId="52B0C4E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(4) Unghiul spațial maxim admisibil al fasciculului de măsurare a vitezei laser care măsoară un vehicul individual în direcție orizontală și verticală este de 3 mrad.</w:t>
      </w:r>
    </w:p>
    <w:p w14:paraId="627E6BE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Forma dispozitivului de măsurare a vitezei laser care măsoară un vehicul individual trebuie să indice clar limita de 3 mrad.</w:t>
      </w:r>
    </w:p>
    <w:p w14:paraId="26FEF15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(6) Gabaritul dispozitivului laser de măsurare a vitezei care măsoară un vehicul individual trebuie să fie clar vizibil cu ochiul liber și cu echipament de măsurare pentru verificarea alinierii gabaritului și a fasciculului de măsurare.</w:t>
      </w:r>
    </w:p>
    <w:p w14:paraId="1D7D37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(7) Fasciculul de măsurare a dispozitivului laser de măsurare a vitezei care măsoară un vehicul individual trebuie să fie situat în întregime în limitele gabaritului.</w:t>
      </w:r>
    </w:p>
    <w:p w14:paraId="67C139A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(8) Dispozitivele laser de măsurare a vitezei care măsoară un vehicul individual trebuie să fie echipate cu cel puțin două măriri ale câmpului vizual al dispozitivului de măsurare pentru măsurarea vitezei vehiculului măsurat la o distanță cuprinsă între 300 m și 600 m, iar pentru măsurători la o distanță mai mare de 600 m, de cel puțin trei ori mai mare decât câmpul vizual al dispozitivului de măsurare. Mărirea poate fi integrată în dispozitivul de măsurare a vitezei sau implementată ca accesoriu separat care poate fi atașat sau îndepărtat de pe dispozitivul de măsurare a vitezei. În cazul unui accesoriu separat, accesoriul trebuie să poarte același număr de serie ca dispozitivul de măsurare a vitezei.</w:t>
      </w:r>
    </w:p>
    <w:p w14:paraId="7ACCCFB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(9) Un dispozitiv laser de măsurare a vitezei care măsoară un vehicul individual trebuie să permită un test de măsurare a vitezei de 0 km/h la o țintă fixă.”</w:t>
      </w:r>
    </w:p>
    <w:p w14:paraId="1E48C35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10</w:t>
      </w:r>
    </w:p>
    <w:p w14:paraId="6879EAB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După articolul 30 se introduce un nou articol 30.a, după cum urmează:</w:t>
      </w:r>
    </w:p>
    <w:p w14:paraId="282F5F9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30.a</w:t>
      </w:r>
    </w:p>
    <w:p w14:paraId="3C72817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(cerințe suplimentare pentru dispozitivele laser de măsurare a vitezei pentru mai multe vehicule)</w:t>
      </w:r>
    </w:p>
    <w:p w14:paraId="0FDD7DC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Dispozitivele laser de măsurare a vitezei pentru mai multe vehicule trebuie să indice, în scopul încercărilor de laborator și pe teren, poziția și distanța vehiculului măsurat față de dispozitivul de măsurare a vitezei.”</w:t>
      </w:r>
    </w:p>
    <w:p w14:paraId="3F2E58E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11</w:t>
      </w:r>
    </w:p>
    <w:p w14:paraId="7015CFE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32, la al treilea paragraf, cuvintele „și trebuie să fie de cel puțin 200 de ori mai lung decât lungimea zonei de identificare” se elimină.</w:t>
      </w:r>
    </w:p>
    <w:p w14:paraId="0FD5313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Alineatul (5) se modifică după cum urmează:</w:t>
      </w:r>
    </w:p>
    <w:p w14:paraId="00CE37F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Începutul și sfârșitul secțiunii de măsurare se marchează cu o bandă retroreflectorizantă de-a lungul întregului drum și cu ajutorul unor pene de măsurare de-a lungul suprafeței drumului.  Banda retroreflectorizantă trebuie să fie vizibilă pe o măsurătoare documentată împreună cu vehiculul măsurat.”.</w:t>
      </w:r>
    </w:p>
    <w:p w14:paraId="0246CE6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12</w:t>
      </w:r>
    </w:p>
    <w:p w14:paraId="716962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După articolul 37 se introduce un nou articol 37.a, după cum urmează:</w:t>
      </w:r>
    </w:p>
    <w:p w14:paraId="72F0904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37.a</w:t>
      </w:r>
    </w:p>
    <w:p w14:paraId="11DB94F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(coduri suplimentare)</w:t>
      </w:r>
    </w:p>
    <w:p w14:paraId="2FEF735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Institutul de Metrologie din Republica Slovenia poate aplica marcaje de identificare suplimentare pe dispozitivele de măsurare a vitezei pentru identificarea acestora în cadrul procedurilor de verificare.</w:t>
      </w:r>
    </w:p>
    <w:p w14:paraId="1029C59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Deținătorii dispozitivelor de măsurare a vitezei nu îndepărtează marcajele menționate la alineatul precedent.”.</w:t>
      </w:r>
    </w:p>
    <w:p w14:paraId="2D8E605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13</w:t>
      </w:r>
    </w:p>
    <w:p w14:paraId="4A13AB3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După articolul 39 se introduce un nou articol 39.a, după cum urmează:</w:t>
      </w:r>
    </w:p>
    <w:p w14:paraId="6F9B8E1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39.a</w:t>
      </w:r>
    </w:p>
    <w:p w14:paraId="3DA68B3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(echipamente de măsurare specifice și accesul la criteriu)</w:t>
      </w:r>
    </w:p>
    <w:p w14:paraId="393720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Dacă este necesar să se utilizeze hardware, software, cabluri de conectare sau interfețe dedicate care nu sunt disponibile gratuit pe piață sau care sunt protejate prin drepturi de proprietate intelectuală, producătorul trebuie să furnizeze acest echipament și să îl lase pentru utilizare gratuită Institutului de Metrologie al Republica Slovenia.</w:t>
      </w:r>
    </w:p>
    <w:p w14:paraId="12D894D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În procedurile menționate la paragraful precedent, producătorul trebuie să ofere Institutului de Metrologie al Republicii Slovenia cel mai înalt nivel de acces utilizator la software-ul pe care îl are producătorul, precum și acces gratuit la hardware-ul dispozitivului de măsurare a vitezei.”.</w:t>
      </w:r>
    </w:p>
    <w:p w14:paraId="19D1CEF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14</w:t>
      </w:r>
    </w:p>
    <w:p w14:paraId="20FCFC8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La articolul 42, după cuvintele articolului, care este desemnat ca alineatul (1), se introduce un nou alineat (2), cu următoarea formulare:</w:t>
      </w:r>
    </w:p>
    <w:p w14:paraId="247055A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În cazul în care există îndoieli cu privire la conformitatea dispozitivului de măsurare a vitezei cu cerințele prezentului regulament, se pot efectua alte examinări și încercări pentru a confirma conformitatea cu cerințele prevăzute la primul paragraf.”.</w:t>
      </w:r>
    </w:p>
    <w:p w14:paraId="0492D19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15</w:t>
      </w:r>
    </w:p>
    <w:p w14:paraId="0F806E1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44 se modifică după cum urmează:</w:t>
      </w:r>
    </w:p>
    <w:p w14:paraId="4D0C647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44</w:t>
      </w:r>
    </w:p>
    <w:p w14:paraId="6F75EEB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(încercări speciale pentru dispozitivele radar de măsurare a vitezei)</w:t>
      </w:r>
    </w:p>
    <w:p w14:paraId="1A54782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Pentru dispozitivele de măsurare a vitezei radar, se efectuează o încercare de precizie a măsurării conform cerințelor menționate la articolul 5 din prezentele norme cu încercări pe teren în cel puțin trei puncte de măsurare sau conform cerințelor menționate la articolul 6 din prezentele norme cu încercări de laborator la cel puțin 10 puncte de măsurare.</w:t>
      </w:r>
    </w:p>
    <w:p w14:paraId="3592C3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La încercarea preciziei dispozitivului radar de măsurare a vitezei, performanța antenelor de transmisie și de recepție se verifică simultan.</w:t>
      </w:r>
    </w:p>
    <w:p w14:paraId="5A5EAEE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Pentru dispozitivele radar de măsurare a vitezei care măsoară un vehicul individual, este verificată conformitatea cu cerințele menționate la articolul 7 din prezentele norme.</w:t>
      </w:r>
    </w:p>
    <w:p w14:paraId="7D68395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(4) Lățimea fasciculului de măsurare se verifică în cazul dispozitivelor radar de măsurare a vitezei unui vehicul individual în următoarele condiții:</w:t>
      </w:r>
    </w:p>
    <w:p w14:paraId="226BC61F"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la atenuarea de –3 dB în raport cu valoarea puterii maxime a semnalului transmis; și</w:t>
      </w:r>
    </w:p>
    <w:p w14:paraId="1B9C6A1B"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pe baza unei imagini de ansamblu a diagramei fasciculului antenei trasată relativ de la –45° la + 45°, unde vârfurile rămase ale fasciculului de măsurare trebuie atenuate cu cel puțin –15 dB în raport cu semnalul de bază.</w:t>
      </w:r>
    </w:p>
    <w:p w14:paraId="5A9F55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Pentru dispozitivele radar de măsurare a vitezei mai multor vehicule în același timp, se verifică corectitudinea poziționării vehiculului menționat la articolul 29 litera (a) din prezentele norme.”.</w:t>
      </w:r>
    </w:p>
    <w:p w14:paraId="2D97DCA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16</w:t>
      </w:r>
    </w:p>
    <w:p w14:paraId="35F9250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45 se modifică după cum urmează:</w:t>
      </w:r>
    </w:p>
    <w:p w14:paraId="320D302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„Articolul 45</w:t>
      </w:r>
    </w:p>
    <w:p w14:paraId="3EFD99D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(încercări speciale pentru dispozitivele laser de măsurare a vitezei)</w:t>
      </w:r>
    </w:p>
    <w:p w14:paraId="2202C99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Pentru dispozitivele cu laser de măsurare a vitezei, se efectuează un test de precizie a măsurării în conformitate cu cerințele menționate la articolul 5 din prezentele norme, cu încercări pe teren în cel puțin trei puncte de măsurare sau în conformitate cu cerințele menționate la articolul 6 din prezentele norme, cu încercări de laborator în cel puțin 10 puncte de măsurare.</w:t>
      </w:r>
    </w:p>
    <w:p w14:paraId="5FFD21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Pentru dispozitivele cu laser de măsurare a vitezei care măsoară un vehicul individual, se verifică conformitatea cu cerințele menționate la articolul 30 alineatele (1), (2), (4) și (7) din prezentele norme.</w:t>
      </w:r>
    </w:p>
    <w:p w14:paraId="0CFF69D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Pentru dispozitivele laser de măsurare a vitezei pentru mai multe vehicule în același timp, se verifică corectitudinea poziționării vehiculului menționat la articolul 30.a din prezentele norme.”.</w:t>
      </w:r>
    </w:p>
    <w:p w14:paraId="3D8D175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17</w:t>
      </w:r>
    </w:p>
    <w:p w14:paraId="68C5D04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46 alineatul (1) se modifică și are următoarea formulare:</w:t>
      </w:r>
    </w:p>
    <w:p w14:paraId="07D3316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Pentru dispozitivele de măsurare a vitezei de detectare, încercarea de precizie a măsurării se efectuează conform cerințelor menționate la articolul 6 din prezentele norme prin încercări de laborator în cel puțin 10 puncte de măsurare sau conform cerințelor prevăzute la articolul 5 din prezentele norme prin încercări pe teren în trei puncte de măsurare cu un dispozitiv de măsurare a vitezei de detectare complet integrat cu conducerea vehiculului. Testarea pe teren trebuie efectuată cu succes în trei puncte de măsurare și poate fi efectuată cu maximum cinci cicluri, trei măsurători având succes. În cazul în care o astfel de încercare nu are succes după cinci încercări, încercarea se încheie din cauza configurării necorespunzătoare a dispozitivului de măsurare.”.</w:t>
      </w:r>
    </w:p>
    <w:p w14:paraId="4C1BAD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După alineatul (1) se introduce un nou alineat (2), cu formularea următoare:</w:t>
      </w:r>
    </w:p>
    <w:p w14:paraId="5CE02E6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Dispozitivele de măsurare a vitezei de detectare cu detectoare de poziție instalate pe suprafața drumului trebuie să facă obiectul unor încercări pe teren.”.</w:t>
      </w:r>
    </w:p>
    <w:p w14:paraId="1F614BD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Alineatul (2) existent devine alineatul (3).</w:t>
      </w:r>
    </w:p>
    <w:p w14:paraId="72A714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18</w:t>
      </w:r>
    </w:p>
    <w:p w14:paraId="0EC96DF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47 alineatul (1) se modifică și are următoarea formulare:</w:t>
      </w:r>
    </w:p>
    <w:p w14:paraId="608BF73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Pentru dispozitivele de măsurare a vitezei secțiunii, se efectuează o încercare de precizie a măsurării în conformitate cu cerințele menționate la articolul 5 din prezentele norme prin testare pe teren pe trei puncte de măsurare cu testarea unui dispozitiv de măsurare a vitezei secțiunii complet integrat prin conducerea vehiculului. Testarea pe teren trebuie efectuată cu succes în trei puncte de măsurare și poate fi efectuată cu maximum cinci cicluri, trei măsurători având succes. În </w:t>
      </w:r>
      <w:r>
        <w:rPr>
          <w:rFonts w:ascii="Arial" w:hAnsi="Arial"/>
          <w:sz w:val="21"/>
        </w:rPr>
        <w:lastRenderedPageBreak/>
        <w:t>cazul în care o astfel de încercare nu are succes după cinci încercări, încercarea se încheie din cauza configurării necorespunzătoare a dispozitivului de măsurare.”.</w:t>
      </w:r>
    </w:p>
    <w:p w14:paraId="7496EC9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19</w:t>
      </w:r>
    </w:p>
    <w:p w14:paraId="5CFE416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48 se modifică după cum urmează:</w:t>
      </w:r>
    </w:p>
    <w:p w14:paraId="211F03D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48</w:t>
      </w:r>
    </w:p>
    <w:p w14:paraId="3DE28A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(încercări specifice pentru dispozitivele de măsurare a vitezei pe bază de urmărire)</w:t>
      </w:r>
    </w:p>
    <w:p w14:paraId="36E70F1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Dispozitivele de măsurare a vitezei bazate pe urmărire sunt supuse unei încercări de precizie a măsurătorilor în ceea ce privește cerințele menționate la articolul 6 din prezentele norme prin încercări de laborator cu cel puțin 10 viteze proprii sau în conformitate cu cerințele menționate la articolul 5 din prezentele norme, prin încercări pe teren la cel puțin o viteză proprie bazată pe conducerea constantă a vehiculului de măsurare, fără oprirea inițială și finală a vehiculului de măsurare.”.</w:t>
      </w:r>
    </w:p>
    <w:p w14:paraId="593B862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20</w:t>
      </w:r>
    </w:p>
    <w:p w14:paraId="5B957B7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49 se modifică după cum urmează:</w:t>
      </w:r>
    </w:p>
    <w:p w14:paraId="10AEC8D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49</w:t>
      </w:r>
    </w:p>
    <w:p w14:paraId="1C5BD1E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(încercări speciale pentru dispozitivele de măsurare a vitezei care măsoară dintr-un punct de mișcare, cu excepția dispozitivelor de măsurare bazate pe urmărire)</w:t>
      </w:r>
    </w:p>
    <w:p w14:paraId="0991213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Pentru dispozitivele de măsurare a vitezei care măsoară dintr-un punct în mișcare, cu excepția dispozitivelor de măsurare a vitezei bazate pe urmărire, încercări privind precizia măsurării vitezei vehiculului măsurat și măsurarea vitezei proprii a vehiculului în conformitate cu cerințele menționate la articolul 6 din prezentele norme se efectuează separat prin încercări de laborator în 10 puncte de măsurare sau în conformitate cu cerințele menționate la articolul 5 din prezentele norme, cu încercări pe teren în cel puțin trei puncte.”.</w:t>
      </w:r>
    </w:p>
    <w:p w14:paraId="1FB392E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21</w:t>
      </w:r>
    </w:p>
    <w:p w14:paraId="47172E3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55, cuvintele „și nu se măsoară distanța până la vehicul sau unghiul de deplasare al vehiculului în raport cu dispozitivul de măsurare a vitezei” se înlocuiesc cu cuvintele „cu conversie la un singur unghi selectat”.</w:t>
      </w:r>
    </w:p>
    <w:p w14:paraId="5F54B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Articolul 22</w:t>
      </w:r>
    </w:p>
    <w:p w14:paraId="4F24741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57 se elimină.</w:t>
      </w:r>
    </w:p>
    <w:p w14:paraId="4487024E" w14:textId="77777777" w:rsidR="00221B1A" w:rsidRDefault="00E123F5">
      <w:pPr>
        <w:pStyle w:val="center"/>
        <w:pBdr>
          <w:top w:val="none" w:sz="0" w:space="24" w:color="auto"/>
        </w:pBdr>
        <w:spacing w:before="210" w:after="210"/>
        <w:rPr>
          <w:rFonts w:ascii="Arial" w:eastAsia="Arial" w:hAnsi="Arial" w:cs="Arial"/>
          <w:caps/>
          <w:sz w:val="21"/>
          <w:szCs w:val="21"/>
        </w:rPr>
      </w:pPr>
      <w:r>
        <w:rPr>
          <w:rFonts w:ascii="Arial" w:hAnsi="Arial"/>
          <w:caps/>
          <w:sz w:val="21"/>
        </w:rPr>
        <w:t>DISPOZIȚIE TRANZITORIE ȘI FINALĂ</w:t>
      </w:r>
    </w:p>
    <w:p w14:paraId="0A7043A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23</w:t>
      </w:r>
    </w:p>
    <w:p w14:paraId="0FE024E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(introducere pe piață și verificarea inițială)</w:t>
      </w:r>
    </w:p>
    <w:p w14:paraId="24F567F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Dispozitivele de măsurare a vitezei care, la data intrării în vigoare a prezentelor norme, au o omologare de tip valabilă în temeiul Normelor privind cerințele metrologice pentru dispozitivele de măsurare a vitezei în traficul rutier (Monitorul Oficial al Republicii Slovenia [Uradni List RS] nr. 25/02 și 90/05) sau Normele privind cerințele metrologice pentru dispozitivele de măsurare a vitezei în traficul rutier (Monitorul Oficial al Republicii Slovenia [URadni List RS] nr. 91/15) pot fi introduse pe piață și pot fi verificate inițial în temeiul prezentelor norme până la expirarea omologării de tip, cu condiția ca acestea să îndeplinească cerințele prezentelor norme referitoare la verificarea inițială.</w:t>
      </w:r>
    </w:p>
    <w:p w14:paraId="75A2870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24</w:t>
      </w:r>
    </w:p>
    <w:p w14:paraId="77242ED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(supunerea la o verificare periodică și extraordinară)</w:t>
      </w:r>
    </w:p>
    <w:p w14:paraId="42264A5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Dispozitivele de măsurare a vitezei utilizate la data intrării în vigoare a prezentelor norme și care au o verificare inițială valabilă sau o verificare periodică pe baza Normelor privind cerințele metrologice pentru dispozitivele de măsurare a vitezei în traficul rutier (Monitorul Oficial al Republicii Slovenia [Uradni List RS] nr. 25/02 și 90/05) sau Normele privind cerințele metrologice pentru dispozitivele de măsurare a vitezei în traficul rutier (Monitorul Oficial al Republicii Slovenia [URadni List RS] nr. 91/15) pot supuse unei verificări periodice sau extraordinare în temeiul prezentelor norme, cu condiția ca acestea să îndeplinească cerințele prezentelor norme referitoare la verificarea periodică.</w:t>
      </w:r>
    </w:p>
    <w:p w14:paraId="51FDFFA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25</w:t>
      </w:r>
    </w:p>
    <w:p w14:paraId="1844CD8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(intrare în vigoare)</w:t>
      </w:r>
    </w:p>
    <w:p w14:paraId="228CBE0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Prezentele norme intră în vigoare în a 15-a zi de la data publicării în Monitorul Oficial al Republicii Slovenia.</w:t>
      </w:r>
    </w:p>
    <w:p w14:paraId="0C630F87" w14:textId="77777777" w:rsidR="00221B1A" w:rsidRDefault="00E123F5">
      <w:pPr>
        <w:pStyle w:val="evidencnastevilka"/>
        <w:spacing w:before="210" w:after="210"/>
        <w:rPr>
          <w:rFonts w:ascii="Arial" w:eastAsia="Arial" w:hAnsi="Arial" w:cs="Arial"/>
          <w:sz w:val="21"/>
          <w:szCs w:val="21"/>
        </w:rPr>
      </w:pPr>
      <w:r>
        <w:rPr>
          <w:rFonts w:ascii="Arial" w:hAnsi="Arial"/>
          <w:sz w:val="21"/>
        </w:rPr>
        <w:t>Nr. 007-218/2023/15</w:t>
      </w:r>
    </w:p>
    <w:p w14:paraId="4F57609E" w14:textId="77777777" w:rsidR="00221B1A" w:rsidRDefault="00E123F5">
      <w:pPr>
        <w:pStyle w:val="krajdatumsprejetja"/>
        <w:spacing w:before="210" w:after="210"/>
        <w:rPr>
          <w:rFonts w:ascii="Arial" w:eastAsia="Arial" w:hAnsi="Arial" w:cs="Arial"/>
          <w:sz w:val="21"/>
          <w:szCs w:val="21"/>
        </w:rPr>
      </w:pPr>
      <w:r>
        <w:rPr>
          <w:rFonts w:ascii="Arial" w:hAnsi="Arial"/>
          <w:sz w:val="21"/>
        </w:rPr>
        <w:lastRenderedPageBreak/>
        <w:t>Ljubljana, 19 martie 2024</w:t>
      </w:r>
    </w:p>
    <w:p w14:paraId="66227E8A" w14:textId="77777777" w:rsidR="00221B1A" w:rsidRDefault="00E123F5">
      <w:pPr>
        <w:pStyle w:val="evidencnastevilka"/>
        <w:spacing w:before="210" w:after="210"/>
        <w:rPr>
          <w:rFonts w:ascii="Arial" w:eastAsia="Arial" w:hAnsi="Arial" w:cs="Arial"/>
          <w:sz w:val="21"/>
          <w:szCs w:val="21"/>
        </w:rPr>
      </w:pPr>
      <w:r>
        <w:rPr>
          <w:rFonts w:ascii="Arial" w:hAnsi="Arial"/>
          <w:sz w:val="21"/>
        </w:rPr>
        <w:t>EVA 2023-2180-0012</w:t>
      </w:r>
    </w:p>
    <w:p w14:paraId="545D589C" w14:textId="77777777" w:rsidR="00221B1A" w:rsidRDefault="00E123F5">
      <w:pPr>
        <w:pStyle w:val="podpisnik"/>
        <w:spacing w:before="210" w:after="210"/>
        <w:ind w:left="5669"/>
        <w:rPr>
          <w:rFonts w:ascii="Arial" w:eastAsia="Arial" w:hAnsi="Arial" w:cs="Arial"/>
          <w:sz w:val="21"/>
          <w:szCs w:val="21"/>
        </w:rPr>
      </w:pPr>
      <w:r>
        <w:rPr>
          <w:rFonts w:ascii="Arial" w:hAnsi="Arial"/>
          <w:sz w:val="21"/>
        </w:rPr>
        <w:t xml:space="preserve">Matjaž Han </w:t>
      </w:r>
    </w:p>
    <w:p w14:paraId="1C1D48C4" w14:textId="77777777" w:rsidR="00221B1A" w:rsidRDefault="00E123F5">
      <w:pPr>
        <w:rPr>
          <w:rFonts w:ascii="Arial" w:eastAsia="Arial" w:hAnsi="Arial" w:cs="Arial"/>
        </w:rPr>
      </w:pPr>
      <w:r>
        <w:rPr>
          <w:rFonts w:ascii="Arial" w:hAnsi="Arial"/>
        </w:rPr>
        <w:t xml:space="preserve">Ministrul Economiei, Turismului și Sportului </w:t>
      </w:r>
    </w:p>
    <w:p w14:paraId="2A7D56DB" w14:textId="77777777" w:rsidR="00221B1A" w:rsidRDefault="00E123F5">
      <w:pPr>
        <w:rPr>
          <w:rFonts w:ascii="Arial" w:eastAsia="Arial" w:hAnsi="Arial" w:cs="Arial"/>
        </w:rPr>
      </w:pPr>
      <w:r>
        <w:rPr>
          <w:rFonts w:ascii="Arial" w:hAnsi="Arial"/>
        </w:rPr>
        <w:t xml:space="preserve"> </w:t>
      </w:r>
    </w:p>
    <w:p w14:paraId="2579C642"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1B1A"/>
    <w:rsid w:val="005C0803"/>
    <w:rsid w:val="007233B1"/>
    <w:rsid w:val="00A77B3E"/>
    <w:rsid w:val="00CA2A55"/>
    <w:rsid w:val="00E1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8B7E"/>
  <w15:docId w15:val="{7DCD1881-B20D-4C80-BB52-115082F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reg/2008/764/oj" TargetMode="External"/><Relationship Id="rId5" Type="http://schemas.openxmlformats.org/officeDocument/2006/relationships/hyperlink" Target="http://data.europa.eu/eli/reg/2019/515/oj" TargetMode="External"/><Relationship Id="rId4" Type="http://schemas.openxmlformats.org/officeDocument/2006/relationships/hyperlink" Target="http://data.europa.eu/eli/dir/2015/153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3823</Words>
  <Characters>21873</Characters>
  <Application>Microsoft Office Word</Application>
  <DocSecurity>0</DocSecurity>
  <Lines>370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PRAV14968 NPB0</dc:title>
  <dc:creator>Jožica Škof Nikolič</dc:creator>
  <cp:keywords>class='Internal'</cp:keywords>
  <cp:lastModifiedBy>Ragnhild Efraimsson</cp:lastModifiedBy>
  <cp:revision>2</cp:revision>
  <dcterms:created xsi:type="dcterms:W3CDTF">2024-08-14T10:46:00Z</dcterms:created>
  <dcterms:modified xsi:type="dcterms:W3CDTF">2024-08-14T10:46:00Z</dcterms:modified>
</cp:coreProperties>
</file>