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EEE5" w14:textId="77777777" w:rsidR="0023656E" w:rsidRDefault="00956B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Decreto n. 2024-316 del 5 aprile 2024 sull’indice di durabilità delle apparecchiature elettriche ed elettroniche</w:t>
      </w:r>
    </w:p>
    <w:p w14:paraId="16D700DD" w14:textId="77777777" w:rsid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TRED2329205D</w:t>
      </w:r>
    </w:p>
    <w:p w14:paraId="7D920524" w14:textId="192AB7B9" w:rsidR="007B3CEE" w:rsidRP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ELI: </w:t>
      </w:r>
      <w:hyperlink r:id="rId4" w:history="1">
        <w:r>
          <w:rPr>
            <w:rStyle w:val="Hyperlink"/>
            <w:rFonts w:ascii="Times New Roman" w:hAnsi="Times New Roman"/>
            <w:sz w:val="24"/>
          </w:rPr>
          <w:t>https://www.legifrance.gouv.fr/eli/decret/2024/4/5/TRED2329205D/jo/texte</w:t>
        </w:r>
      </w:hyperlink>
    </w:p>
    <w:p w14:paraId="6CAA6AAE" w14:textId="783AAEE7" w:rsidR="007B3CEE" w:rsidRP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Alias: </w:t>
      </w:r>
      <w:hyperlink r:id="rId5" w:history="1">
        <w:r>
          <w:rPr>
            <w:rStyle w:val="Hyperlink"/>
            <w:rFonts w:ascii="Times New Roman" w:hAnsi="Times New Roman"/>
            <w:sz w:val="24"/>
          </w:rPr>
          <w:t>https://www.legifrance.gouv.fr/eli/decret/2024/4/5/2024-316/jo/texte</w:t>
        </w:r>
      </w:hyperlink>
    </w:p>
    <w:p w14:paraId="2AC6BE26" w14:textId="77777777" w:rsid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JORF n. 0082 del 7 aprile 2024</w:t>
      </w:r>
    </w:p>
    <w:p w14:paraId="7693BB8D" w14:textId="7098A389" w:rsidR="0023656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Testo n. 21</w:t>
      </w:r>
    </w:p>
    <w:p w14:paraId="1C8F13CD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Destinatari: produttori, importatori, distributori o altri fornitori di apparecchiature elettriche ed elettroniche e venditori delle medesime apparecchiature, nonché utenti di siti internet, piattaforme o qualsivoglia altro canale di distribuzione online nell’ambito della loro attività commerciale in Francia. </w:t>
      </w:r>
      <w:r>
        <w:rPr>
          <w:rFonts w:ascii="Times New Roman" w:hAnsi="Times New Roman"/>
          <w:sz w:val="24"/>
        </w:rPr>
        <w:br/>
        <w:t xml:space="preserve">Oggetto: norme di attuazione dell’indice di durabilità definito all’articolo L. 541-9-2 del codice dell’ambiente. </w:t>
      </w:r>
      <w:r>
        <w:rPr>
          <w:rFonts w:ascii="Times New Roman" w:hAnsi="Times New Roman"/>
          <w:sz w:val="24"/>
        </w:rPr>
        <w:br/>
        <w:t xml:space="preserve">Entrata in vigore: il testo entra in vigore il giorno dopo la sua pubblicazione. </w:t>
      </w:r>
      <w:r>
        <w:rPr>
          <w:rFonts w:ascii="Times New Roman" w:hAnsi="Times New Roman"/>
          <w:sz w:val="24"/>
        </w:rPr>
        <w:br/>
        <w:t xml:space="preserve">Avviso: il decreto definisce le norme di attuazione di cui all’articolo L. 541-9-2 del codice dell’ambiente, che prevede l’introduzione di un indice di durabilità per determinate categorie di apparecchiature elettriche ed elettroniche. Esso specifica in particolare i criteri e i parametri del calcolo utilizzato per stabilire tale indice, nonché il quadro generale degli obblighi relativi alla sua comunicazione ed esposizione. </w:t>
      </w:r>
      <w:r>
        <w:rPr>
          <w:rFonts w:ascii="Times New Roman" w:hAnsi="Times New Roman"/>
          <w:sz w:val="24"/>
        </w:rPr>
        <w:br/>
        <w:t xml:space="preserve">Riferimenti: il decreto può essere consultato sul sito </w:t>
      </w:r>
      <w:proofErr w:type="spellStart"/>
      <w:r>
        <w:rPr>
          <w:rFonts w:ascii="Times New Roman" w:hAnsi="Times New Roman"/>
          <w:sz w:val="24"/>
        </w:rPr>
        <w:t>Légifrance</w:t>
      </w:r>
      <w:proofErr w:type="spellEnd"/>
      <w:r>
        <w:rPr>
          <w:rFonts w:ascii="Times New Roman" w:hAnsi="Times New Roman"/>
          <w:sz w:val="24"/>
        </w:rPr>
        <w:t xml:space="preserve"> (https://www.legifrance.gouv.fr). </w:t>
      </w:r>
    </w:p>
    <w:p w14:paraId="286486BA" w14:textId="77777777" w:rsidR="00366729" w:rsidRDefault="00956BE5" w:rsidP="0036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primo ministro,</w:t>
      </w:r>
    </w:p>
    <w:p w14:paraId="4F0D4103" w14:textId="77777777" w:rsidR="00366729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 merito alla relazione del ministro dell’Economia, delle finanze e della sovranità industriale e digitale e del ministro della Transizione ecologica e della coesione territoriale;</w:t>
      </w:r>
    </w:p>
    <w:p w14:paraId="37F75173" w14:textId="442EB61D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vista la direttiva (UE) 2015/1535 del Parlamento europeo e del Consiglio, del 9 settembre 2015, che prevede una procedura d’informazione nel settore delle regolamentazioni tecniche e delle regole relative ai servizi della società dell’informazione, congiuntamente alla notifica numero 2023/477-481/FR indirizzata alla Commissione europea il 2 agosto 2023 e alle risposte alla stessa del 27 ottobre 2023 e del 5 febbraio 2024;</w:t>
      </w:r>
      <w:r>
        <w:rPr>
          <w:rFonts w:ascii="Times New Roman" w:hAnsi="Times New Roman"/>
          <w:sz w:val="24"/>
        </w:rPr>
        <w:br/>
        <w:t>visto il codice dell’ambiente, in particolare gli articoli L. 541-9-1, L. 541-9-2, L. 541-9-4 e L. 541-9-4-1;</w:t>
      </w:r>
      <w:r>
        <w:rPr>
          <w:rFonts w:ascii="Times New Roman" w:hAnsi="Times New Roman"/>
          <w:sz w:val="24"/>
        </w:rPr>
        <w:br/>
        <w:t>visto il codice delle relazioni tra il pubblico e l’amministrazione, in particolare il libro III;</w:t>
      </w:r>
      <w:r>
        <w:rPr>
          <w:rFonts w:ascii="Times New Roman" w:hAnsi="Times New Roman"/>
          <w:sz w:val="24"/>
        </w:rPr>
        <w:br/>
        <w:t>viste le osservazioni formulate nel corso della consultazione pubblica effettuata tra il 5 settembre e il 13 ottobre 2023, ai sensi dell’articolo L. 123-19-1 del codice dell’ambiente;</w:t>
      </w:r>
      <w:r>
        <w:rPr>
          <w:rFonts w:ascii="Times New Roman" w:hAnsi="Times New Roman"/>
          <w:sz w:val="24"/>
        </w:rPr>
        <w:br/>
        <w:t>sentito il parere del Consiglio di Stato (sezione lavori pubblici),</w:t>
      </w:r>
      <w:r>
        <w:rPr>
          <w:rFonts w:ascii="Times New Roman" w:hAnsi="Times New Roman"/>
          <w:sz w:val="24"/>
        </w:rPr>
        <w:br/>
        <w:t>Decreta:</w:t>
      </w:r>
    </w:p>
    <w:p w14:paraId="25FC888A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1</w:t>
      </w:r>
    </w:p>
    <w:p w14:paraId="640ECEDA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Al titolo IV, libro V, capitolo I, sezione 9, della parte normativa del codice dell’ambiente è aggiunta una sottosezione 2 come segue: </w:t>
      </w:r>
    </w:p>
    <w:p w14:paraId="27226E4B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</w:r>
      <w:proofErr w:type="gramStart"/>
      <w:r>
        <w:rPr>
          <w:rFonts w:ascii="Times New Roman" w:hAnsi="Times New Roman"/>
          <w:sz w:val="24"/>
        </w:rPr>
        <w:t>“ Sottosezione</w:t>
      </w:r>
      <w:proofErr w:type="gramEnd"/>
      <w:r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br/>
        <w:t xml:space="preserve">“Visualizzazione dell’indice di durabilità applicabile alle apparecchiature elettriche ed elettroniche </w:t>
      </w:r>
    </w:p>
    <w:p w14:paraId="6EEDF8B4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Articolo</w:t>
      </w:r>
      <w:proofErr w:type="gramEnd"/>
      <w:r>
        <w:rPr>
          <w:rFonts w:ascii="Times New Roman" w:hAnsi="Times New Roman"/>
          <w:sz w:val="24"/>
        </w:rPr>
        <w:t xml:space="preserve"> R. 541-215.- La presente sottosezione si applica alle categorie di apparecchiature elettriche ed elettroniche nuove definite dal decreto dei ministri responsabili dell’ambiente e dell’economia. </w:t>
      </w:r>
    </w:p>
    <w:p w14:paraId="3A6AF9D7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Articolo</w:t>
      </w:r>
      <w:proofErr w:type="gramEnd"/>
      <w:r>
        <w:rPr>
          <w:rFonts w:ascii="Times New Roman" w:hAnsi="Times New Roman"/>
          <w:sz w:val="24"/>
        </w:rPr>
        <w:t xml:space="preserve"> R. 541-216.- L’indice di durabilità stabilito dai produttori o dagli importatori a norma del paragrafo II dell’articolo L. 541-9-2 consiste in un punteggio stabilito, per ciascun modello di apparecchiatura, secondo le procedure di seguito indicate. Tale punteggio è sottoposto all’attenzione dei consumatori al momento dell’acquisto dell’apparecchiatura. 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L’indice</w:t>
      </w:r>
      <w:proofErr w:type="gramEnd"/>
      <w:r>
        <w:rPr>
          <w:rFonts w:ascii="Times New Roman" w:hAnsi="Times New Roman"/>
          <w:sz w:val="24"/>
        </w:rPr>
        <w:t xml:space="preserve"> di durabilità sostituisce l’indice di riparabilità di cui al paragrafo I dell’articolo R. 541-9-2 a partire dall’entrata in vigore degli obblighi relativi all’indice di durabilità per la categoria dell’apparecchiatura in questione. </w:t>
      </w:r>
    </w:p>
    <w:p w14:paraId="34FF8F0A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Articolo</w:t>
      </w:r>
      <w:proofErr w:type="gramEnd"/>
      <w:r>
        <w:rPr>
          <w:rFonts w:ascii="Times New Roman" w:hAnsi="Times New Roman"/>
          <w:sz w:val="24"/>
        </w:rPr>
        <w:t xml:space="preserve"> R 541-217.- Ai fini della presente sottosezione si applicano le seguenti definizioni: </w:t>
      </w:r>
      <w:r>
        <w:rPr>
          <w:rFonts w:ascii="Times New Roman" w:hAnsi="Times New Roman"/>
          <w:sz w:val="24"/>
        </w:rPr>
        <w:br/>
        <w:t xml:space="preserve">1. ‘messa a disposizione sul </w:t>
      </w:r>
      <w:proofErr w:type="spellStart"/>
      <w:r>
        <w:rPr>
          <w:rFonts w:ascii="Times New Roman" w:hAnsi="Times New Roman"/>
          <w:sz w:val="24"/>
        </w:rPr>
        <w:t>mercato’</w:t>
      </w:r>
      <w:proofErr w:type="spellEnd"/>
      <w:r>
        <w:rPr>
          <w:rFonts w:ascii="Times New Roman" w:hAnsi="Times New Roman"/>
          <w:sz w:val="24"/>
        </w:rPr>
        <w:t xml:space="preserve">: qualsiasi fornitura, nel corso di un’attività commerciale, di apparecchiature destinate alla distribuzione o all’utilizzo sul mercato nazionale, a titolo oneroso o gratuito; </w:t>
      </w:r>
      <w:r>
        <w:rPr>
          <w:rFonts w:ascii="Times New Roman" w:hAnsi="Times New Roman"/>
          <w:sz w:val="24"/>
        </w:rPr>
        <w:br/>
        <w:t xml:space="preserve">2. ‘immissione sul </w:t>
      </w:r>
      <w:proofErr w:type="spellStart"/>
      <w:r>
        <w:rPr>
          <w:rFonts w:ascii="Times New Roman" w:hAnsi="Times New Roman"/>
          <w:sz w:val="24"/>
        </w:rPr>
        <w:t>mercato’</w:t>
      </w:r>
      <w:proofErr w:type="spellEnd"/>
      <w:r>
        <w:rPr>
          <w:rFonts w:ascii="Times New Roman" w:hAnsi="Times New Roman"/>
          <w:sz w:val="24"/>
        </w:rPr>
        <w:t xml:space="preserve">: la prima messa a disposizione di apparecchiature sul mercato nazionale; </w:t>
      </w:r>
      <w:r>
        <w:rPr>
          <w:rFonts w:ascii="Times New Roman" w:hAnsi="Times New Roman"/>
          <w:sz w:val="24"/>
        </w:rPr>
        <w:br/>
        <w:t xml:space="preserve">3. ‘produttore’: qualsiasi persona fisica o giuridica che produce apparecchiature o le fa progettare e commercializzare con il proprio nome o marchio; </w:t>
      </w:r>
      <w:r>
        <w:rPr>
          <w:rFonts w:ascii="Times New Roman" w:hAnsi="Times New Roman"/>
          <w:sz w:val="24"/>
        </w:rPr>
        <w:br/>
        <w:t xml:space="preserve">4. ‘importatore’: qualsiasi persona fisica o giuridica che immette sul mercato nazionale apparecchiature provenienti dagli Stati membri dell’Unione europea o da paesi terzi; </w:t>
      </w:r>
      <w:r>
        <w:rPr>
          <w:rFonts w:ascii="Times New Roman" w:hAnsi="Times New Roman"/>
          <w:sz w:val="24"/>
        </w:rPr>
        <w:br/>
        <w:t xml:space="preserve">5. ‘distributore’: qualsiasi persona fisica o giuridica nella catena di approvvigionamento, diversa dal produttore o dall’importatore, che offre apparecchiature per la vendita sul mercato interno; </w:t>
      </w:r>
      <w:r>
        <w:rPr>
          <w:rFonts w:ascii="Times New Roman" w:hAnsi="Times New Roman"/>
          <w:sz w:val="24"/>
        </w:rPr>
        <w:br/>
        <w:t xml:space="preserve">6. ‘venditore’: qualsiasi persona fisica o giuridica che, nel corso di un’attività commerciale, mette a disposizione sul mercato apparecchiature, anche a distanza, ai consumatori; </w:t>
      </w:r>
      <w:r>
        <w:rPr>
          <w:rFonts w:ascii="Times New Roman" w:hAnsi="Times New Roman"/>
          <w:sz w:val="24"/>
        </w:rPr>
        <w:br/>
        <w:t xml:space="preserve">7. ‘vendita a distanza’: contratto stipulato a distanza tra un venditore professionista e un consumatore, nell’ambito di un sistema organizzato di vendita, senza la presenza fisica e contestuale del professionista e del consumatore, mediante l’uso esclusivo di una o più tecniche di comunicazione a distanza fino alla conclusione del contratto; </w:t>
      </w:r>
      <w:r>
        <w:rPr>
          <w:rFonts w:ascii="Times New Roman" w:hAnsi="Times New Roman"/>
          <w:sz w:val="24"/>
        </w:rPr>
        <w:br/>
        <w:t xml:space="preserve">8. </w:t>
      </w:r>
      <w:proofErr w:type="gramStart"/>
      <w:r>
        <w:rPr>
          <w:rFonts w:ascii="Times New Roman" w:hAnsi="Times New Roman"/>
          <w:sz w:val="24"/>
        </w:rPr>
        <w:t>“ ‘</w:t>
      </w:r>
      <w:proofErr w:type="gramEnd"/>
      <w:r>
        <w:rPr>
          <w:rFonts w:ascii="Times New Roman" w:hAnsi="Times New Roman"/>
          <w:sz w:val="24"/>
        </w:rPr>
        <w:t xml:space="preserve">modello’: una versione di un’apparecchiatura le cui unità condividono le medesime caratteristiche tecniche pertinenti ai fini del calcolo dell’indice.” </w:t>
      </w:r>
      <w:r>
        <w:rPr>
          <w:rFonts w:ascii="Times New Roman" w:hAnsi="Times New Roman"/>
          <w:sz w:val="24"/>
        </w:rPr>
        <w:br/>
        <w:t xml:space="preserve">9. ‘Modelli equivalenti’: un gruppo di modelli che presenta le stesse caratteristiche tecniche pertinenti ai fini della prova di affidabilità da effettuare e che è immesso sul mercato o messo in servizio dallo stesso fabbricante, importatore o altra immissione sul mercato come altro modello con un altro modello di riferimento. </w:t>
      </w:r>
    </w:p>
    <w:p w14:paraId="664ACBEA" w14:textId="77777777" w:rsidR="00366729" w:rsidRDefault="00956BE5" w:rsidP="00366729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</w:r>
      <w:proofErr w:type="gramStart"/>
      <w:r>
        <w:rPr>
          <w:rFonts w:ascii="Times New Roman" w:hAnsi="Times New Roman"/>
          <w:sz w:val="24"/>
        </w:rPr>
        <w:t>“ Articolo</w:t>
      </w:r>
      <w:proofErr w:type="gramEnd"/>
      <w:r>
        <w:rPr>
          <w:rFonts w:ascii="Times New Roman" w:hAnsi="Times New Roman"/>
          <w:sz w:val="24"/>
        </w:rPr>
        <w:t xml:space="preserve"> R 541-218.-I.- I produttori o gli importatori stabiliscono, per ciascun modello delle apparecchiature che immettono sul mercato, l’indice di durabilità e i parametri che hanno permesso di determinarlo secondo le procedure specificate dal decreto dei ministri responsabili dell’ambiente e dell’economia. </w:t>
      </w:r>
      <w:r>
        <w:rPr>
          <w:rFonts w:ascii="Times New Roman" w:hAnsi="Times New Roman"/>
          <w:sz w:val="24"/>
        </w:rPr>
        <w:br/>
        <w:t xml:space="preserve">II.- I produttori o gli importatori comunicano gratuitamente e in formato elettronico e ai distributori o ai venditori al momento della quotazione e della consegna delle apparecchiature, per ogni modello di apparecchiatura immesso sul mercato:  </w:t>
      </w:r>
      <w:r>
        <w:rPr>
          <w:rFonts w:ascii="Times New Roman" w:hAnsi="Times New Roman"/>
          <w:sz w:val="24"/>
        </w:rPr>
        <w:br/>
        <w:t xml:space="preserve">1. L’indice di durabilità secondo le modalità e la segnaletica previste dal decreto di cui al paragrafo I; </w:t>
      </w:r>
      <w:r>
        <w:rPr>
          <w:rFonts w:ascii="Times New Roman" w:hAnsi="Times New Roman"/>
          <w:sz w:val="24"/>
        </w:rPr>
        <w:br/>
        <w:t xml:space="preserve">2. Una tabella contenente i dettagli degli elementi presi in considerazione per il punteggio dell’indice di durabilità, secondo il formato della presentazione previsto dal decreto di cui al paragrafo I. </w:t>
      </w:r>
    </w:p>
    <w:p w14:paraId="67E6F352" w14:textId="77777777" w:rsidR="00366729" w:rsidRDefault="00956BE5" w:rsidP="00366729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“ III.</w:t>
      </w:r>
      <w:proofErr w:type="gramEnd"/>
      <w:r>
        <w:rPr>
          <w:rFonts w:ascii="Times New Roman" w:hAnsi="Times New Roman"/>
          <w:sz w:val="24"/>
        </w:rPr>
        <w:t xml:space="preserve">- Quando non coincide con il venditore, il distributore comunica gratuitamente al venditore, alle condizioni di cui ai punti 1 e 2 del paragrafo II, l’indice e la tabella di cui al paragrafo II, al momento della quotazione e della consegna dell’apparecchiatura elettrica ed elettronica. 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IV.</w:t>
      </w:r>
      <w:proofErr w:type="gramEnd"/>
      <w:r>
        <w:rPr>
          <w:rFonts w:ascii="Times New Roman" w:hAnsi="Times New Roman"/>
          <w:sz w:val="24"/>
        </w:rPr>
        <w:t xml:space="preserve">- L’indice può inoltre essere apposto direttamente su ciascuna apparecchiatura o sull’imballaggio mediante etichettatura o marcatura, rispettando i segni prescritti dal decreto di cui al paragrafo I. </w:t>
      </w:r>
    </w:p>
    <w:p w14:paraId="4B1F359E" w14:textId="17C1264C" w:rsidR="0023656E" w:rsidRDefault="00956BE5" w:rsidP="00956BE5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“ V.</w:t>
      </w:r>
      <w:proofErr w:type="gramEnd"/>
      <w:r>
        <w:rPr>
          <w:rFonts w:ascii="Times New Roman" w:hAnsi="Times New Roman"/>
          <w:sz w:val="24"/>
        </w:rPr>
        <w:t xml:space="preserve">- Le informazioni di cui al punto II sono rese disponibili al pubblico per via elettronica e comunicate gratuitamente dai produttori o dagli importatori, entro cinque giorni lavorativi, a chiunque ne faccia richiesta per un periodo di almeno due anni dall’immissione sul mercato dell’ultima unità di un modello di apparecchiatura.” </w:t>
      </w:r>
    </w:p>
    <w:p w14:paraId="0758D714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Articolo</w:t>
      </w:r>
      <w:proofErr w:type="gramEnd"/>
      <w:r>
        <w:rPr>
          <w:rFonts w:ascii="Times New Roman" w:hAnsi="Times New Roman"/>
          <w:sz w:val="24"/>
        </w:rPr>
        <w:t xml:space="preserve"> R. 541-219.- L’autorità amministrativa garantisce l’accesso centralizzato alle informazioni di cui al paragrafo II dell’articolo R. 541-218 alle condizioni di seguito indicate. 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Per</w:t>
      </w:r>
      <w:proofErr w:type="gramEnd"/>
      <w:r>
        <w:rPr>
          <w:rFonts w:ascii="Times New Roman" w:hAnsi="Times New Roman"/>
          <w:sz w:val="24"/>
        </w:rPr>
        <w:t xml:space="preserve"> ciascuna categoria di apparecchiature, l’indice, i parametri di calcolo utilizzati per stabilirlo, ad esclusione di quelli relativi al prezzo dei pezzi di ricambio, nonché le informazioni relative all’identificazione dei modelli e alle modalità di calcolo dei punteggi sono divulgati pubblicamente dal portale interdipartimentale unico di cui all’articolo R. 321-8 del codice delle relazioni tra il pubblico e l’amministrazione. 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I</w:t>
      </w:r>
      <w:proofErr w:type="gramEnd"/>
      <w:r>
        <w:rPr>
          <w:rFonts w:ascii="Times New Roman" w:hAnsi="Times New Roman"/>
          <w:sz w:val="24"/>
        </w:rPr>
        <w:t xml:space="preserve"> dati sono trasmessi e pubblicati sotto la responsabilità del produttore o dell’importatore conformemente allo schema di dati disponibile su tale portale. Il decreto dei ministri responsabili dell’ambiente e dell’economia specifica, se necessario, le modalità tecniche per l’attuazione dello schema di dati. 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Tali</w:t>
      </w:r>
      <w:proofErr w:type="gramEnd"/>
      <w:r>
        <w:rPr>
          <w:rFonts w:ascii="Times New Roman" w:hAnsi="Times New Roman"/>
          <w:sz w:val="24"/>
        </w:rPr>
        <w:t xml:space="preserve"> dati sono riutilizzabili alle condizioni di cui al titolo II del libro III del codice delle relazioni tra il pubblico e l’amministrazione e alle condizioni della licenza aperta di cui all’articolo D. 323-2-1, paragrafo I, punto 1, del medesimo codice. 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Se</w:t>
      </w:r>
      <w:proofErr w:type="gramEnd"/>
      <w:r>
        <w:rPr>
          <w:rFonts w:ascii="Times New Roman" w:hAnsi="Times New Roman"/>
          <w:sz w:val="24"/>
        </w:rPr>
        <w:t xml:space="preserve"> il calcolo del punteggio dell’indice di durabilità di un modello viene aggiornato, tali dati sono aggiornati entro un periodo non superiore a un mese. </w:t>
      </w:r>
    </w:p>
    <w:p w14:paraId="763FC439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“</w:t>
      </w:r>
      <w:proofErr w:type="gramEnd"/>
      <w:r>
        <w:rPr>
          <w:rFonts w:ascii="Times New Roman" w:hAnsi="Times New Roman"/>
          <w:sz w:val="24"/>
        </w:rPr>
        <w:t xml:space="preserve">Articolo R 541-220.-I.- Quando l’apparecchiatura è messa in vendita nei negozi, il venditore espone, secondo le modalità e la segnaletica previste dal decreto di cui al paragrafo I dell’articolo R. 541-218, l’indice di durabilità in modo visibile, leggibile e facilmente accessibile su ogni apparecchiatura messa in vendita o nelle immediate vicinanze. 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lastRenderedPageBreak/>
        <w:t>“ II.</w:t>
      </w:r>
      <w:proofErr w:type="gramEnd"/>
      <w:r>
        <w:rPr>
          <w:rFonts w:ascii="Times New Roman" w:hAnsi="Times New Roman"/>
          <w:sz w:val="24"/>
        </w:rPr>
        <w:t xml:space="preserve">- Quando l’apparecchiatura viene messa in vendita da remoto, il venditore espone l’indice di durabilità in modo visibile, leggibile e facilmente accessibile nella presentazione dell’apparecchiatura e su tutte le pagine web in cui viene offerto l’acquisto dell’apparecchiatura, vicino all’indicazione del suo prezzo, nelle modalità e secondo la segnaletica previste dal decreto di cui al paragrafo I dell’articolo R. 541-218. Tale obbligo non si applica alle pagine riepilogative dell’ordine e di pagamento. 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III.</w:t>
      </w:r>
      <w:proofErr w:type="gramEnd"/>
      <w:r>
        <w:rPr>
          <w:rFonts w:ascii="Times New Roman" w:hAnsi="Times New Roman"/>
          <w:sz w:val="24"/>
        </w:rPr>
        <w:t xml:space="preserve">- Il venditore mette inoltre a disposizione dei consumatori la tabella di cui al punto 2 del paragrafo II dell’articolo R. 541-218, con qualsiasi procedimento adeguato. Se l’apparecchiatura è in vendita nei negozi, è presente un’indicazione sullo scaffale che informa il consumatore dell’esistenza della tabella e della possibilità di accedervi. Su richiesta del cliente, una copia deve essere rilasciata in formato cartaceo o elettronico, a scelta del cliente. Se l’apparecchiatura è in vendita online, tale tabella deve essere accessibile direttamente dalle pagine web in cui è visualizzato l’indice di durabilità. </w:t>
      </w:r>
    </w:p>
    <w:p w14:paraId="0757B420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Articolo</w:t>
      </w:r>
      <w:proofErr w:type="gramEnd"/>
      <w:r>
        <w:rPr>
          <w:rFonts w:ascii="Times New Roman" w:hAnsi="Times New Roman"/>
          <w:sz w:val="24"/>
        </w:rPr>
        <w:t xml:space="preserve"> R. 541-221.-I.- L’indice di durabilità è calcolato sulla base dei seguenti criteri e parametri: </w:t>
      </w:r>
      <w:r>
        <w:rPr>
          <w:rFonts w:ascii="Times New Roman" w:hAnsi="Times New Roman"/>
          <w:sz w:val="24"/>
        </w:rPr>
        <w:br/>
        <w:t xml:space="preserve">1. Un punteggio stabilito su una scala da 0 a 10 sulla riparabilità dell’apparecchiatura, tenendo conto in particolare dell’accessibilità della documentazione tecnica, della facilità di smontaggio, della disponibilità e del prezzo dei pezzi di ricambio; </w:t>
      </w:r>
      <w:r>
        <w:rPr>
          <w:rFonts w:ascii="Times New Roman" w:hAnsi="Times New Roman"/>
          <w:sz w:val="24"/>
        </w:rPr>
        <w:br/>
        <w:t xml:space="preserve">2. Un punteggio stabilito su una scala da 0 a 10 sull’affidabilità delle apparecchiature, tenendo conto, tra l’altro, della resistenza allo stress e all’usura, della facilità di manutenzione e assistenza, nonché dell’esistenza di una garanzia commerciale e di un processo di qualità; </w:t>
      </w:r>
      <w:r>
        <w:rPr>
          <w:rFonts w:ascii="Times New Roman" w:hAnsi="Times New Roman"/>
          <w:sz w:val="24"/>
        </w:rPr>
        <w:br/>
        <w:t xml:space="preserve">3. Se del caso, un punteggio stabilito su una scala da 0 a 10 relativo agli aggiornamenti software e hardware dell’apparecchiatura. 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L’indice</w:t>
      </w:r>
      <w:proofErr w:type="gramEnd"/>
      <w:r>
        <w:rPr>
          <w:rFonts w:ascii="Times New Roman" w:hAnsi="Times New Roman"/>
          <w:sz w:val="24"/>
        </w:rPr>
        <w:t xml:space="preserve"> di durabilità è calcolato sulla base dei punteggi di cui ai punti 1 e 2 e, se del caso, al punto 3. È espresso come punteggio globale su una scala da 0 a 10. 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II.</w:t>
      </w:r>
      <w:proofErr w:type="gramEnd"/>
      <w:r>
        <w:rPr>
          <w:rFonts w:ascii="Times New Roman" w:hAnsi="Times New Roman"/>
          <w:sz w:val="24"/>
        </w:rPr>
        <w:t xml:space="preserve">-Per ogni categoria di apparecchiatura interessata, un decreto dei ministri dell’ambiente e dell’economia specifica tutti i criteri e i </w:t>
      </w:r>
      <w:proofErr w:type="spellStart"/>
      <w:r>
        <w:rPr>
          <w:rFonts w:ascii="Times New Roman" w:hAnsi="Times New Roman"/>
          <w:sz w:val="24"/>
        </w:rPr>
        <w:t>sottocriteri</w:t>
      </w:r>
      <w:proofErr w:type="spellEnd"/>
      <w:r>
        <w:rPr>
          <w:rFonts w:ascii="Times New Roman" w:hAnsi="Times New Roman"/>
          <w:sz w:val="24"/>
        </w:rPr>
        <w:t xml:space="preserve"> presi in considerazione, e i metodi per il calcolo dell’indice. 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III.</w:t>
      </w:r>
      <w:proofErr w:type="gramEnd"/>
      <w:r>
        <w:rPr>
          <w:rFonts w:ascii="Times New Roman" w:hAnsi="Times New Roman"/>
          <w:sz w:val="24"/>
        </w:rPr>
        <w:t xml:space="preserve">- Il decreto di cui al paragrafo I dell’articolo R. 541-218 I può prevedere che determinati criteri o </w:t>
      </w:r>
      <w:proofErr w:type="spellStart"/>
      <w:r>
        <w:rPr>
          <w:rFonts w:ascii="Times New Roman" w:hAnsi="Times New Roman"/>
          <w:sz w:val="24"/>
        </w:rPr>
        <w:t>sottocriteri</w:t>
      </w:r>
      <w:proofErr w:type="spellEnd"/>
      <w:r>
        <w:rPr>
          <w:rFonts w:ascii="Times New Roman" w:hAnsi="Times New Roman"/>
          <w:sz w:val="24"/>
        </w:rPr>
        <w:t xml:space="preserve"> relativi all’affidabilità dell’apparecchiatura possano essere stabiliti su un unico modello per un insieme di modelli che possono essere considerati equivalenti.”</w:t>
      </w:r>
    </w:p>
    <w:p w14:paraId="4AA5D504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2</w:t>
      </w:r>
    </w:p>
    <w:p w14:paraId="56E9C66E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L’articolo R. 541-211 del codice dell’ambiente è sostituito dal seguente: </w:t>
      </w:r>
    </w:p>
    <w:p w14:paraId="616E4AD7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“ Articolo</w:t>
      </w:r>
      <w:proofErr w:type="gramEnd"/>
      <w:r>
        <w:rPr>
          <w:rFonts w:ascii="Times New Roman" w:hAnsi="Times New Roman"/>
          <w:sz w:val="24"/>
        </w:rPr>
        <w:t xml:space="preserve"> R. 541-211.- Ai fini della presente sottosezione si applicano le definizioni di cui all’articolo R. 541-217, punti da 1 a 8.”</w:t>
      </w:r>
    </w:p>
    <w:p w14:paraId="5F3A14FC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3</w:t>
      </w:r>
    </w:p>
    <w:p w14:paraId="5244038D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Le sottosezioni 2, 3 e 4 della sezione 9 del capitolo I, titolo IV, libro V della parte regolamentare del codice dell’ambiente diventano, rispettivamente, le sottosezioni 3, 4 e </w:t>
      </w:r>
      <w:r>
        <w:rPr>
          <w:rFonts w:ascii="Times New Roman" w:hAnsi="Times New Roman"/>
          <w:sz w:val="24"/>
        </w:rPr>
        <w:lastRenderedPageBreak/>
        <w:t xml:space="preserve">5 della medesima sezione. </w:t>
      </w:r>
      <w:r>
        <w:rPr>
          <w:rFonts w:ascii="Times New Roman" w:hAnsi="Times New Roman"/>
          <w:sz w:val="24"/>
        </w:rPr>
        <w:br/>
        <w:t xml:space="preserve">Gli articoli da D. 541-215 a D. 541-219 del codice dell’ambiente diventano gli articoli da D. 541-222 a D. 541-226 del medesimo codice, gli articoli da R. 541-220 a R. 541-223 del codice dell’ambiente diventano, rispettivamente, gli articoli da R. 541-227 a R. 541-230 del medesimo codice e gli articoli da 541-225 a D. 541-232-1 del codice dell’ambiente diventano, rispettivamente, gli articoli da D. 541-231 a D. 541-239 del medesimo codice. </w:t>
      </w:r>
      <w:r>
        <w:rPr>
          <w:rFonts w:ascii="Times New Roman" w:hAnsi="Times New Roman"/>
          <w:sz w:val="24"/>
        </w:rPr>
        <w:br/>
        <w:t>Nella normativa vigente, i riferimenti alle disposizioni degli articoli da D. 541-215 a D. 541-232-1 del codice dell’ambiente sono modificati di conseguenza.</w:t>
      </w:r>
    </w:p>
    <w:p w14:paraId="164929AB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4</w:t>
      </w:r>
    </w:p>
    <w:p w14:paraId="0FD038C0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ministro dell’Economia, delle finanze e della sovranità industriale e digitale e il ministro della Transizione ecologica e della coesione territoriale sono responsabili dell’applicazione del presente decreto, che sarà pubblicato sulla Gazzetta ufficiale della Repubblica francese.</w:t>
      </w:r>
    </w:p>
    <w:p w14:paraId="421DD6FF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Redatto il 5 aprile 2024.</w:t>
      </w:r>
    </w:p>
    <w:p w14:paraId="0DCDC5CA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Gabriel </w:t>
      </w:r>
      <w:proofErr w:type="spellStart"/>
      <w:r>
        <w:rPr>
          <w:rFonts w:ascii="Times New Roman" w:hAnsi="Times New Roman"/>
          <w:sz w:val="24"/>
        </w:rPr>
        <w:t>Attal</w:t>
      </w:r>
      <w:proofErr w:type="spellEnd"/>
      <w:r>
        <w:rPr>
          <w:rFonts w:ascii="Times New Roman" w:hAnsi="Times New Roman"/>
          <w:sz w:val="24"/>
        </w:rPr>
        <w:br/>
        <w:t>Dal primo ministro:</w:t>
      </w:r>
    </w:p>
    <w:p w14:paraId="2A297EFF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ministro della Transizione ecologica e della coesione territoriale,</w:t>
      </w:r>
      <w:r>
        <w:rPr>
          <w:rFonts w:ascii="Times New Roman" w:hAnsi="Times New Roman"/>
          <w:sz w:val="24"/>
        </w:rPr>
        <w:br/>
        <w:t xml:space="preserve">Christophe </w:t>
      </w:r>
      <w:proofErr w:type="spellStart"/>
      <w:r>
        <w:rPr>
          <w:rFonts w:ascii="Times New Roman" w:hAnsi="Times New Roman"/>
          <w:sz w:val="24"/>
        </w:rPr>
        <w:t>Béchu</w:t>
      </w:r>
      <w:proofErr w:type="spellEnd"/>
    </w:p>
    <w:p w14:paraId="14F9C159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ministro dell’Economia, delle finanze e della sovranità industriale e digitale,</w:t>
      </w:r>
      <w:r>
        <w:rPr>
          <w:rFonts w:ascii="Times New Roman" w:hAnsi="Times New Roman"/>
          <w:sz w:val="24"/>
        </w:rPr>
        <w:br/>
        <w:t xml:space="preserve">Bruno Le </w:t>
      </w:r>
      <w:proofErr w:type="spellStart"/>
      <w:r>
        <w:rPr>
          <w:rFonts w:ascii="Times New Roman" w:hAnsi="Times New Roman"/>
          <w:sz w:val="24"/>
        </w:rPr>
        <w:t>Maire</w:t>
      </w:r>
      <w:proofErr w:type="spellEnd"/>
    </w:p>
    <w:p w14:paraId="4C7B3C76" w14:textId="77777777" w:rsidR="0023656E" w:rsidRDefault="0023656E"/>
    <w:sectPr w:rsidR="0023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6E"/>
    <w:rsid w:val="0023656E"/>
    <w:rsid w:val="00366729"/>
    <w:rsid w:val="007B3CEE"/>
    <w:rsid w:val="00956BE5"/>
    <w:rsid w:val="00E5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403D"/>
  <w15:chartTrackingRefBased/>
  <w15:docId w15:val="{FD5B4176-1E84-4468-A5A1-BF138CC1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word-break-all">
    <w:name w:val="word-break-all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7B3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eli/decret/2024/4/5/2024-316/jo/texte" TargetMode="External"/><Relationship Id="rId4" Type="http://schemas.openxmlformats.org/officeDocument/2006/relationships/hyperlink" Target="https://www.legifrance.gouv.fr/eli/decret/2024/4/5/TRED2329205D/jo/tex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11400</Characters>
  <Application>Microsoft Office Word</Application>
  <DocSecurity>0</DocSecurity>
  <Lines>211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KARADEMIR Emma</dc:creator>
  <cp:keywords>class='Internal'</cp:keywords>
  <dc:description/>
  <cp:lastModifiedBy>Ragnhild Efraimsson</cp:lastModifiedBy>
  <cp:revision>2</cp:revision>
  <dcterms:created xsi:type="dcterms:W3CDTF">2024-05-06T08:42:00Z</dcterms:created>
  <dcterms:modified xsi:type="dcterms:W3CDTF">2024-05-06T08:42:00Z</dcterms:modified>
</cp:coreProperties>
</file>