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457C" w14:textId="6765B1FA" w:rsidR="00503C92" w:rsidRPr="00F122A6" w:rsidRDefault="00F122A6" w:rsidP="00EE0D48">
      <w:pPr>
        <w:pStyle w:val="Bodytext40"/>
        <w:numPr>
          <w:ilvl w:val="0"/>
          <w:numId w:val="1"/>
        </w:numPr>
        <w:tabs>
          <w:tab w:val="left" w:pos="265"/>
        </w:tabs>
        <w:ind w:left="1560" w:right="1830"/>
      </w:pPr>
      <w:r>
        <w:rPr>
          <w:rStyle w:val="Bodytext4"/>
          <w:b/>
        </w:rPr>
        <w:t xml:space="preserve"> POSTANOWIENIA OGÓLNE</w:t>
      </w:r>
    </w:p>
    <w:p w14:paraId="58D891A5" w14:textId="77777777" w:rsidR="00503C92" w:rsidRPr="00F122A6" w:rsidRDefault="0037644B" w:rsidP="00EE0D48">
      <w:pPr>
        <w:pStyle w:val="Heading10"/>
        <w:keepNext/>
        <w:keepLines/>
        <w:ind w:left="1560" w:right="1830"/>
        <w:rPr>
          <w:sz w:val="28"/>
          <w:szCs w:val="28"/>
        </w:rPr>
      </w:pPr>
      <w:bookmarkStart w:id="0" w:name="bookmark0"/>
      <w:r>
        <w:rPr>
          <w:rStyle w:val="Heading1"/>
          <w:sz w:val="28"/>
        </w:rPr>
        <w:t>MINISTER ROLNICTWA, RYBOŁÓWSTWA I ŻYWNOŚCI</w:t>
      </w:r>
      <w:bookmarkEnd w:id="0"/>
    </w:p>
    <w:p w14:paraId="07583A7E" w14:textId="13D4FE06" w:rsidR="00503C92" w:rsidRPr="00F122A6" w:rsidRDefault="0037644B" w:rsidP="00F122A6">
      <w:pPr>
        <w:pStyle w:val="BodyText"/>
        <w:spacing w:after="260" w:line="240" w:lineRule="auto"/>
        <w:ind w:left="2694" w:right="1830" w:hanging="1134"/>
        <w:jc w:val="both"/>
        <w:rPr>
          <w:sz w:val="20"/>
          <w:szCs w:val="20"/>
        </w:rPr>
      </w:pPr>
      <w:r>
        <w:rPr>
          <w:rStyle w:val="BodyTextChar"/>
          <w:b/>
          <w:sz w:val="24"/>
        </w:rPr>
        <w:t xml:space="preserve">17371 </w:t>
      </w:r>
      <w:r>
        <w:rPr>
          <w:rStyle w:val="BodyTextChar"/>
          <w:b/>
          <w:sz w:val="24"/>
        </w:rPr>
        <w:tab/>
      </w:r>
      <w:r>
        <w:rPr>
          <w:rStyle w:val="BodyTextChar"/>
          <w:i/>
          <w:sz w:val="20"/>
        </w:rPr>
        <w:t>Dekret królewski 840/2024 z dnia 27 sierpnia 2024 r. zmieniający dekret królewski 1051/2022 z dnia 27 grudnia 2022 r. ustanawiający przepisy dotyczące zrównoważonego nawożenia gleb rolnych.</w:t>
      </w:r>
    </w:p>
    <w:p w14:paraId="5EC89531" w14:textId="77777777" w:rsidR="00503C92" w:rsidRPr="00F122A6" w:rsidRDefault="0037644B" w:rsidP="00EE0D48">
      <w:pPr>
        <w:pStyle w:val="BodyText"/>
        <w:spacing w:after="0"/>
        <w:ind w:left="1560" w:right="1830" w:firstLine="360"/>
        <w:jc w:val="both"/>
        <w:rPr>
          <w:sz w:val="20"/>
        </w:rPr>
      </w:pPr>
      <w:r>
        <w:rPr>
          <w:rStyle w:val="BodyTextChar"/>
          <w:sz w:val="20"/>
        </w:rPr>
        <w:t>Dekret królewski 1051/2022 z dnia 27 grudnia 2022 r. ustanawiający przepisy dotyczące zrównoważonego nawożenia gleb rolnych ustanawia pewne podstawowe przepisy dotyczące racjonalnego nawożenia upraw, ustalając minimalny zakres dobrych praktyk rolniczych, które należy uwzględnić przy nawożeniu gleb rolnych. Ponadto ustanawia ogólny rejestr producentów i innych podmiotów gospodarczych zajmujących się produktami nawozowymi, którego podwójnym celem jest poprawa nadzoru rynku, zgodnie z przepisami rozporządzenia Parlamentu Europejskiego i Rady (UE) 2019/1009 z dnia 5 czerwca 2019 r. ustanawiającego przepisy dotyczące udostępniania na rynku produktów nawozowych UE, dekretu królewskiego 506/2013 z dnia 26 czerwca 2013 r. w sprawie produktów nawozowych oraz rozporządzenia Parlamentu Europejskiego i Rady (UE) 2019/1020 z dnia 20 czerwca 2019 r. w sprawie nadzoru rynku i zgodności produktów, przy jednoczesnym ułatwieniu wdrożenia procesu gromadzenia danych w celu poprawy obliczania poziomów emisji do powietrza wynikających ze stosowania produktów nawozowych. Przedmiotowy dekret królewski reguluje między innymi zawód doradcy ds. nawożenia, który zgodnie z art. 36 konstytucji hiszpańskiej nie jest zawodem regulowanym.</w:t>
      </w:r>
    </w:p>
    <w:p w14:paraId="50105317" w14:textId="77777777" w:rsidR="00503C92" w:rsidRPr="00F122A6" w:rsidRDefault="0037644B" w:rsidP="00EE0D48">
      <w:pPr>
        <w:pStyle w:val="BodyText"/>
        <w:spacing w:after="0"/>
        <w:ind w:left="1560" w:right="1830" w:firstLine="360"/>
        <w:jc w:val="both"/>
        <w:rPr>
          <w:sz w:val="20"/>
        </w:rPr>
      </w:pPr>
      <w:r>
        <w:rPr>
          <w:rStyle w:val="BodyTextChar"/>
          <w:sz w:val="20"/>
        </w:rPr>
        <w:t>Po ponad roku obowiązywania tego dekretu konieczne stało się ułatwienie wdrażania niektórych aspektów technicznych, zwiększenie spójności z innymi rozporządzeniami sektorowymi, takimi jak ustawa nr 7/2022 z dnia 8 kwietnia 2022 r. w sprawie odpadów i zanieczyszczonych gleb na rzecz ekonomii cyrkularnej, lub regionalnymi przepisami sektorowymi oraz wyjaśnienie niejasnych sformułowań. W tym celu zmienia się przepisy dotyczące dziennika gospodarstwa, planu nawożenia oraz ułatwiające stosowanie obornika i nawozów organicznych.</w:t>
      </w:r>
    </w:p>
    <w:p w14:paraId="1D506E7A" w14:textId="77777777" w:rsidR="00503C92" w:rsidRPr="00F122A6" w:rsidRDefault="0037644B" w:rsidP="00EE0D48">
      <w:pPr>
        <w:pStyle w:val="BodyText"/>
        <w:spacing w:after="0"/>
        <w:ind w:left="1560" w:right="1830" w:firstLine="360"/>
        <w:jc w:val="both"/>
        <w:rPr>
          <w:sz w:val="20"/>
        </w:rPr>
      </w:pPr>
      <w:r>
        <w:rPr>
          <w:rStyle w:val="BodyTextChar"/>
          <w:sz w:val="20"/>
        </w:rPr>
        <w:t>W związku z tym uwzględniono pewne zachęty do korzystania z cyfrowego dziennika gospodarstwa, ponieważ nie jest on obowiązkowy, a informacje zawarte w planie nawożenia, które muszą być uwzględnione w dzienniku gospodarstwa, zostały uszczegółowione, w tym poprzez doprecyzowanie, że jedną z kluczowych kwestii jest określenie dawki.</w:t>
      </w:r>
    </w:p>
    <w:p w14:paraId="31AAFEFC" w14:textId="77777777" w:rsidR="00503C92" w:rsidRPr="00F122A6" w:rsidRDefault="0037644B" w:rsidP="00EE0D48">
      <w:pPr>
        <w:pStyle w:val="BodyText"/>
        <w:spacing w:after="0"/>
        <w:ind w:left="1560" w:right="1830" w:firstLine="360"/>
        <w:jc w:val="both"/>
        <w:rPr>
          <w:sz w:val="20"/>
        </w:rPr>
      </w:pPr>
      <w:r>
        <w:rPr>
          <w:rStyle w:val="BodyTextChar"/>
          <w:sz w:val="20"/>
        </w:rPr>
        <w:t>Wprowadza się nowe i lepiej opracowane środki redukcji emisji amoniaku oraz uwzględnia się inne technologie mające na celu zmniejszenie ryzyka wymywania.</w:t>
      </w:r>
    </w:p>
    <w:p w14:paraId="0804DA06" w14:textId="77777777" w:rsidR="00503C92" w:rsidRPr="00F122A6" w:rsidRDefault="0037644B" w:rsidP="00EE0D48">
      <w:pPr>
        <w:pStyle w:val="BodyText"/>
        <w:spacing w:after="0"/>
        <w:ind w:left="1560" w:right="1830" w:firstLine="360"/>
        <w:jc w:val="both"/>
        <w:rPr>
          <w:sz w:val="20"/>
        </w:rPr>
      </w:pPr>
      <w:r>
        <w:rPr>
          <w:rStyle w:val="BodyTextChar"/>
          <w:sz w:val="20"/>
        </w:rPr>
        <w:t>Aby ułatwić stosowanie obornika, nawozów i innych materiałów organicznych, złagodzono przepisy dotyczące składowania lub stosowania w zakresie zakrycia glebą, odstępstw i okresów stosowania. Jednocześnie do wykazu akceptowanych odpadów dodaje się nowe odpady, modyfikując wymagania zgodnie z rynkiem oraz utrzymując kryteria bezpieczeństwa i efektywności agronomicznej.</w:t>
      </w:r>
    </w:p>
    <w:p w14:paraId="3D2CCECE" w14:textId="24F053FE" w:rsidR="00503C92" w:rsidRPr="00F122A6" w:rsidRDefault="0037644B" w:rsidP="00EE0D48">
      <w:pPr>
        <w:pStyle w:val="BodyText"/>
        <w:spacing w:after="0"/>
        <w:ind w:left="1560" w:right="1830" w:firstLine="360"/>
        <w:jc w:val="both"/>
        <w:rPr>
          <w:sz w:val="20"/>
        </w:rPr>
      </w:pPr>
      <w:r>
        <w:rPr>
          <w:rStyle w:val="BodyTextChar"/>
          <w:sz w:val="20"/>
        </w:rPr>
        <w:t xml:space="preserve">Niniejszy dekret królewski został opracowany zgodnie z zasadami dobrej regulacji określonymi w art. 129 ustawy 39/2015 z dnia 1 października 2015 r. o wspólnym postępowaniu administracyjnym administracji publicznej. Zgodnie z zasadami konieczności i skuteczności opracowanie projektu jest uzasadnione potrzebą lepszego stosowania przepisów Unii Europejskiej w Hiszpanii, przy czym niniejszy dekret jest najwłaściwszym instrumentem zapewniającym osiągnięcie tego celu z racji wymogu, zgodnie z którym uregulowanie musi zostać uwzględnione w rozporządzeniu podstawowym. Jest ono również zgodne z zasadą proporcjonalności i celem </w:t>
      </w:r>
      <w:r>
        <w:rPr>
          <w:rStyle w:val="BodyTextChar"/>
          <w:sz w:val="20"/>
        </w:rPr>
        <w:lastRenderedPageBreak/>
        <w:t>ograniczenia uregulowań do niezbędnego minimum w celu zmniejszenia stopnia regulacji. Z kolei zasadę pewności prawa gwarantuje wprowadzenie do ogólnego przepisu nowych postanowień zgodnych z pozostałą częścią systemu prawnego. Ponadto zgodnie z zasadą przejrzystości podczas prac nad uregulowaniem przeprowadzono konsultacje z podmiotami reprezentującymi zainteresowane sektory oraz przeprowadzono procedurę wysłuchania publicznego i informowania społeczeństwa. Ponadto uznaje się, że zasada efektywności została spełniona, ponieważ w porównaniu z obecnym uregulowaniem nie zostają nałożone żadne nowe obciążenia administracyjne.</w:t>
      </w:r>
    </w:p>
    <w:p w14:paraId="7B067845" w14:textId="77777777" w:rsidR="00503C92" w:rsidRPr="00F122A6" w:rsidRDefault="0037644B" w:rsidP="00EE0D48">
      <w:pPr>
        <w:pStyle w:val="BodyText"/>
        <w:spacing w:after="0"/>
        <w:ind w:left="1560" w:right="1830" w:firstLine="360"/>
        <w:jc w:val="both"/>
        <w:rPr>
          <w:sz w:val="20"/>
        </w:rPr>
      </w:pPr>
      <w:r>
        <w:rPr>
          <w:rStyle w:val="BodyTextChar"/>
          <w:sz w:val="20"/>
        </w:rPr>
        <w:t>Postanowienia niniejszego dekretu królewskiego stanowią przepisy podstawowe i zostają wydane na podstawie art. 149 ust. 1, pkt 13, 16 i 23 konstytucji hiszpańskiej, które przyznają państwu wyłączne kompetencje w zakresie, odpowiednio, tworzenia podstaw i koordynacji ogólnego planowania działalności gospodarczej, tworzenia podstaw i ogólnej koordynacji opieki zdrowotnej oraz ustanawiania podstawowych przepisów dotyczących ochrony środowiska, bez uszczerbku dla uprawnień wspólnot autonomicznych do ustanawiania dodatkowych zasad ochrony.</w:t>
      </w:r>
    </w:p>
    <w:p w14:paraId="4240DB30" w14:textId="77777777" w:rsidR="00503C92" w:rsidRPr="00F122A6" w:rsidRDefault="0037644B" w:rsidP="00EE0D48">
      <w:pPr>
        <w:pStyle w:val="BodyText"/>
        <w:spacing w:after="0"/>
        <w:ind w:left="1560" w:right="1830" w:firstLine="360"/>
        <w:jc w:val="both"/>
        <w:rPr>
          <w:sz w:val="20"/>
        </w:rPr>
      </w:pPr>
      <w:r>
        <w:rPr>
          <w:rStyle w:val="BodyTextChar"/>
          <w:sz w:val="20"/>
        </w:rPr>
        <w:t>Niniejsze uregulowanie zostaje wydane zgodnie z przepisami szesnastego przepisu końcowego ustawy 30/2022 z dnia 23 grudnia 2022 r. regulującej system zarządzania wspólną polityką rolną i powiązane kwestie.</w:t>
      </w:r>
    </w:p>
    <w:p w14:paraId="4D259E79" w14:textId="77777777" w:rsidR="00503C92" w:rsidRPr="00F122A6" w:rsidRDefault="0037644B" w:rsidP="00EE0D48">
      <w:pPr>
        <w:pStyle w:val="BodyText"/>
        <w:spacing w:after="0"/>
        <w:ind w:left="1560" w:right="1830" w:firstLine="360"/>
        <w:jc w:val="both"/>
        <w:rPr>
          <w:sz w:val="20"/>
        </w:rPr>
      </w:pPr>
      <w:r>
        <w:rPr>
          <w:rStyle w:val="BodyTextChar"/>
          <w:sz w:val="20"/>
        </w:rPr>
        <w:t>Uregulowanie zostało poddane procesowi konsultacji ze wspólnotami autonomicznymi oraz miastami Ceuta i Melilla, w oparciu o ogólny obowiązek współpracy między administracjami publicznymi nałożony na mocy art. 3 ust. 1 lit. k) ustawy 40/2015 z dnia 1 października 2015 r. o systemie prawnym sektora publicznego.</w:t>
      </w:r>
    </w:p>
    <w:p w14:paraId="373D6039" w14:textId="77777777" w:rsidR="00503C92" w:rsidRPr="00F122A6" w:rsidRDefault="0037644B" w:rsidP="00EE0D48">
      <w:pPr>
        <w:pStyle w:val="BodyText"/>
        <w:spacing w:after="0"/>
        <w:ind w:left="1560" w:right="1830" w:firstLine="360"/>
        <w:jc w:val="both"/>
        <w:rPr>
          <w:sz w:val="20"/>
        </w:rPr>
      </w:pPr>
      <w:r>
        <w:rPr>
          <w:rStyle w:val="BodyTextChar"/>
          <w:sz w:val="20"/>
        </w:rPr>
        <w:t>Zostało ono również poddane procedurze udzielania informacji w dziedzinie norm i przepisów technicznych przewidzianej w dyrektywie Parlamentu Europejskiego i Rady (UE) 2015/1535 z dnia 9 września 2015 r. ustanawiającej procedurę udzielania informacji w dziedzinie przepisów technicznych oraz zasad dotyczących usług społeczeństwa informacyjnego, uregulowanej dekretem królewskim 1337/1999 z dnia 31 lipca 1999 r. regulującym udzielanie informacji w dziedzinie norm i przepisów technicznych oraz zasad dotyczących usług społeczeństwa informacyjnego.</w:t>
      </w:r>
    </w:p>
    <w:p w14:paraId="48A1437F" w14:textId="77777777" w:rsidR="00503C92" w:rsidRPr="00F122A6" w:rsidRDefault="0037644B" w:rsidP="00EE0D48">
      <w:pPr>
        <w:pStyle w:val="BodyText"/>
        <w:spacing w:after="240"/>
        <w:ind w:left="1560" w:right="1830" w:firstLine="360"/>
        <w:jc w:val="both"/>
        <w:rPr>
          <w:sz w:val="20"/>
        </w:rPr>
      </w:pPr>
      <w:r>
        <w:rPr>
          <w:rStyle w:val="BodyTextChar"/>
          <w:sz w:val="20"/>
        </w:rPr>
        <w:t>W związku z powyższym, na wniosek Ministra Rolnictwa, Rybołówstwa i Żywności, w porozumieniu z Radą Stanu i po rozpatrzeniu przez Radę Ministrów na posiedzeniu w dniu 27 sierpnia 2024 r.,</w:t>
      </w:r>
    </w:p>
    <w:p w14:paraId="6DA74257" w14:textId="77777777" w:rsidR="00503C92" w:rsidRPr="00F122A6" w:rsidRDefault="0037644B" w:rsidP="00EE0D48">
      <w:pPr>
        <w:pStyle w:val="BodyText"/>
        <w:spacing w:after="180"/>
        <w:ind w:left="1560" w:right="1830" w:firstLine="0"/>
        <w:jc w:val="center"/>
        <w:rPr>
          <w:sz w:val="20"/>
        </w:rPr>
      </w:pPr>
      <w:r>
        <w:rPr>
          <w:rStyle w:val="BodyTextChar"/>
          <w:sz w:val="20"/>
        </w:rPr>
        <w:t>NINIEJSZYM ROZPORZĄDZAM, CO NASTĘPUJE:</w:t>
      </w:r>
    </w:p>
    <w:p w14:paraId="44A8F054" w14:textId="77777777" w:rsidR="00503C92" w:rsidRPr="00F122A6" w:rsidRDefault="0037644B" w:rsidP="00BB487E">
      <w:pPr>
        <w:pStyle w:val="BodyText"/>
        <w:spacing w:after="140" w:line="257" w:lineRule="auto"/>
        <w:ind w:left="1985" w:right="1830" w:hanging="360"/>
        <w:jc w:val="both"/>
        <w:rPr>
          <w:sz w:val="20"/>
          <w:szCs w:val="20"/>
        </w:rPr>
      </w:pPr>
      <w:r>
        <w:rPr>
          <w:rStyle w:val="BodyTextChar"/>
          <w:b/>
          <w:sz w:val="20"/>
        </w:rPr>
        <w:t xml:space="preserve">Jedyny artykuł. </w:t>
      </w:r>
      <w:r>
        <w:rPr>
          <w:rStyle w:val="BodyTextChar"/>
          <w:i/>
          <w:sz w:val="20"/>
        </w:rPr>
        <w:t>Zmiana dekretu królewskiego 1051/2022 z dnia 27 grudnia 2022 r. ustanawiającego przepisy dotyczące zrównoważonego nawożenia gleb rolnych.</w:t>
      </w:r>
    </w:p>
    <w:p w14:paraId="20188F93" w14:textId="77777777" w:rsidR="00503C92" w:rsidRPr="00F122A6" w:rsidRDefault="0037644B" w:rsidP="00EE0D48">
      <w:pPr>
        <w:pStyle w:val="BodyText"/>
        <w:spacing w:after="140"/>
        <w:ind w:left="1560" w:right="1830" w:firstLine="360"/>
        <w:jc w:val="both"/>
        <w:rPr>
          <w:sz w:val="20"/>
        </w:rPr>
      </w:pPr>
      <w:r>
        <w:rPr>
          <w:rStyle w:val="BodyTextChar"/>
          <w:sz w:val="20"/>
        </w:rPr>
        <w:t>W dekrecie królewskim 1051/2022 z dnia 27 grudnia 2022 r. ustanawiającym przepisy dotyczące zrównoważonego nawożenia gleb rolnych wprowadza się następujące zmiany:</w:t>
      </w:r>
    </w:p>
    <w:p w14:paraId="6948B1B2" w14:textId="77777777" w:rsidR="00503C92" w:rsidRPr="00F122A6" w:rsidRDefault="0037644B" w:rsidP="00EE0D48">
      <w:pPr>
        <w:pStyle w:val="BodyText"/>
        <w:spacing w:after="140"/>
        <w:ind w:left="1560" w:right="1830" w:firstLine="360"/>
        <w:jc w:val="both"/>
        <w:rPr>
          <w:sz w:val="20"/>
        </w:rPr>
      </w:pPr>
      <w:r>
        <w:rPr>
          <w:rStyle w:val="BodyTextChar"/>
          <w:sz w:val="20"/>
        </w:rPr>
        <w:t>Punkt pierwszy. Artykuł 3 lit. d) otrzymuje następujące brzmienie:</w:t>
      </w:r>
    </w:p>
    <w:p w14:paraId="24D5FBD1" w14:textId="198E1DDF" w:rsidR="00503C92" w:rsidRPr="00F122A6" w:rsidRDefault="0037644B" w:rsidP="00EE0D48">
      <w:pPr>
        <w:pStyle w:val="BodyText"/>
        <w:spacing w:after="140"/>
        <w:ind w:left="1560" w:right="1830"/>
        <w:jc w:val="both"/>
        <w:rPr>
          <w:sz w:val="20"/>
        </w:rPr>
      </w:pPr>
      <w:r>
        <w:rPr>
          <w:rStyle w:val="BodyTextChar"/>
          <w:sz w:val="20"/>
        </w:rPr>
        <w:t>„d) kompost: materiał otrzymywany w wyniku tlenowego i termofilnego biologicznego przetwarzania selektywnie zebranych odpadów ulegających biodegradacji, który, w przypadku otrzymania w drodze kompostowania tlenowego zgodnie z wymogami dla kategorii materiałów składowych 3 (CMC 3) przewidzianej w załączniku II do rozporządzenia Parlamentu Europejskiego i Rady (UE) 2019/1009 z dnia 5 czerwca 2019 r., traci status odpadu, jeśli jest również zgodny z wymogami przepisów dotyczących produktu”.</w:t>
      </w:r>
    </w:p>
    <w:p w14:paraId="402A47F5" w14:textId="77777777" w:rsidR="00503C92" w:rsidRPr="00F122A6" w:rsidRDefault="0037644B" w:rsidP="00F122A6">
      <w:pPr>
        <w:pStyle w:val="BodyText"/>
        <w:keepNext/>
        <w:spacing w:after="140"/>
        <w:ind w:left="1559" w:right="1831" w:firstLine="357"/>
        <w:jc w:val="both"/>
        <w:rPr>
          <w:sz w:val="20"/>
        </w:rPr>
      </w:pPr>
      <w:r>
        <w:rPr>
          <w:rStyle w:val="BodyTextChar"/>
          <w:sz w:val="20"/>
        </w:rPr>
        <w:lastRenderedPageBreak/>
        <w:t>Punkt drugi. Artykuł 5 lit. a) otrzymuje następujące brzmienie:</w:t>
      </w:r>
    </w:p>
    <w:p w14:paraId="4150FC23" w14:textId="77777777" w:rsidR="00EE0D48" w:rsidRPr="00F122A6" w:rsidRDefault="0037644B" w:rsidP="00EE0D48">
      <w:pPr>
        <w:pStyle w:val="BodyText"/>
        <w:spacing w:after="140" w:line="276" w:lineRule="auto"/>
        <w:ind w:left="1560" w:right="1830"/>
        <w:jc w:val="both"/>
        <w:rPr>
          <w:rStyle w:val="BodyTextChar"/>
          <w:sz w:val="20"/>
        </w:rPr>
      </w:pPr>
      <w:r>
        <w:rPr>
          <w:rStyle w:val="BodyTextChar"/>
          <w:sz w:val="20"/>
        </w:rPr>
        <w:t>„a) następujące informacje z planu nawożenia, o którym mowa w art. 6, o ile jego sporządzenie jest obowiązkowe, na początku roku uprawy: oczekiwany plon, poprzednia uprawa, zapotrzebowanie na N,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xml:space="preserve"> i K</w:t>
      </w:r>
      <w:r>
        <w:rPr>
          <w:rStyle w:val="BodyTextChar"/>
          <w:sz w:val="20"/>
          <w:vertAlign w:val="subscript"/>
        </w:rPr>
        <w:t>2</w:t>
      </w:r>
      <w:r>
        <w:rPr>
          <w:rStyle w:val="BodyTextChar"/>
          <w:sz w:val="20"/>
        </w:rPr>
        <w:t>O oraz data sporządzenia planu”.</w:t>
      </w:r>
    </w:p>
    <w:p w14:paraId="694AB235" w14:textId="47707BFA" w:rsidR="00503C92" w:rsidRPr="00F122A6" w:rsidRDefault="0037644B" w:rsidP="00EE0D48">
      <w:pPr>
        <w:pStyle w:val="BodyText"/>
        <w:spacing w:after="140"/>
        <w:ind w:left="1560" w:right="1830" w:firstLine="360"/>
        <w:jc w:val="both"/>
        <w:rPr>
          <w:sz w:val="20"/>
        </w:rPr>
      </w:pPr>
      <w:r>
        <w:rPr>
          <w:rStyle w:val="BodyTextChar"/>
          <w:sz w:val="20"/>
        </w:rPr>
        <w:t>Punkt trzeci. Artykuł 6 ust. 4 otrzymuje następujące brzmienie:</w:t>
      </w:r>
    </w:p>
    <w:p w14:paraId="71A37E88" w14:textId="77777777" w:rsidR="00503C92" w:rsidRPr="00F122A6" w:rsidRDefault="0037644B" w:rsidP="00EE0D48">
      <w:pPr>
        <w:pStyle w:val="BodyText"/>
        <w:ind w:left="1560" w:right="1830"/>
        <w:jc w:val="both"/>
        <w:rPr>
          <w:sz w:val="20"/>
        </w:rPr>
      </w:pPr>
      <w:r>
        <w:rPr>
          <w:rStyle w:val="BodyTextChar"/>
          <w:sz w:val="20"/>
        </w:rPr>
        <w:t>„4. Plan musi określać zalecaną dawkę różnych składników odżywczych, czas, w którym mają być stosowane, a także rodzaj nawozu lub materiału, metodę stosowania i maszyny przewidziane do jego rozprowadzania”.</w:t>
      </w:r>
    </w:p>
    <w:p w14:paraId="283A1B19" w14:textId="77777777" w:rsidR="00503C92" w:rsidRPr="00F122A6" w:rsidRDefault="0037644B" w:rsidP="00EE0D48">
      <w:pPr>
        <w:pStyle w:val="BodyText"/>
        <w:ind w:left="1560" w:right="1830"/>
        <w:jc w:val="both"/>
        <w:rPr>
          <w:sz w:val="20"/>
        </w:rPr>
      </w:pPr>
      <w:r>
        <w:rPr>
          <w:rStyle w:val="BodyTextChar"/>
          <w:sz w:val="20"/>
        </w:rPr>
        <w:t>Punkt czwarty. Artykuł 9 ust. 2 lit. g) otrzymuje następujące brzmienie:</w:t>
      </w:r>
    </w:p>
    <w:p w14:paraId="582E52F1" w14:textId="77777777" w:rsidR="00503C92" w:rsidRPr="00F122A6" w:rsidRDefault="0037644B" w:rsidP="00EE0D48">
      <w:pPr>
        <w:pStyle w:val="BodyText"/>
        <w:ind w:left="1560" w:right="1830"/>
        <w:jc w:val="both"/>
        <w:rPr>
          <w:sz w:val="20"/>
        </w:rPr>
      </w:pPr>
      <w:r>
        <w:rPr>
          <w:rStyle w:val="BodyTextChar"/>
          <w:sz w:val="20"/>
        </w:rPr>
        <w:t>„g) stosy nie mogą pozostawać na terenie zagrody dłużej niż przez 10 dni. Jeśli składowany materiał jest poddawany kompostowaniu lub fermentacji, okres ten może zostać przedłużony do maksymalnie 20 dni. Zagrody, do których nie ma można wjechać maszynami z powodu opadów deszczu, są zwolnione z tego obowiązku do czasu ustania wspomnianej okoliczności”.</w:t>
      </w:r>
    </w:p>
    <w:p w14:paraId="0430BE9F" w14:textId="77777777" w:rsidR="00503C92" w:rsidRPr="00F122A6" w:rsidRDefault="0037644B" w:rsidP="00EE0D48">
      <w:pPr>
        <w:pStyle w:val="BodyText"/>
        <w:ind w:left="1560" w:right="1830"/>
        <w:jc w:val="both"/>
        <w:rPr>
          <w:sz w:val="20"/>
        </w:rPr>
      </w:pPr>
      <w:r>
        <w:rPr>
          <w:rStyle w:val="BodyTextChar"/>
          <w:sz w:val="20"/>
        </w:rPr>
        <w:t>Punkt piąty. Artykuł 10 ust. 2 i artykuł 10 ust. 3 pierwszy i ostatni akapit otrzymują następujące brzmienie:</w:t>
      </w:r>
    </w:p>
    <w:p w14:paraId="5D0D8FC9" w14:textId="77777777" w:rsidR="00503C92" w:rsidRPr="00F122A6" w:rsidRDefault="0037644B" w:rsidP="00EE0D48">
      <w:pPr>
        <w:pStyle w:val="BodyText"/>
        <w:spacing w:after="0"/>
        <w:ind w:left="1560" w:right="1830"/>
        <w:jc w:val="both"/>
        <w:rPr>
          <w:sz w:val="20"/>
        </w:rPr>
      </w:pPr>
      <w:r>
        <w:rPr>
          <w:rStyle w:val="BodyTextChar"/>
          <w:sz w:val="20"/>
        </w:rPr>
        <w:t>„2. Zabrania się rozprowadzania innych materiałów organicznych lub organiczno-mineralnych, w tym odpadów, przy użyciu płyt rozbryzgowych, łyżek rozlewowych i działek, jeżeli wilgotność tych materiałów wynosi 90 % lub więcej, a zawartość w nich azotu amonowego przekracza 0,1 % świeżej masy”.</w:t>
      </w:r>
    </w:p>
    <w:p w14:paraId="6C51EA6F" w14:textId="77777777" w:rsidR="00503C92" w:rsidRPr="00F122A6" w:rsidRDefault="0037644B" w:rsidP="00EE0D48">
      <w:pPr>
        <w:pStyle w:val="BodyText"/>
        <w:spacing w:after="0"/>
        <w:ind w:left="1560" w:right="1830"/>
        <w:jc w:val="both"/>
        <w:rPr>
          <w:sz w:val="20"/>
        </w:rPr>
      </w:pPr>
      <w:r>
        <w:rPr>
          <w:rStyle w:val="BodyTextChar"/>
          <w:sz w:val="20"/>
        </w:rPr>
        <w:t>„3. „Obornik i produkty lub materiały organiczne bądź organiczno-mineralne, w tym odpady, muszą zostać zakryte glebą jak najszybciej po ich rozprowadzeniu, w każdym przypadku w ciągu pierwszych 24 godzin, z zastosowaniem pługa lemieszowego, pogłębiacza, glebogryzarki lub sprzętu działającego w analogiczny sposób, chyba że zachodzi jedna z następujących okoliczności:”</w:t>
      </w:r>
    </w:p>
    <w:p w14:paraId="1D9B8B0E" w14:textId="77777777" w:rsidR="00503C92" w:rsidRPr="00F122A6" w:rsidRDefault="0037644B" w:rsidP="00EE0D48">
      <w:pPr>
        <w:pStyle w:val="BodyText"/>
        <w:ind w:left="1560" w:right="1830"/>
        <w:jc w:val="both"/>
        <w:rPr>
          <w:sz w:val="20"/>
        </w:rPr>
      </w:pPr>
      <w:r>
        <w:rPr>
          <w:rStyle w:val="BodyTextChar"/>
          <w:sz w:val="20"/>
        </w:rPr>
        <w:t>„Właściwe organy wspólnot autonomicznych, biorąc pod uwagę warunki agroklimatyczne panujące na podległych im terytoriach oraz rodzaj rozprowadzanego materiału, mogą wyznaczyć maksymalny okres na zakrycie glebą krótszy niż 24 godziny, jeżeli takie zakrycie jest wymagane”.</w:t>
      </w:r>
    </w:p>
    <w:p w14:paraId="73324CC2" w14:textId="77777777" w:rsidR="00503C92" w:rsidRPr="00F122A6" w:rsidRDefault="0037644B" w:rsidP="00EE0D48">
      <w:pPr>
        <w:pStyle w:val="BodyText"/>
        <w:ind w:left="1560" w:right="1830"/>
        <w:jc w:val="both"/>
        <w:rPr>
          <w:sz w:val="20"/>
        </w:rPr>
      </w:pPr>
      <w:r>
        <w:rPr>
          <w:rStyle w:val="BodyTextChar"/>
          <w:sz w:val="20"/>
        </w:rPr>
        <w:t>Punkt szósty. Artykuł 12 ust. 2, 3 i 4 otrzymują następujące brzmienie:</w:t>
      </w:r>
    </w:p>
    <w:p w14:paraId="6BB7A2EA" w14:textId="77777777" w:rsidR="00503C92" w:rsidRPr="00F122A6" w:rsidRDefault="0037644B" w:rsidP="00EE0D48">
      <w:pPr>
        <w:pStyle w:val="BodyText"/>
        <w:spacing w:after="0"/>
        <w:ind w:left="1560" w:right="1830"/>
        <w:jc w:val="both"/>
        <w:rPr>
          <w:sz w:val="20"/>
        </w:rPr>
      </w:pPr>
      <w:r>
        <w:rPr>
          <w:rStyle w:val="BodyTextChar"/>
          <w:sz w:val="20"/>
        </w:rPr>
        <w:t>„2. Preferować należy w miarę możliwości stosowanie produktów nawozowych, z którymi wiąże się niższy poziom emisji amoniaku, niższy poziom emisji gazów cieplarnianych lub mniejsze ryzyko wypłukiwania azotanów, z uwzględnieniem właściwości gleby, klimatu i upraw.</w:t>
      </w:r>
    </w:p>
    <w:p w14:paraId="7EF1CF55" w14:textId="77777777" w:rsidR="00503C92" w:rsidRPr="00F122A6" w:rsidRDefault="0037644B" w:rsidP="00EE0D48">
      <w:pPr>
        <w:pStyle w:val="BodyText"/>
        <w:numPr>
          <w:ilvl w:val="0"/>
          <w:numId w:val="2"/>
        </w:numPr>
        <w:tabs>
          <w:tab w:val="left" w:pos="1290"/>
        </w:tabs>
        <w:spacing w:after="0"/>
        <w:ind w:left="1560" w:right="1830"/>
        <w:jc w:val="both"/>
        <w:rPr>
          <w:sz w:val="20"/>
        </w:rPr>
      </w:pPr>
      <w:r>
        <w:rPr>
          <w:rStyle w:val="BodyTextChar"/>
          <w:sz w:val="20"/>
        </w:rPr>
        <w:t>W przypadku stosowania mocznika lub roztworów azotu mocznikowego, należy stosować co najmniej jedną z metod wymienionych w części B załącznika V, dowolną inną metodę, w przypadku której wykazano podobną skuteczność w zakresie zmniejszenia emisji amoniaku, albo prowadzić cyfrowy dziennik gospodarstwa, nawet jeśli pozostałe przepisy niniejszego dekretu królewskiego tego nie wymagają.</w:t>
      </w:r>
    </w:p>
    <w:p w14:paraId="1DABF87A" w14:textId="3D896EA7" w:rsidR="00503C92" w:rsidRPr="00F122A6" w:rsidRDefault="0037644B" w:rsidP="00EE0D48">
      <w:pPr>
        <w:pStyle w:val="BodyText"/>
        <w:numPr>
          <w:ilvl w:val="0"/>
          <w:numId w:val="2"/>
        </w:numPr>
        <w:tabs>
          <w:tab w:val="left" w:pos="1290"/>
        </w:tabs>
        <w:ind w:left="1560" w:right="1830"/>
        <w:jc w:val="both"/>
        <w:rPr>
          <w:sz w:val="20"/>
        </w:rPr>
      </w:pPr>
      <w:r>
        <w:rPr>
          <w:rStyle w:val="BodyTextChar"/>
          <w:sz w:val="20"/>
        </w:rPr>
        <w:t xml:space="preserve">Jeżeli w ciągu jednego roku okaże się, że azot dostarczany w postaci mocznika i roztworów azotu mocznikowego stanowi więcej niż 30 % całkowitego azotu wprowadzonego do obrotu na poziomie krajowym, w następnym sezonie gospodarstwa pokrywające ponad 20 % zapotrzebowania na azot przy użyciu mocznika lub roztworów azotu mocznikowego będą zobowiązane dokonać wyboru tych spośród metod określonych w części B załącznika V, które zapewniają zmniejszenie emisji o co najmniej 30 % w porównaniu z techniką odniesienia, zgodnie z szacunkami zawartymi w wytycznych „Możliwości ograniczenia emisji amoniaku”opracowanych przez działającą </w:t>
      </w:r>
      <w:r>
        <w:rPr>
          <w:rStyle w:val="BodyTextChar"/>
          <w:sz w:val="20"/>
        </w:rPr>
        <w:lastRenderedPageBreak/>
        <w:t>przy Europejskiej Komisji Gospodarczej Organizacji Narodów Zjednoczonych (EKG ONZ) Grupę Zadaniową ds. Azotu Reaktywnego. W tym celu, decyzją Dyrekcji Generalnej ds. Produkcji i Rynków Rolnych, corocznie publikuje się informację o ilości azotu wprowadzanego do obrotu w postaci mocznika i roztworów azotu mocznikowego jako odsetka całości wprowadzonego azotu. W przypadku gdy Ministerstwo Transformacji Ekologicznej i Wyzwań Demograficznych określi krajowe współczynniki zmniejszenia dla tych technik, zastąpią one te określone w wyżej wymienionych wytycznych EKG ONZ”.</w:t>
      </w:r>
    </w:p>
    <w:p w14:paraId="696818E4" w14:textId="77777777" w:rsidR="00503C92" w:rsidRPr="00F122A6" w:rsidRDefault="0037644B" w:rsidP="00EE0D48">
      <w:pPr>
        <w:pStyle w:val="BodyText"/>
        <w:ind w:left="1560" w:right="1830"/>
        <w:jc w:val="both"/>
        <w:rPr>
          <w:sz w:val="20"/>
        </w:rPr>
      </w:pPr>
      <w:r>
        <w:rPr>
          <w:rStyle w:val="BodyTextChar"/>
          <w:sz w:val="20"/>
        </w:rPr>
        <w:t>Punkt siódmy. W art. 15 ust. 1 wprowadza się zmiany oraz dodaje się nowy ust. 6 w brzmieniu:</w:t>
      </w:r>
    </w:p>
    <w:p w14:paraId="598FC1FC" w14:textId="77777777" w:rsidR="00503C92" w:rsidRPr="00F122A6" w:rsidRDefault="0037644B" w:rsidP="00EE0D48">
      <w:pPr>
        <w:pStyle w:val="BodyText"/>
        <w:spacing w:after="0"/>
        <w:ind w:left="1560" w:right="1830"/>
        <w:jc w:val="both"/>
        <w:rPr>
          <w:sz w:val="20"/>
        </w:rPr>
      </w:pPr>
      <w:r>
        <w:rPr>
          <w:rStyle w:val="BodyTextChar"/>
          <w:sz w:val="20"/>
        </w:rPr>
        <w:t>„1. W przypadku zastosowania w charakterze środków ulepszających glebę, materiały, o których mowa w poprzednim artykule, stosuje się wyłącznie na glebach nieuprawnych, a w przypadku stosowania na plantacjach drzew lub na trwałych uprawach roślin polowych, takich jak banany i papaje, stosuje się je bezpośrednio na glebę i przed końcem okresu zimowego spoczynku. W przypadku trwałych użytków zielonych można je stosować po uzyskaniu zezwolenia od wspólnoty autonomicznej. W przypadku zastosowania w celu wykorzystania ich składników odżywczych jako nawozu, jeżeli są stosowane na gruntach, na których znajdują się z rośliny uprawne, nie mogą one mieć kontaktu z częścią rośliny przeznaczoną do spożycia”.</w:t>
      </w:r>
    </w:p>
    <w:p w14:paraId="7B11D49C" w14:textId="77777777" w:rsidR="00503C92" w:rsidRPr="00F122A6" w:rsidRDefault="0037644B" w:rsidP="00EE0D48">
      <w:pPr>
        <w:pStyle w:val="BodyText"/>
        <w:ind w:left="1560" w:right="1830"/>
        <w:jc w:val="both"/>
        <w:rPr>
          <w:sz w:val="20"/>
        </w:rPr>
      </w:pPr>
      <w:r>
        <w:rPr>
          <w:rStyle w:val="BodyTextChar"/>
          <w:sz w:val="20"/>
        </w:rPr>
        <w:t>„6. We wspólnotach autonomicznych, w których przed wprowadzeniem uregulowań przewidzianych w niniejszym dekrecie nie obowiązywały stosowne przepisy, odpady ciekłe nadające się do odzysku, z wyjątkiem osadu, które są wykorzystywane do dostarczania składników odżywczych do upraw, stosuje się z zachowaniem okresu co najmniej dwóch miesięcy pomiędzy rozprowadzeniem odpadów a zbiorem. Okres ten może jednak zostać skrócony do 21 dni w następujących przypadkach:</w:t>
      </w:r>
    </w:p>
    <w:p w14:paraId="76164C5F" w14:textId="77777777" w:rsidR="00503C92" w:rsidRPr="00F122A6" w:rsidRDefault="0037644B" w:rsidP="00EE0D48">
      <w:pPr>
        <w:pStyle w:val="BodyText"/>
        <w:numPr>
          <w:ilvl w:val="0"/>
          <w:numId w:val="3"/>
        </w:numPr>
        <w:tabs>
          <w:tab w:val="left" w:pos="1304"/>
        </w:tabs>
        <w:spacing w:after="0"/>
        <w:ind w:left="1560" w:right="1830" w:firstLine="920"/>
        <w:jc w:val="both"/>
        <w:rPr>
          <w:sz w:val="20"/>
        </w:rPr>
      </w:pPr>
      <w:r>
        <w:rPr>
          <w:rStyle w:val="BodyTextChar"/>
          <w:sz w:val="20"/>
        </w:rPr>
        <w:t>zbiory nie są przeznaczone do spożycia przez ludzi lub zwierzęta; lub</w:t>
      </w:r>
    </w:p>
    <w:p w14:paraId="507CC156" w14:textId="77777777" w:rsidR="00503C92" w:rsidRPr="00F122A6" w:rsidRDefault="0037644B" w:rsidP="00BB487E">
      <w:pPr>
        <w:pStyle w:val="BodyText"/>
        <w:numPr>
          <w:ilvl w:val="0"/>
          <w:numId w:val="3"/>
        </w:numPr>
        <w:tabs>
          <w:tab w:val="left" w:pos="1300"/>
        </w:tabs>
        <w:ind w:left="2127" w:right="1830"/>
        <w:jc w:val="both"/>
        <w:rPr>
          <w:sz w:val="20"/>
        </w:rPr>
      </w:pPr>
      <w:r>
        <w:rPr>
          <w:rStyle w:val="BodyTextChar"/>
          <w:sz w:val="20"/>
        </w:rPr>
        <w:t>forma uprawy albo system rozprowadzania materiału zapewnia, że odpady nie mają styczności z jadalnymi częściami uprawy”.</w:t>
      </w:r>
    </w:p>
    <w:p w14:paraId="5D11DE93" w14:textId="77777777" w:rsidR="00503C92" w:rsidRPr="00F122A6" w:rsidRDefault="0037644B" w:rsidP="00EE0D48">
      <w:pPr>
        <w:pStyle w:val="BodyText"/>
        <w:ind w:left="1560" w:right="1830"/>
        <w:jc w:val="both"/>
        <w:rPr>
          <w:sz w:val="20"/>
        </w:rPr>
      </w:pPr>
      <w:r>
        <w:rPr>
          <w:rStyle w:val="BodyTextChar"/>
          <w:sz w:val="20"/>
        </w:rPr>
        <w:t>Punkt ósmy. Artykuł 20 akapit pierwszy otrzymuje następujące brzmienie:</w:t>
      </w:r>
    </w:p>
    <w:p w14:paraId="1194A18B" w14:textId="77777777" w:rsidR="00503C92" w:rsidRPr="00F122A6" w:rsidRDefault="0037644B" w:rsidP="00EE0D48">
      <w:pPr>
        <w:pStyle w:val="BodyText"/>
        <w:ind w:left="1560" w:right="1830"/>
        <w:jc w:val="both"/>
        <w:rPr>
          <w:sz w:val="20"/>
        </w:rPr>
      </w:pPr>
      <w:r>
        <w:rPr>
          <w:rStyle w:val="BodyTextChar"/>
          <w:sz w:val="20"/>
        </w:rPr>
        <w:t>„Doradztwo w zakresie różnych aspektów nawożenia, o których mowa w niniejszym dekrecie królewskim, realizuje technik posiadający akredytację doradcy ds. nawożenia zgodnie z wymogami określonymi w art. 21. Jeśli jednak właściwy organ wspólnoty autonomicznej dokona takich ustaleń, obowiązki dotyczące doradztwa mogą zostać spełnione, jeżeli właściciel gospodarstwa będzie stosował oprogramowanie przedstawiające rekomendacje dotyczące nawożenia,zatwierdzone przez wspomniany właściwy organ, zgodnie z minimalnymi wymogami określonymi w części III załącznika III, pod warunkiem że właściciel będzie prowadzić dziennik gospodarstwa w postaci cyfrowej”.</w:t>
      </w:r>
    </w:p>
    <w:p w14:paraId="0E0619CE" w14:textId="77777777" w:rsidR="00503C92" w:rsidRPr="00F122A6" w:rsidRDefault="0037644B" w:rsidP="00EE0D48">
      <w:pPr>
        <w:pStyle w:val="BodyText"/>
        <w:spacing w:after="180"/>
        <w:ind w:left="1560" w:right="1830"/>
        <w:jc w:val="both"/>
        <w:rPr>
          <w:sz w:val="20"/>
        </w:rPr>
      </w:pPr>
      <w:r>
        <w:rPr>
          <w:rStyle w:val="BodyTextChar"/>
          <w:sz w:val="20"/>
        </w:rPr>
        <w:t>Punkt dziewiąty. Jedyny przepis przejściowy brzmi następująco:</w:t>
      </w:r>
    </w:p>
    <w:p w14:paraId="1B18B22E" w14:textId="77777777" w:rsidR="00503C92" w:rsidRPr="00F122A6" w:rsidRDefault="0037644B" w:rsidP="00BB487E">
      <w:pPr>
        <w:pStyle w:val="BodyText"/>
        <w:spacing w:line="257" w:lineRule="auto"/>
        <w:ind w:left="1985" w:right="1830" w:hanging="340"/>
        <w:jc w:val="both"/>
        <w:rPr>
          <w:sz w:val="20"/>
          <w:szCs w:val="20"/>
        </w:rPr>
      </w:pPr>
      <w:r>
        <w:rPr>
          <w:rStyle w:val="BodyTextChar"/>
          <w:sz w:val="20"/>
        </w:rPr>
        <w:t xml:space="preserve">„Jedyny przepis przejściowy. </w:t>
      </w:r>
      <w:r>
        <w:rPr>
          <w:rStyle w:val="BodyTextChar"/>
          <w:i/>
          <w:sz w:val="20"/>
        </w:rPr>
        <w:t>Zagospodarowanie odpadów w ramach operacji R1001 Odzyskiwanie odpadów w ramach uprawy roli i ogrodnictwa.</w:t>
      </w:r>
    </w:p>
    <w:p w14:paraId="1D7846FC" w14:textId="720A5B50" w:rsidR="00503C92" w:rsidRPr="00F122A6" w:rsidRDefault="0037644B" w:rsidP="00EE0D48">
      <w:pPr>
        <w:pStyle w:val="BodyText"/>
        <w:ind w:left="1560" w:right="1830"/>
        <w:jc w:val="both"/>
        <w:rPr>
          <w:sz w:val="20"/>
        </w:rPr>
      </w:pPr>
      <w:r>
        <w:rPr>
          <w:rStyle w:val="BodyTextChar"/>
          <w:sz w:val="20"/>
        </w:rPr>
        <w:t xml:space="preserve">W przypadku odpadów, które przed wejściem w życie niniejszego dekretu królewskiego zostały dopuszczone przez właściwy organ ds. ochrony środowiska do zagospodarowania w ramach operacji R1001 Odzyskiwanie odpadów w ramach uprawy roli i ogrodnictwa poprzez poświadczenie w tym celu dokumentacji zawierającej opis procesu i charakterystykę analityczną, producentowi odpadów przysługuje okres 3 lat od opublikowania niniejszego dekretu królewskiego na kontynuację gospodarki tymi odpadami oraz na przedłożenie, w stosownych przypadkach, sprawozdania dotyczącego </w:t>
      </w:r>
      <w:r>
        <w:rPr>
          <w:rStyle w:val="BodyTextChar"/>
          <w:sz w:val="20"/>
        </w:rPr>
        <w:lastRenderedPageBreak/>
        <w:t>zmiany załącznika VIII”.</w:t>
      </w:r>
    </w:p>
    <w:p w14:paraId="2A47F4D6" w14:textId="77777777" w:rsidR="00503C92" w:rsidRPr="00F122A6" w:rsidRDefault="0037644B" w:rsidP="00EE0D48">
      <w:pPr>
        <w:pStyle w:val="BodyText"/>
        <w:ind w:left="1560" w:right="1830"/>
        <w:jc w:val="both"/>
        <w:rPr>
          <w:sz w:val="20"/>
        </w:rPr>
      </w:pPr>
      <w:r>
        <w:rPr>
          <w:rStyle w:val="BodyTextChar"/>
          <w:sz w:val="20"/>
        </w:rPr>
        <w:t>Punkt dziesiąty. Akapit iii) załącznika II otrzymuje następujące brzmienie:</w:t>
      </w:r>
    </w:p>
    <w:p w14:paraId="059223B0" w14:textId="77777777" w:rsidR="00EE0D48" w:rsidRPr="00F122A6" w:rsidRDefault="0037644B" w:rsidP="00EE0D48">
      <w:pPr>
        <w:pStyle w:val="BodyText"/>
        <w:ind w:left="1560" w:right="1830"/>
        <w:jc w:val="both"/>
        <w:rPr>
          <w:rStyle w:val="BodyTextChar"/>
          <w:sz w:val="20"/>
        </w:rPr>
      </w:pPr>
      <w:r>
        <w:rPr>
          <w:rStyle w:val="BodyTextChar"/>
          <w:sz w:val="20"/>
        </w:rPr>
        <w:t>„iii) jeżeli stosowane są techniki ograniczania wypłukiwania, takie jak zastosowanie polimerów, inhibitorów itp., niektóre produkty o opóźnionym uwalnianiu mogą zostać wyłączone z zakazu stosowania w wyznaczonych okresach”.</w:t>
      </w:r>
    </w:p>
    <w:p w14:paraId="7DE01383" w14:textId="0A5F5024" w:rsidR="00503C92" w:rsidRPr="00F122A6" w:rsidRDefault="0037644B" w:rsidP="00EE0D48">
      <w:pPr>
        <w:pStyle w:val="BodyText"/>
        <w:ind w:left="1560" w:right="1830"/>
        <w:jc w:val="both"/>
        <w:rPr>
          <w:sz w:val="20"/>
        </w:rPr>
      </w:pPr>
      <w:r>
        <w:rPr>
          <w:rStyle w:val="BodyTextChar"/>
          <w:sz w:val="20"/>
        </w:rPr>
        <w:t>Punkt jedenasty. Akapit pierwszy części III załącznika III otrzymuje następujące brzmienie:</w:t>
      </w:r>
    </w:p>
    <w:p w14:paraId="18597F81" w14:textId="77777777" w:rsidR="00503C92" w:rsidRPr="00F122A6" w:rsidRDefault="0037644B" w:rsidP="00EE0D48">
      <w:pPr>
        <w:pStyle w:val="BodyText"/>
        <w:spacing w:after="140"/>
        <w:ind w:left="1560" w:right="1830"/>
        <w:jc w:val="both"/>
        <w:rPr>
          <w:sz w:val="20"/>
        </w:rPr>
      </w:pPr>
      <w:r>
        <w:rPr>
          <w:rStyle w:val="BodyTextChar"/>
          <w:sz w:val="20"/>
        </w:rPr>
        <w:t>„Obowiązki z zakresu doradztwa ustanowione niniejszym dekretem królewskim uznaje się za spełnione, gdy rolnik prowadzi cyfrowy dziennik gospodarstwa oraz gdy wykorzystywane są narzędzia lub aplikacje informatyczne służące do obliczania zapotrzebowania upraw na składniki odżywcze i przedstawienia propozycji nawożenia, pod warunkiem że zostały one zatwierdzone przez właściwy organ wspólnoty autonomicznej, w której mają być wykorzystywane”.</w:t>
      </w:r>
    </w:p>
    <w:p w14:paraId="3C7D3588" w14:textId="77777777" w:rsidR="00503C92" w:rsidRPr="00F122A6" w:rsidRDefault="0037644B" w:rsidP="00EE0D48">
      <w:pPr>
        <w:pStyle w:val="BodyText"/>
        <w:spacing w:after="140"/>
        <w:ind w:left="1560" w:right="1830" w:firstLine="360"/>
        <w:jc w:val="both"/>
        <w:rPr>
          <w:sz w:val="20"/>
        </w:rPr>
      </w:pPr>
      <w:r>
        <w:rPr>
          <w:rStyle w:val="BodyTextChar"/>
          <w:sz w:val="20"/>
        </w:rPr>
        <w:t>Punkt dwunasty. Ostatni wiersz tabeli zamieszczonej w ust. 1 części A załącznika IV zostaje zastąpiony następującymi dwoma wierszami i ust. 2 otrzymuje następujące brzmienie:</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747"/>
        <w:gridCol w:w="2076"/>
        <w:gridCol w:w="3581"/>
      </w:tblGrid>
      <w:tr w:rsidR="00503C92" w:rsidRPr="00F122A6" w14:paraId="22C71BE9" w14:textId="77777777" w:rsidTr="00F122A6">
        <w:trPr>
          <w:trHeight w:hRule="exact" w:val="374"/>
          <w:jc w:val="center"/>
        </w:trPr>
        <w:tc>
          <w:tcPr>
            <w:tcW w:w="1747" w:type="dxa"/>
            <w:shd w:val="clear" w:color="auto" w:fill="D9D9D9" w:themeFill="background1" w:themeFillShade="D9"/>
            <w:vAlign w:val="center"/>
          </w:tcPr>
          <w:p w14:paraId="2A7B68B1"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Kolumna 1</w:t>
            </w:r>
          </w:p>
        </w:tc>
        <w:tc>
          <w:tcPr>
            <w:tcW w:w="2076" w:type="dxa"/>
            <w:shd w:val="clear" w:color="auto" w:fill="D9D9D9" w:themeFill="background1" w:themeFillShade="D9"/>
            <w:vAlign w:val="center"/>
          </w:tcPr>
          <w:p w14:paraId="5B6C105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Kolumna 2</w:t>
            </w:r>
          </w:p>
        </w:tc>
        <w:tc>
          <w:tcPr>
            <w:tcW w:w="3581" w:type="dxa"/>
            <w:shd w:val="clear" w:color="auto" w:fill="D9D9D9" w:themeFill="background1" w:themeFillShade="D9"/>
            <w:vAlign w:val="center"/>
          </w:tcPr>
          <w:p w14:paraId="5BBAA7E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Kolumna 3</w:t>
            </w:r>
          </w:p>
        </w:tc>
      </w:tr>
      <w:tr w:rsidR="00503C92" w:rsidRPr="00F122A6" w14:paraId="20ED82A6" w14:textId="77777777" w:rsidTr="00F122A6">
        <w:trPr>
          <w:trHeight w:hRule="exact" w:val="566"/>
          <w:jc w:val="center"/>
        </w:trPr>
        <w:tc>
          <w:tcPr>
            <w:tcW w:w="1747" w:type="dxa"/>
            <w:shd w:val="clear" w:color="auto" w:fill="D9D9D9" w:themeFill="background1" w:themeFillShade="D9"/>
            <w:vAlign w:val="center"/>
          </w:tcPr>
          <w:p w14:paraId="4B8683D3"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Metale ciężkie</w:t>
            </w:r>
          </w:p>
        </w:tc>
        <w:tc>
          <w:tcPr>
            <w:tcW w:w="2076" w:type="dxa"/>
            <w:shd w:val="clear" w:color="auto" w:fill="D9D9D9" w:themeFill="background1" w:themeFillShade="D9"/>
            <w:vAlign w:val="center"/>
          </w:tcPr>
          <w:p w14:paraId="027C08C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Wartości graniczne (mg/kg ms)</w:t>
            </w:r>
          </w:p>
        </w:tc>
        <w:tc>
          <w:tcPr>
            <w:tcW w:w="3581" w:type="dxa"/>
            <w:shd w:val="clear" w:color="auto" w:fill="D9D9D9" w:themeFill="background1" w:themeFillShade="D9"/>
            <w:vAlign w:val="center"/>
          </w:tcPr>
          <w:p w14:paraId="6B687215"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Wartości graniczne (mg/kg ms), o których mowa w art. 8 ust. 2</w:t>
            </w:r>
          </w:p>
        </w:tc>
      </w:tr>
      <w:tr w:rsidR="00503C92" w:rsidRPr="00F122A6" w14:paraId="5A358BE6" w14:textId="77777777" w:rsidTr="00F122A6">
        <w:trPr>
          <w:trHeight w:hRule="exact" w:val="336"/>
          <w:jc w:val="center"/>
        </w:trPr>
        <w:tc>
          <w:tcPr>
            <w:tcW w:w="1747" w:type="dxa"/>
            <w:shd w:val="clear" w:color="auto" w:fill="auto"/>
            <w:vAlign w:val="center"/>
          </w:tcPr>
          <w:p w14:paraId="52B9DDD0"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„Arsen ogółem (As)</w:t>
            </w:r>
          </w:p>
        </w:tc>
        <w:tc>
          <w:tcPr>
            <w:tcW w:w="2076" w:type="dxa"/>
            <w:shd w:val="clear" w:color="auto" w:fill="auto"/>
            <w:vAlign w:val="center"/>
          </w:tcPr>
          <w:p w14:paraId="3F7F67A7"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40</w:t>
            </w:r>
          </w:p>
        </w:tc>
        <w:tc>
          <w:tcPr>
            <w:tcW w:w="3581" w:type="dxa"/>
            <w:shd w:val="clear" w:color="auto" w:fill="auto"/>
            <w:vAlign w:val="center"/>
          </w:tcPr>
          <w:p w14:paraId="15B84B83"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0,8</w:t>
            </w:r>
          </w:p>
        </w:tc>
      </w:tr>
      <w:tr w:rsidR="00503C92" w:rsidRPr="00F122A6" w14:paraId="24C9545C" w14:textId="77777777" w:rsidTr="00F122A6">
        <w:trPr>
          <w:trHeight w:hRule="exact" w:val="346"/>
          <w:jc w:val="center"/>
        </w:trPr>
        <w:tc>
          <w:tcPr>
            <w:tcW w:w="1747" w:type="dxa"/>
            <w:shd w:val="clear" w:color="auto" w:fill="auto"/>
            <w:vAlign w:val="center"/>
          </w:tcPr>
          <w:p w14:paraId="5344CFF1"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Chrom (Cr)</w:t>
            </w:r>
          </w:p>
        </w:tc>
        <w:tc>
          <w:tcPr>
            <w:tcW w:w="2076" w:type="dxa"/>
            <w:shd w:val="clear" w:color="auto" w:fill="auto"/>
            <w:vAlign w:val="center"/>
          </w:tcPr>
          <w:p w14:paraId="11EA452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1000</w:t>
            </w:r>
          </w:p>
        </w:tc>
        <w:tc>
          <w:tcPr>
            <w:tcW w:w="3581" w:type="dxa"/>
            <w:shd w:val="clear" w:color="auto" w:fill="auto"/>
            <w:vAlign w:val="center"/>
          </w:tcPr>
          <w:p w14:paraId="636B41D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20”</w:t>
            </w:r>
          </w:p>
        </w:tc>
      </w:tr>
    </w:tbl>
    <w:p w14:paraId="5AB607F1" w14:textId="77777777" w:rsidR="00503C92" w:rsidRPr="00F122A6" w:rsidRDefault="00503C92" w:rsidP="00EE0D48">
      <w:pPr>
        <w:spacing w:after="239" w:line="1" w:lineRule="exact"/>
        <w:ind w:left="1560" w:right="1830"/>
      </w:pPr>
    </w:p>
    <w:p w14:paraId="145B7D13" w14:textId="5681DD89" w:rsidR="00503C92" w:rsidRPr="00F122A6" w:rsidRDefault="008A217F" w:rsidP="008A217F">
      <w:pPr>
        <w:pStyle w:val="BodyText"/>
        <w:tabs>
          <w:tab w:val="left" w:pos="1278"/>
        </w:tabs>
        <w:spacing w:after="140"/>
        <w:ind w:left="1900" w:right="1830" w:firstLine="510"/>
        <w:jc w:val="both"/>
        <w:rPr>
          <w:sz w:val="20"/>
        </w:rPr>
      </w:pPr>
      <w:r>
        <w:rPr>
          <w:rStyle w:val="BodyTextChar"/>
          <w:sz w:val="20"/>
        </w:rPr>
        <w:t>„2. Zawartość metali ciężkich w odpadach wprowadzanych do gleby wpisuje się do dziennika gospodarstwa, o którym mowa w art. 5 niniejszego dekretu królewskiego”.</w:t>
      </w:r>
    </w:p>
    <w:p w14:paraId="14D9F12F" w14:textId="77777777" w:rsidR="00503C92" w:rsidRPr="00F122A6" w:rsidRDefault="0037644B" w:rsidP="00EE0D48">
      <w:pPr>
        <w:pStyle w:val="BodyText"/>
        <w:spacing w:after="140"/>
        <w:ind w:left="1560" w:right="1830" w:firstLine="360"/>
        <w:jc w:val="both"/>
        <w:rPr>
          <w:sz w:val="20"/>
        </w:rPr>
      </w:pPr>
      <w:r>
        <w:rPr>
          <w:rStyle w:val="BodyTextChar"/>
          <w:sz w:val="20"/>
        </w:rPr>
        <w:t>Punkt trzynasty. Na końcu tabeli zamieszczonej w części B załącznika IV dodaje się wiersz w następującym brzmieniu:</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483"/>
        <w:gridCol w:w="734"/>
        <w:gridCol w:w="744"/>
      </w:tblGrid>
      <w:tr w:rsidR="00503C92" w:rsidRPr="00F122A6" w14:paraId="59708D39" w14:textId="77777777" w:rsidTr="008A217F">
        <w:trPr>
          <w:trHeight w:hRule="exact" w:val="350"/>
          <w:jc w:val="center"/>
        </w:trPr>
        <w:tc>
          <w:tcPr>
            <w:tcW w:w="1483" w:type="dxa"/>
            <w:shd w:val="clear" w:color="auto" w:fill="auto"/>
            <w:vAlign w:val="center"/>
          </w:tcPr>
          <w:p w14:paraId="08066328" w14:textId="77777777" w:rsidR="00503C92" w:rsidRPr="00F122A6" w:rsidRDefault="0037644B" w:rsidP="00F122A6">
            <w:pPr>
              <w:pStyle w:val="Other0"/>
              <w:spacing w:after="0" w:line="240" w:lineRule="auto"/>
              <w:ind w:left="57" w:right="57" w:firstLine="0"/>
              <w:rPr>
                <w:sz w:val="17"/>
                <w:szCs w:val="17"/>
              </w:rPr>
            </w:pPr>
            <w:r>
              <w:rPr>
                <w:rStyle w:val="Other"/>
                <w:sz w:val="17"/>
              </w:rPr>
              <w:t>„Chrom (Cr)</w:t>
            </w:r>
          </w:p>
        </w:tc>
        <w:tc>
          <w:tcPr>
            <w:tcW w:w="734" w:type="dxa"/>
            <w:shd w:val="clear" w:color="auto" w:fill="auto"/>
            <w:vAlign w:val="center"/>
          </w:tcPr>
          <w:p w14:paraId="7816A927"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60</w:t>
            </w:r>
          </w:p>
        </w:tc>
        <w:tc>
          <w:tcPr>
            <w:tcW w:w="744" w:type="dxa"/>
            <w:shd w:val="clear" w:color="auto" w:fill="auto"/>
            <w:vAlign w:val="center"/>
          </w:tcPr>
          <w:p w14:paraId="1864432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100”</w:t>
            </w:r>
          </w:p>
        </w:tc>
      </w:tr>
    </w:tbl>
    <w:p w14:paraId="4DE6B90B" w14:textId="77777777" w:rsidR="00503C92" w:rsidRPr="00F122A6" w:rsidRDefault="00503C92" w:rsidP="00EE0D48">
      <w:pPr>
        <w:spacing w:after="239" w:line="1" w:lineRule="exact"/>
        <w:ind w:left="1560" w:right="1830"/>
      </w:pPr>
    </w:p>
    <w:p w14:paraId="2755C612" w14:textId="77777777" w:rsidR="00503C92" w:rsidRPr="00F122A6" w:rsidRDefault="0037644B" w:rsidP="00EE0D48">
      <w:pPr>
        <w:pStyle w:val="BodyText"/>
        <w:spacing w:after="140"/>
        <w:ind w:left="1560" w:right="1830" w:firstLine="360"/>
        <w:jc w:val="both"/>
        <w:rPr>
          <w:sz w:val="20"/>
        </w:rPr>
      </w:pPr>
      <w:r>
        <w:rPr>
          <w:rStyle w:val="BodyTextChar"/>
          <w:sz w:val="20"/>
        </w:rPr>
        <w:t>Punkt czternasty. Na końcu tabeli zamieszczonej w ust. 1 części C załącznika IV dodaje się wiersz w następującym brzmieniu:</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483"/>
        <w:gridCol w:w="734"/>
        <w:gridCol w:w="744"/>
      </w:tblGrid>
      <w:tr w:rsidR="00503C92" w:rsidRPr="00F122A6" w14:paraId="43508A47" w14:textId="77777777" w:rsidTr="008A217F">
        <w:trPr>
          <w:trHeight w:hRule="exact" w:val="350"/>
          <w:jc w:val="center"/>
        </w:trPr>
        <w:tc>
          <w:tcPr>
            <w:tcW w:w="1483" w:type="dxa"/>
            <w:shd w:val="clear" w:color="auto" w:fill="auto"/>
            <w:vAlign w:val="center"/>
          </w:tcPr>
          <w:p w14:paraId="209C69AC" w14:textId="77777777" w:rsidR="00503C92" w:rsidRPr="00F122A6" w:rsidRDefault="0037644B" w:rsidP="00F122A6">
            <w:pPr>
              <w:pStyle w:val="Other0"/>
              <w:spacing w:after="0" w:line="240" w:lineRule="auto"/>
              <w:ind w:left="57" w:right="57" w:firstLine="0"/>
              <w:rPr>
                <w:sz w:val="17"/>
                <w:szCs w:val="17"/>
              </w:rPr>
            </w:pPr>
            <w:r>
              <w:rPr>
                <w:rStyle w:val="Other"/>
                <w:sz w:val="17"/>
              </w:rPr>
              <w:t>„Chrom (Cr)</w:t>
            </w:r>
          </w:p>
        </w:tc>
        <w:tc>
          <w:tcPr>
            <w:tcW w:w="734" w:type="dxa"/>
            <w:shd w:val="clear" w:color="auto" w:fill="auto"/>
            <w:vAlign w:val="center"/>
          </w:tcPr>
          <w:p w14:paraId="2B8EA9C0"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2400</w:t>
            </w:r>
          </w:p>
        </w:tc>
        <w:tc>
          <w:tcPr>
            <w:tcW w:w="744" w:type="dxa"/>
            <w:shd w:val="clear" w:color="auto" w:fill="auto"/>
            <w:vAlign w:val="center"/>
          </w:tcPr>
          <w:p w14:paraId="1B13026B"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48”</w:t>
            </w:r>
          </w:p>
        </w:tc>
      </w:tr>
    </w:tbl>
    <w:p w14:paraId="03D5A39B" w14:textId="77777777" w:rsidR="00503C92" w:rsidRPr="00F122A6" w:rsidRDefault="00503C92" w:rsidP="00EE0D48">
      <w:pPr>
        <w:spacing w:after="239" w:line="1" w:lineRule="exact"/>
        <w:ind w:left="1560" w:right="1830"/>
      </w:pPr>
    </w:p>
    <w:p w14:paraId="35F234AC" w14:textId="77777777" w:rsidR="00503C92" w:rsidRPr="00F122A6" w:rsidRDefault="0037644B" w:rsidP="00EE0D48">
      <w:pPr>
        <w:pStyle w:val="BodyText"/>
        <w:spacing w:after="140"/>
        <w:ind w:left="1560" w:right="1830" w:firstLine="360"/>
        <w:jc w:val="both"/>
        <w:rPr>
          <w:sz w:val="20"/>
        </w:rPr>
      </w:pPr>
      <w:r>
        <w:rPr>
          <w:rStyle w:val="BodyTextChar"/>
          <w:sz w:val="20"/>
        </w:rPr>
        <w:t>Punkt piętnasty. W załączniku V część A lit. f) i g) wprowadza się zmiany oraz dodaje się dwie nowe litery h) i i) w następującym brzmieniu:</w:t>
      </w:r>
    </w:p>
    <w:p w14:paraId="27DB6947" w14:textId="77777777" w:rsidR="00503C92" w:rsidRPr="00F122A6" w:rsidRDefault="0037644B" w:rsidP="008A217F">
      <w:pPr>
        <w:pStyle w:val="BodyText"/>
        <w:spacing w:after="0"/>
        <w:ind w:left="1560" w:right="1830" w:firstLine="283"/>
        <w:jc w:val="both"/>
        <w:rPr>
          <w:sz w:val="20"/>
        </w:rPr>
      </w:pPr>
      <w:r>
        <w:rPr>
          <w:rStyle w:val="BodyTextChar"/>
          <w:sz w:val="20"/>
        </w:rPr>
        <w:t>„f) stosowanie zakwaszonej gnojowicy lub inhibitorów ureazy,</w:t>
      </w:r>
    </w:p>
    <w:p w14:paraId="27628483" w14:textId="77777777" w:rsidR="00503C92" w:rsidRPr="00F122A6" w:rsidRDefault="0037644B" w:rsidP="00EE0D48">
      <w:pPr>
        <w:pStyle w:val="BodyText"/>
        <w:numPr>
          <w:ilvl w:val="0"/>
          <w:numId w:val="4"/>
        </w:numPr>
        <w:tabs>
          <w:tab w:val="left" w:pos="1248"/>
        </w:tabs>
        <w:spacing w:after="0"/>
        <w:ind w:left="1560" w:right="1830"/>
        <w:jc w:val="both"/>
        <w:rPr>
          <w:sz w:val="20"/>
        </w:rPr>
      </w:pPr>
      <w:r>
        <w:rPr>
          <w:rStyle w:val="BodyTextChar"/>
          <w:sz w:val="20"/>
        </w:rPr>
        <w:t>Stosowanie inhibitorów ureazy lub inhibitorów nitryfikacji, pod profesjonalnym nadzorem w przypadku wprowadzania bezpośrednio do gleby,</w:t>
      </w:r>
    </w:p>
    <w:p w14:paraId="09826684" w14:textId="77777777" w:rsidR="00503C92" w:rsidRPr="00F122A6" w:rsidRDefault="0037644B" w:rsidP="00EE0D48">
      <w:pPr>
        <w:pStyle w:val="BodyText"/>
        <w:numPr>
          <w:ilvl w:val="0"/>
          <w:numId w:val="4"/>
        </w:numPr>
        <w:tabs>
          <w:tab w:val="left" w:pos="1248"/>
        </w:tabs>
        <w:spacing w:after="0"/>
        <w:ind w:left="1560" w:right="1830"/>
        <w:jc w:val="both"/>
        <w:rPr>
          <w:sz w:val="20"/>
        </w:rPr>
      </w:pPr>
      <w:r>
        <w:rPr>
          <w:rStyle w:val="BodyTextChar"/>
          <w:sz w:val="20"/>
        </w:rPr>
        <w:t>Kompostowanie lub biofermentacja zapewniająca końcową zawartość azotu amonowego mniejszą niż 0,6 %, wyrażoną jako azot (N) w odniesieniu do mokrej masy materiału,</w:t>
      </w:r>
    </w:p>
    <w:p w14:paraId="6AA39005" w14:textId="77777777" w:rsidR="00503C92" w:rsidRPr="00F122A6" w:rsidRDefault="0037644B" w:rsidP="00EE0D48">
      <w:pPr>
        <w:pStyle w:val="BodyText"/>
        <w:numPr>
          <w:ilvl w:val="0"/>
          <w:numId w:val="4"/>
        </w:numPr>
        <w:tabs>
          <w:tab w:val="left" w:pos="1248"/>
        </w:tabs>
        <w:spacing w:after="140"/>
        <w:ind w:left="1560" w:right="1830"/>
        <w:jc w:val="both"/>
        <w:rPr>
          <w:sz w:val="20"/>
        </w:rPr>
      </w:pPr>
      <w:r>
        <w:rPr>
          <w:rStyle w:val="BodyTextChar"/>
          <w:sz w:val="20"/>
        </w:rPr>
        <w:t xml:space="preserve">Zakrywanie glebą obornika w ciągu pierwszych 12 godzin po rozprowadzeniu, z zastosowaniem pługa lemieszowego, pogłębiacza, glebogryzarki lub sprzętu działającego w analogiczny sposób, z wyjątkiem siewu bezpośredniego, w rolnictwie </w:t>
      </w:r>
      <w:r>
        <w:rPr>
          <w:rStyle w:val="BodyTextChar"/>
          <w:sz w:val="20"/>
        </w:rPr>
        <w:lastRenderedPageBreak/>
        <w:t>konserwującym lub na pastwiskach.”</w:t>
      </w:r>
    </w:p>
    <w:p w14:paraId="1FD90741" w14:textId="125DFFD4" w:rsidR="00503C92" w:rsidRPr="00F122A6" w:rsidRDefault="0037644B" w:rsidP="00EE0D48">
      <w:pPr>
        <w:pStyle w:val="BodyText"/>
        <w:spacing w:after="140"/>
        <w:ind w:left="1560" w:right="1830" w:firstLine="360"/>
        <w:jc w:val="both"/>
        <w:rPr>
          <w:sz w:val="20"/>
        </w:rPr>
      </w:pPr>
      <w:r>
        <w:rPr>
          <w:rStyle w:val="BodyTextChar"/>
          <w:sz w:val="20"/>
        </w:rPr>
        <w:t>Punkt szesnasty. Lit. a) i e) ust. 1 części 1 załącznika VIII otrzymują następujące brzmienie i dodaje się nowe litery g), h), i) oraz j) w następującym brzmieniu:</w:t>
      </w:r>
    </w:p>
    <w:p w14:paraId="63F8109E" w14:textId="20477922" w:rsidR="00503C92" w:rsidRPr="00F122A6" w:rsidRDefault="0037644B" w:rsidP="00EE0D48">
      <w:pPr>
        <w:pStyle w:val="BodyText"/>
        <w:spacing w:after="140"/>
        <w:ind w:left="1560" w:right="1830"/>
        <w:jc w:val="both"/>
        <w:rPr>
          <w:sz w:val="20"/>
        </w:rPr>
      </w:pPr>
      <w:r>
        <w:rPr>
          <w:rStyle w:val="BodyTextChar"/>
          <w:sz w:val="20"/>
        </w:rPr>
        <w:t>„a) Materiały, które, bez ich wykorzystania do wytworzenia produktu nawozowego, spełniają wszystkie wymogi CMC 3, 4, 5, 6, 12, 13 i 14 załącznika II do rozporządzenia (UE) 2019/1009. W przypadku odzysku do gleby jako odpad nie jest konieczne spełnienie wymogu określonego w pkt 2 CMC 1 przy stosowaniu do kategorii wymienionych powyżej.”</w:t>
      </w:r>
    </w:p>
    <w:p w14:paraId="3EA26C98" w14:textId="77777777" w:rsidR="00503C92" w:rsidRPr="00F122A6" w:rsidRDefault="0037644B" w:rsidP="00BB487E">
      <w:pPr>
        <w:pStyle w:val="BodyText"/>
        <w:keepNext/>
        <w:keepLines/>
        <w:spacing w:after="0"/>
        <w:ind w:left="1559" w:right="1831"/>
        <w:jc w:val="both"/>
        <w:rPr>
          <w:sz w:val="20"/>
        </w:rPr>
      </w:pPr>
      <w:r>
        <w:rPr>
          <w:rStyle w:val="BodyTextChar"/>
          <w:sz w:val="20"/>
        </w:rPr>
        <w:t>„e) Osad uwzględniony w załączniku I do rozporządzenia AAA/1072/2013 z dnia 7 czerwca 2013 r., pod warunkiem że został poddany obróbce zgodnie z przepisami dekretu królewskiego 1310/1990 z dnia 29 października 1990 r.”</w:t>
      </w:r>
    </w:p>
    <w:p w14:paraId="782CCBF9" w14:textId="77777777" w:rsidR="00503C92" w:rsidRPr="00F122A6" w:rsidRDefault="0037644B" w:rsidP="00EE0D48">
      <w:pPr>
        <w:pStyle w:val="BodyText"/>
        <w:spacing w:after="0"/>
        <w:ind w:left="1560" w:right="1830"/>
        <w:jc w:val="both"/>
        <w:rPr>
          <w:sz w:val="20"/>
        </w:rPr>
      </w:pPr>
      <w:r>
        <w:rPr>
          <w:rStyle w:val="BodyTextChar"/>
          <w:sz w:val="20"/>
        </w:rPr>
        <w:t>„g) materiały, które – pomimo iż nie spełniają wymogów dotyczących obróbki określonych, zależnie od okoliczności, w CMC 3, 4 i 5 przewidzianych w rozporządzeniu 2019/1009 – spełniają wymogi dotyczące materiałów wsadowych w odniesieniu do stabilności, zanieczyszczeń i substancji skażających.</w:t>
      </w:r>
    </w:p>
    <w:p w14:paraId="6999F79B" w14:textId="77777777" w:rsidR="00503C92" w:rsidRPr="00F122A6" w:rsidRDefault="0037644B" w:rsidP="00EE0D48">
      <w:pPr>
        <w:pStyle w:val="BodyText"/>
        <w:numPr>
          <w:ilvl w:val="0"/>
          <w:numId w:val="5"/>
        </w:numPr>
        <w:tabs>
          <w:tab w:val="left" w:pos="1273"/>
        </w:tabs>
        <w:spacing w:after="0"/>
        <w:ind w:left="1560" w:right="1830" w:firstLine="920"/>
        <w:jc w:val="both"/>
        <w:rPr>
          <w:sz w:val="20"/>
        </w:rPr>
      </w:pPr>
      <w:r>
        <w:rPr>
          <w:rStyle w:val="BodyTextChar"/>
          <w:sz w:val="20"/>
        </w:rPr>
        <w:t>Odpady z olejarni.</w:t>
      </w:r>
    </w:p>
    <w:p w14:paraId="52BCE1BB" w14:textId="77777777" w:rsidR="00503C92" w:rsidRPr="00F122A6" w:rsidRDefault="0037644B" w:rsidP="00EE0D48">
      <w:pPr>
        <w:pStyle w:val="BodyText"/>
        <w:numPr>
          <w:ilvl w:val="0"/>
          <w:numId w:val="5"/>
        </w:numPr>
        <w:tabs>
          <w:tab w:val="left" w:pos="1206"/>
        </w:tabs>
        <w:spacing w:after="0"/>
        <w:ind w:left="1560" w:right="1830" w:firstLine="920"/>
        <w:jc w:val="both"/>
        <w:rPr>
          <w:sz w:val="20"/>
        </w:rPr>
      </w:pPr>
      <w:r>
        <w:rPr>
          <w:rStyle w:val="BodyTextChar"/>
          <w:sz w:val="20"/>
        </w:rPr>
        <w:t>Osad winny.</w:t>
      </w:r>
    </w:p>
    <w:p w14:paraId="332C9668" w14:textId="77777777" w:rsidR="00503C92" w:rsidRDefault="0037644B" w:rsidP="008A217F">
      <w:pPr>
        <w:pStyle w:val="BodyText"/>
        <w:numPr>
          <w:ilvl w:val="0"/>
          <w:numId w:val="5"/>
        </w:numPr>
        <w:spacing w:after="0"/>
        <w:ind w:left="1560" w:right="1830" w:firstLine="920"/>
        <w:jc w:val="both"/>
        <w:rPr>
          <w:rStyle w:val="BodyTextChar"/>
          <w:sz w:val="20"/>
        </w:rPr>
      </w:pPr>
      <w:r>
        <w:rPr>
          <w:rStyle w:val="BodyTextChar"/>
          <w:sz w:val="20"/>
        </w:rPr>
        <w:t>Mieszanki materiałów wymienionych powyżej, pod warunkiem że przestrzegane są najsurowsze ograniczenia dla każdego ze składników”.</w:t>
      </w:r>
    </w:p>
    <w:p w14:paraId="2B0EA9E3" w14:textId="77777777" w:rsidR="008A217F" w:rsidRPr="00F122A6" w:rsidRDefault="008A217F" w:rsidP="008A217F">
      <w:pPr>
        <w:pStyle w:val="BodyText"/>
        <w:tabs>
          <w:tab w:val="left" w:pos="1207"/>
        </w:tabs>
        <w:spacing w:after="0"/>
        <w:ind w:left="2480" w:right="1830" w:firstLine="0"/>
        <w:jc w:val="both"/>
        <w:rPr>
          <w:sz w:val="20"/>
        </w:rPr>
      </w:pPr>
    </w:p>
    <w:p w14:paraId="5092D498" w14:textId="77777777" w:rsidR="00503C92" w:rsidRPr="00F122A6" w:rsidRDefault="0037644B" w:rsidP="00EE0D48">
      <w:pPr>
        <w:pStyle w:val="BodyText"/>
        <w:ind w:left="1560" w:right="1830" w:firstLine="360"/>
        <w:jc w:val="both"/>
        <w:rPr>
          <w:sz w:val="20"/>
        </w:rPr>
      </w:pPr>
      <w:r>
        <w:rPr>
          <w:rStyle w:val="BodyTextChar"/>
          <w:sz w:val="20"/>
        </w:rPr>
        <w:t>Punkt siedemnasty. W ust. 1 i 2 części 2 załącznika VIII wprowadza się zmiany i dodaje się dwa nowe ust. 7 i 8 w następującym brzmieniu:</w:t>
      </w:r>
    </w:p>
    <w:p w14:paraId="2BF2A9A1" w14:textId="77777777" w:rsidR="00503C92" w:rsidRPr="00F122A6" w:rsidRDefault="0037644B" w:rsidP="00EE0D48">
      <w:pPr>
        <w:pStyle w:val="BodyText"/>
        <w:ind w:left="1560" w:right="1830"/>
        <w:jc w:val="both"/>
        <w:rPr>
          <w:sz w:val="20"/>
        </w:rPr>
      </w:pPr>
      <w:r>
        <w:rPr>
          <w:rStyle w:val="BodyTextChar"/>
          <w:sz w:val="20"/>
        </w:rPr>
        <w:t>„1. Materiały objęte CMC 3, 4 i 5, otrzymane zgodnie z załącznikiem II do rozporządzenia Parlamentu Europejskiego i Rady (UE) 2019/1009 z dnia 5 czerwca 2019 r.:</w:t>
      </w:r>
    </w:p>
    <w:p w14:paraId="17625A3C" w14:textId="77777777" w:rsidR="00503C92" w:rsidRPr="00F122A6" w:rsidRDefault="0037644B" w:rsidP="00EE0D48">
      <w:pPr>
        <w:pStyle w:val="BodyText"/>
        <w:ind w:left="1560" w:right="1830"/>
        <w:jc w:val="both"/>
        <w:rPr>
          <w:sz w:val="20"/>
        </w:rPr>
      </w:pPr>
      <w:r>
        <w:rPr>
          <w:rStyle w:val="BodyTextChar"/>
          <w:sz w:val="20"/>
        </w:rPr>
        <w:t>spełniające wszystkie wymogi przewidziane w wymienionym załączniku, w tym dotyczące pochodzenia materiałów wsadowych oraz posiadające następujące parametry:</w:t>
      </w:r>
    </w:p>
    <w:p w14:paraId="332C73FC" w14:textId="0ED2C2D6"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rPr>
      </w:pPr>
      <w:r>
        <w:rPr>
          <w:rStyle w:val="BodyTextChar"/>
          <w:sz w:val="20"/>
        </w:rPr>
        <w:t>Całkowita masa organiczna ≥ 25 % w suchej masie.</w:t>
      </w:r>
    </w:p>
    <w:p w14:paraId="4B6A4943" w14:textId="77777777"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szCs w:val="20"/>
        </w:rPr>
      </w:pPr>
      <w:r>
        <w:rPr>
          <w:rStyle w:val="BodyTextChar"/>
          <w:sz w:val="20"/>
        </w:rPr>
        <w:t xml:space="preserve">Deklarowana zawartość bakterii </w:t>
      </w:r>
      <w:r>
        <w:rPr>
          <w:rStyle w:val="BodyTextChar"/>
          <w:i/>
          <w:sz w:val="20"/>
        </w:rPr>
        <w:t>Salmonella</w:t>
      </w:r>
      <w:r>
        <w:rPr>
          <w:rStyle w:val="BodyTextChar"/>
          <w:sz w:val="20"/>
        </w:rPr>
        <w:t>.</w:t>
      </w:r>
    </w:p>
    <w:p w14:paraId="47896A74" w14:textId="77777777"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szCs w:val="20"/>
        </w:rPr>
      </w:pPr>
      <w:r>
        <w:rPr>
          <w:rStyle w:val="BodyTextChar"/>
          <w:sz w:val="20"/>
        </w:rPr>
        <w:t xml:space="preserve">Deklarowana zawartość bakterii </w:t>
      </w:r>
      <w:r>
        <w:rPr>
          <w:rStyle w:val="BodyTextChar"/>
          <w:i/>
          <w:sz w:val="20"/>
        </w:rPr>
        <w:t>Escherichia coli</w:t>
      </w:r>
      <w:r>
        <w:rPr>
          <w:rStyle w:val="BodyTextChar"/>
          <w:sz w:val="20"/>
        </w:rPr>
        <w:t>.</w:t>
      </w:r>
    </w:p>
    <w:p w14:paraId="7DC5B92E" w14:textId="77777777" w:rsidR="00503C92" w:rsidRPr="00F122A6" w:rsidRDefault="0037644B" w:rsidP="00BB487E">
      <w:pPr>
        <w:pStyle w:val="BodyText"/>
        <w:numPr>
          <w:ilvl w:val="0"/>
          <w:numId w:val="6"/>
        </w:numPr>
        <w:tabs>
          <w:tab w:val="left" w:pos="1231"/>
        </w:tabs>
        <w:spacing w:after="0" w:line="276" w:lineRule="auto"/>
        <w:ind w:left="1985" w:right="1830" w:firstLine="567"/>
        <w:jc w:val="both"/>
        <w:rPr>
          <w:sz w:val="20"/>
        </w:rPr>
      </w:pPr>
      <w:r>
        <w:rPr>
          <w:rStyle w:val="BodyTextChar"/>
          <w:sz w:val="20"/>
        </w:rPr>
        <w:t>Przekazano analizę składników odżywczych, w szczególności azotu, fosforu (wyrażonego jako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i potasu (wyrażonego jako K</w:t>
      </w:r>
      <w:r>
        <w:rPr>
          <w:rStyle w:val="BodyTextChar"/>
          <w:sz w:val="20"/>
          <w:vertAlign w:val="subscript"/>
        </w:rPr>
        <w:t>2</w:t>
      </w:r>
      <w:r>
        <w:rPr>
          <w:rStyle w:val="BodyTextChar"/>
          <w:sz w:val="20"/>
        </w:rPr>
        <w:t>O), oraz pH i przewodności elektrycznej.</w:t>
      </w:r>
    </w:p>
    <w:p w14:paraId="255E2022" w14:textId="77777777" w:rsidR="00503C92" w:rsidRPr="00F122A6" w:rsidRDefault="0037644B" w:rsidP="00BB487E">
      <w:pPr>
        <w:pStyle w:val="BodyText"/>
        <w:numPr>
          <w:ilvl w:val="0"/>
          <w:numId w:val="6"/>
        </w:numPr>
        <w:tabs>
          <w:tab w:val="left" w:pos="1221"/>
        </w:tabs>
        <w:spacing w:line="276" w:lineRule="auto"/>
        <w:ind w:left="1985" w:right="1830" w:firstLine="567"/>
        <w:jc w:val="both"/>
        <w:rPr>
          <w:sz w:val="20"/>
        </w:rPr>
      </w:pPr>
      <w:r>
        <w:rPr>
          <w:rStyle w:val="BodyTextChar"/>
          <w:sz w:val="20"/>
        </w:rPr>
        <w:t>Spełniono wszystkie dodatkowe wymagania określone w upoważnieniu R1001 zezwalającym na odzysk odpadów”.</w:t>
      </w:r>
    </w:p>
    <w:p w14:paraId="27038D19" w14:textId="77777777" w:rsidR="00503C92" w:rsidRPr="00F122A6" w:rsidRDefault="0037644B" w:rsidP="00EE0D48">
      <w:pPr>
        <w:pStyle w:val="BodyText"/>
        <w:ind w:left="1560" w:right="1830"/>
        <w:jc w:val="both"/>
        <w:rPr>
          <w:sz w:val="20"/>
        </w:rPr>
      </w:pPr>
      <w:r>
        <w:rPr>
          <w:rStyle w:val="BodyTextChar"/>
          <w:sz w:val="20"/>
        </w:rPr>
        <w:t>2. Podobnie każdy poddany kompostowaniu lub fermentacji materiał, który ma zostać wprowadzony do gleby rolnej i został otrzymany z materiałów wsadowych innych niż wymienione w poprzednim ustępie, musi spełniać wymogi dotyczące zanieczyszczeń i stabilności określone odpowiednio dla CMC 3 lub CMC 5 w rozporządzeniu Parlamentu Europejskiego i Rady (UE) 2019/1009 z dnia 5 czerwca 2019 r., oprócz spełnienia następujących parametrów:</w:t>
      </w:r>
    </w:p>
    <w:p w14:paraId="4E48BC44" w14:textId="72693F5C"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rPr>
      </w:pPr>
      <w:r>
        <w:rPr>
          <w:rStyle w:val="BodyTextChar"/>
          <w:sz w:val="20"/>
        </w:rPr>
        <w:t>Całkowita masa organiczna ≥ 25 % w suchej masie.</w:t>
      </w:r>
    </w:p>
    <w:p w14:paraId="576B61C8" w14:textId="77777777"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szCs w:val="20"/>
        </w:rPr>
      </w:pPr>
      <w:r>
        <w:rPr>
          <w:rStyle w:val="BodyTextChar"/>
          <w:sz w:val="20"/>
        </w:rPr>
        <w:t xml:space="preserve">Deklarowana zawartość bakterii </w:t>
      </w:r>
      <w:r>
        <w:rPr>
          <w:rStyle w:val="BodyTextChar"/>
          <w:i/>
          <w:sz w:val="20"/>
        </w:rPr>
        <w:t>Salmonella</w:t>
      </w:r>
      <w:r>
        <w:rPr>
          <w:rStyle w:val="BodyTextChar"/>
          <w:sz w:val="20"/>
        </w:rPr>
        <w:t>.</w:t>
      </w:r>
    </w:p>
    <w:p w14:paraId="4D9310C5" w14:textId="77777777"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szCs w:val="20"/>
        </w:rPr>
      </w:pPr>
      <w:r>
        <w:rPr>
          <w:rStyle w:val="BodyTextChar"/>
          <w:sz w:val="20"/>
        </w:rPr>
        <w:t xml:space="preserve">Deklarowana zawartość bakterii </w:t>
      </w:r>
      <w:r>
        <w:rPr>
          <w:rStyle w:val="BodyTextChar"/>
          <w:i/>
          <w:sz w:val="20"/>
        </w:rPr>
        <w:t>Escherichia coli</w:t>
      </w:r>
      <w:r>
        <w:rPr>
          <w:rStyle w:val="BodyTextChar"/>
          <w:sz w:val="20"/>
        </w:rPr>
        <w:t>.</w:t>
      </w:r>
    </w:p>
    <w:p w14:paraId="1DF72A9D" w14:textId="77777777" w:rsidR="00503C92" w:rsidRPr="00F122A6" w:rsidRDefault="0037644B" w:rsidP="00BB487E">
      <w:pPr>
        <w:pStyle w:val="BodyText"/>
        <w:numPr>
          <w:ilvl w:val="0"/>
          <w:numId w:val="7"/>
        </w:numPr>
        <w:tabs>
          <w:tab w:val="left" w:pos="1231"/>
        </w:tabs>
        <w:spacing w:after="0" w:line="276" w:lineRule="auto"/>
        <w:ind w:left="1985" w:right="1830" w:firstLine="495"/>
        <w:jc w:val="both"/>
        <w:rPr>
          <w:sz w:val="20"/>
        </w:rPr>
      </w:pPr>
      <w:r>
        <w:rPr>
          <w:rStyle w:val="BodyTextChar"/>
          <w:sz w:val="20"/>
        </w:rPr>
        <w:t>Przekazano analizę składników odżywczych, w szczególności azotu, fosforu (wyrażonego jako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i potasu (wyrażonego jako K</w:t>
      </w:r>
      <w:r>
        <w:rPr>
          <w:rStyle w:val="BodyTextChar"/>
          <w:sz w:val="20"/>
          <w:vertAlign w:val="subscript"/>
        </w:rPr>
        <w:t>2</w:t>
      </w:r>
      <w:r>
        <w:rPr>
          <w:rStyle w:val="BodyTextChar"/>
          <w:sz w:val="20"/>
        </w:rPr>
        <w:t xml:space="preserve">O), oraz pH i </w:t>
      </w:r>
      <w:r>
        <w:rPr>
          <w:rStyle w:val="BodyTextChar"/>
          <w:sz w:val="20"/>
        </w:rPr>
        <w:lastRenderedPageBreak/>
        <w:t>przewodności elektrycznej.</w:t>
      </w:r>
    </w:p>
    <w:p w14:paraId="2E2A82BB" w14:textId="77777777" w:rsidR="00503C92" w:rsidRPr="00F122A6" w:rsidRDefault="0037644B" w:rsidP="00BB487E">
      <w:pPr>
        <w:pStyle w:val="BodyText"/>
        <w:numPr>
          <w:ilvl w:val="0"/>
          <w:numId w:val="7"/>
        </w:numPr>
        <w:tabs>
          <w:tab w:val="left" w:pos="1221"/>
        </w:tabs>
        <w:spacing w:line="276" w:lineRule="auto"/>
        <w:ind w:left="1985" w:right="1830" w:firstLine="495"/>
        <w:jc w:val="both"/>
        <w:rPr>
          <w:sz w:val="20"/>
        </w:rPr>
      </w:pPr>
      <w:r>
        <w:rPr>
          <w:rStyle w:val="BodyTextChar"/>
          <w:sz w:val="20"/>
        </w:rPr>
        <w:t>Spełniono wszystkie dodatkowe wymagania określone w upoważnieniu R1001 zezwalającym na odzysk odpadów”.</w:t>
      </w:r>
    </w:p>
    <w:p w14:paraId="2FE61487" w14:textId="2911B964" w:rsidR="00503C92" w:rsidRPr="00F122A6" w:rsidRDefault="00FF7446" w:rsidP="00FF7446">
      <w:pPr>
        <w:pStyle w:val="BodyText"/>
        <w:tabs>
          <w:tab w:val="left" w:pos="1216"/>
        </w:tabs>
        <w:ind w:left="2480" w:right="1830" w:firstLine="0"/>
        <w:jc w:val="both"/>
        <w:rPr>
          <w:sz w:val="20"/>
        </w:rPr>
      </w:pPr>
      <w:r>
        <w:rPr>
          <w:rStyle w:val="BodyTextChar"/>
          <w:sz w:val="20"/>
        </w:rPr>
        <w:t>„7. Odpady z olejarni.</w:t>
      </w:r>
    </w:p>
    <w:p w14:paraId="28AE5BA8" w14:textId="3B2C33EB" w:rsidR="00503C92" w:rsidRPr="00F122A6" w:rsidRDefault="0037644B" w:rsidP="00EE0D48">
      <w:pPr>
        <w:pStyle w:val="BodyText"/>
        <w:ind w:left="1560" w:right="1830"/>
        <w:jc w:val="both"/>
        <w:rPr>
          <w:sz w:val="20"/>
        </w:rPr>
      </w:pPr>
      <w:r>
        <w:rPr>
          <w:rStyle w:val="BodyTextChar"/>
          <w:sz w:val="20"/>
        </w:rPr>
        <w:t>Jest to ciecz składająca się z wody do mycia oliwek i wody do mycia olejów otrzymanych przez dwustopniowy system ekstrakcji i spełniająca wszystkie dodatkowe wymagania określone w upoważnieniu R1001 zezwalającym na odzysk odpadów.</w:t>
      </w:r>
    </w:p>
    <w:p w14:paraId="43FF02FD" w14:textId="6FE40C1A" w:rsidR="00503C92" w:rsidRPr="00F122A6" w:rsidRDefault="00FF7446" w:rsidP="00FF7446">
      <w:pPr>
        <w:pStyle w:val="BodyText"/>
        <w:tabs>
          <w:tab w:val="left" w:pos="1216"/>
        </w:tabs>
        <w:ind w:left="2480" w:right="1830" w:firstLine="0"/>
        <w:jc w:val="both"/>
        <w:rPr>
          <w:sz w:val="20"/>
        </w:rPr>
      </w:pPr>
      <w:r>
        <w:rPr>
          <w:rStyle w:val="BodyTextChar"/>
          <w:sz w:val="20"/>
        </w:rPr>
        <w:t>8. Osad winny.</w:t>
      </w:r>
    </w:p>
    <w:p w14:paraId="29227E47" w14:textId="2A06893C" w:rsidR="00503C92" w:rsidRPr="00F122A6" w:rsidRDefault="0037644B" w:rsidP="00EE0D48">
      <w:pPr>
        <w:pStyle w:val="BodyText"/>
        <w:ind w:left="1560" w:right="1830"/>
        <w:jc w:val="both"/>
        <w:rPr>
          <w:sz w:val="20"/>
        </w:rPr>
      </w:pPr>
      <w:r>
        <w:rPr>
          <w:rStyle w:val="BodyTextChar"/>
          <w:sz w:val="20"/>
        </w:rPr>
        <w:t>Są to osady organiczne, składające się z drożdży, bakterii i innych pozostałości, które powstają podczas procesu produkcji wina i które muszą spełniać wszystkie dodatkowe wymagania określone w upoważnieniu R1001 zezwalającym na odzysk odpadów.”</w:t>
      </w:r>
    </w:p>
    <w:p w14:paraId="2B531F85" w14:textId="45C3DAE0" w:rsidR="00503C92" w:rsidRPr="00F122A6" w:rsidRDefault="0037644B" w:rsidP="00EE0D48">
      <w:pPr>
        <w:pStyle w:val="BodyText"/>
        <w:ind w:left="1560" w:right="1830"/>
        <w:jc w:val="both"/>
        <w:rPr>
          <w:sz w:val="20"/>
        </w:rPr>
      </w:pPr>
      <w:r>
        <w:rPr>
          <w:rStyle w:val="BodyTextChar"/>
          <w:sz w:val="20"/>
        </w:rPr>
        <w:t>Punkt osiemnasty. Załącznik IX ust. 1 i 4 otrzymują następujące brzmienie:</w:t>
      </w:r>
    </w:p>
    <w:p w14:paraId="2EECEDDC" w14:textId="333324DB" w:rsidR="00503C92" w:rsidRPr="00F122A6" w:rsidRDefault="0037644B" w:rsidP="00EE0D48">
      <w:pPr>
        <w:pStyle w:val="BodyText"/>
        <w:spacing w:after="0"/>
        <w:ind w:left="1560" w:right="1830"/>
        <w:jc w:val="both"/>
        <w:rPr>
          <w:sz w:val="20"/>
        </w:rPr>
      </w:pPr>
      <w:r>
        <w:rPr>
          <w:rStyle w:val="BodyTextChar"/>
          <w:sz w:val="20"/>
        </w:rPr>
        <w:t>„1. W ujęciu ogólnym intensywność i częstotliwość nawadniania należy dostosować do potrzeb uprawy oraz do zdolności zatrzymywania wilgoci w glebie w celu uniknięcia utraty składników odżywczych poprzez wypłukiwanie, biorąc za punkt odniesienia zalecenia służb doradczych ds. nawadniania działających we wspólnocie autonomicznej lub dane z Systemu Informacji Agroklimatycznych na Potrzeby Nawadniania (SIAR) udostępnianego przez Ministerstwo Rolnictwa, Rybołówstwa i Żywności, w przypadku przebywania we wspólnotach autonomicznych, w których dowolny z tych organów działa; zaleca się stosowanie czujników do sprawdzania poziomu wilgotności gleby, jako narzędzia wspomagającego pozwalającego na poznanie stanu gleby. W przypadku gdy materiał użyty do nawożenia sam w sobie dostarcza znaczną ilość wody do upraw (np. w przypadku zastosowania obornika w płynie), ilość wody w nim zawartej należy brać pod uwagę przy obliczaniu intensywności i częstotliwości nawadniania”.</w:t>
      </w:r>
    </w:p>
    <w:p w14:paraId="526DE1C5" w14:textId="12181085" w:rsidR="00503C92" w:rsidRPr="00F122A6" w:rsidRDefault="0037644B" w:rsidP="00EE0D48">
      <w:pPr>
        <w:pStyle w:val="BodyText"/>
        <w:spacing w:after="180"/>
        <w:ind w:left="1560" w:right="1830"/>
        <w:jc w:val="both"/>
        <w:rPr>
          <w:sz w:val="20"/>
        </w:rPr>
      </w:pPr>
      <w:r>
        <w:rPr>
          <w:rStyle w:val="BodyTextChar"/>
          <w:sz w:val="20"/>
        </w:rPr>
        <w:t>„4. W uprawach z miejscowym nawadnianiem nawożenie należy prowadzić poprzez rozpuszczanie składników odżywczych w wodzie wykorzystywanej do nawadniania i wprowadzanie ich do gleby wraz z wodą. Należy je dawkować stopniowo, w okresie aktywności wegetacyjnej uprawy, przy czym stężenia i ilości ułamkowe można dostosować do okresów maksymalnego zapotrzebowania w ramach cyklu uprawy”.</w:t>
      </w:r>
    </w:p>
    <w:p w14:paraId="5C7B1C08" w14:textId="77777777" w:rsidR="00503C92" w:rsidRPr="00F122A6" w:rsidRDefault="0037644B" w:rsidP="00EE0D48">
      <w:pPr>
        <w:pStyle w:val="BodyText"/>
        <w:ind w:left="1560" w:right="1830" w:firstLine="0"/>
        <w:jc w:val="both"/>
        <w:rPr>
          <w:sz w:val="20"/>
          <w:szCs w:val="20"/>
        </w:rPr>
      </w:pPr>
      <w:r>
        <w:rPr>
          <w:rStyle w:val="BodyTextChar"/>
          <w:b/>
          <w:sz w:val="20"/>
        </w:rPr>
        <w:t xml:space="preserve">Jedyny przepis końcowy. </w:t>
      </w:r>
      <w:r>
        <w:rPr>
          <w:rStyle w:val="BodyTextChar"/>
          <w:i/>
          <w:sz w:val="20"/>
        </w:rPr>
        <w:t>Wejście w życie.</w:t>
      </w:r>
    </w:p>
    <w:p w14:paraId="79EF3419" w14:textId="77777777" w:rsidR="00503C92" w:rsidRPr="00F122A6" w:rsidRDefault="0037644B" w:rsidP="00EE0D48">
      <w:pPr>
        <w:pStyle w:val="BodyText"/>
        <w:ind w:left="1560" w:right="1830"/>
        <w:jc w:val="both"/>
        <w:rPr>
          <w:sz w:val="20"/>
        </w:rPr>
      </w:pPr>
      <w:r>
        <w:rPr>
          <w:rStyle w:val="BodyTextChar"/>
          <w:sz w:val="20"/>
        </w:rPr>
        <w:t>Niniejszy dekret królewski wchodzi w życie następnego dnia po jego opublikowaniu w Dzienniku Ustaw.</w:t>
      </w:r>
    </w:p>
    <w:p w14:paraId="68AE9113" w14:textId="77777777" w:rsidR="00503C92" w:rsidRPr="00F122A6" w:rsidRDefault="0037644B" w:rsidP="00EE0D48">
      <w:pPr>
        <w:pStyle w:val="BodyText"/>
        <w:ind w:left="1560" w:right="1830"/>
        <w:jc w:val="both"/>
        <w:rPr>
          <w:sz w:val="20"/>
        </w:rPr>
      </w:pPr>
      <w:r>
        <w:rPr>
          <w:rStyle w:val="BodyTextChar"/>
          <w:sz w:val="20"/>
        </w:rPr>
        <w:t>Sporządzono w Madrycie, 27 sierpnia 2024 r.</w:t>
      </w:r>
    </w:p>
    <w:p w14:paraId="0C00789F" w14:textId="77777777" w:rsidR="00503C92" w:rsidRPr="00F122A6" w:rsidRDefault="0037644B" w:rsidP="00EE0D48">
      <w:pPr>
        <w:pStyle w:val="BodyText"/>
        <w:spacing w:after="240"/>
        <w:ind w:left="1560" w:right="1830" w:firstLine="0"/>
        <w:jc w:val="right"/>
        <w:rPr>
          <w:sz w:val="20"/>
        </w:rPr>
      </w:pPr>
      <w:r>
        <w:rPr>
          <w:rStyle w:val="BodyTextChar"/>
          <w:sz w:val="20"/>
        </w:rPr>
        <w:t>FELIPE R.</w:t>
      </w:r>
    </w:p>
    <w:p w14:paraId="278970C7" w14:textId="35CDF83F" w:rsidR="00503C92" w:rsidRDefault="00FF7446" w:rsidP="00EE0D48">
      <w:pPr>
        <w:pStyle w:val="Bodytext30"/>
        <w:spacing w:line="319" w:lineRule="auto"/>
        <w:ind w:left="1560" w:right="1830"/>
        <w:jc w:val="center"/>
        <w:rPr>
          <w:rStyle w:val="Bodytext3"/>
        </w:rPr>
      </w:pPr>
      <w:r>
        <w:rPr>
          <w:rStyle w:val="Bodytext3"/>
        </w:rPr>
        <w:t>Minister Rolnictwa, Rybołówstwa i Żywności</w:t>
      </w:r>
      <w:r>
        <w:rPr>
          <w:rStyle w:val="Bodytext3"/>
        </w:rPr>
        <w:br/>
        <w:t>LUIS PLANAS PUCHADES</w:t>
      </w:r>
    </w:p>
    <w:p w14:paraId="79892C53" w14:textId="77777777" w:rsidR="0037644B" w:rsidRDefault="0037644B" w:rsidP="00EE0D48">
      <w:pPr>
        <w:pStyle w:val="Bodytext30"/>
        <w:spacing w:line="319" w:lineRule="auto"/>
        <w:ind w:left="1560" w:right="1830"/>
        <w:jc w:val="center"/>
        <w:rPr>
          <w:rStyle w:val="Bodytext3"/>
        </w:rPr>
      </w:pPr>
    </w:p>
    <w:p w14:paraId="60F86DA3" w14:textId="77777777" w:rsidR="0037644B" w:rsidRDefault="0037644B" w:rsidP="00EE0D48">
      <w:pPr>
        <w:pStyle w:val="Bodytext30"/>
        <w:spacing w:line="319" w:lineRule="auto"/>
        <w:ind w:left="1560" w:right="1830"/>
        <w:jc w:val="center"/>
        <w:rPr>
          <w:rStyle w:val="Bodytext3"/>
        </w:rPr>
      </w:pPr>
    </w:p>
    <w:p w14:paraId="61F764BC" w14:textId="77777777" w:rsidR="0037644B" w:rsidRDefault="0037644B" w:rsidP="00EE0D48">
      <w:pPr>
        <w:pStyle w:val="Bodytext30"/>
        <w:spacing w:line="319" w:lineRule="auto"/>
        <w:ind w:left="1560" w:right="1830"/>
        <w:jc w:val="center"/>
        <w:rPr>
          <w:rStyle w:val="Bodytext3"/>
        </w:rPr>
      </w:pPr>
    </w:p>
    <w:p w14:paraId="3E44A77D" w14:textId="77777777" w:rsidR="0037644B" w:rsidRDefault="0037644B" w:rsidP="00EE0D48">
      <w:pPr>
        <w:pStyle w:val="Bodytext30"/>
        <w:spacing w:line="319" w:lineRule="auto"/>
        <w:ind w:left="1560" w:right="1830"/>
        <w:jc w:val="center"/>
        <w:rPr>
          <w:sz w:val="20"/>
          <w:szCs w:val="19"/>
        </w:rPr>
      </w:pPr>
    </w:p>
    <w:p w14:paraId="1827295C" w14:textId="70EB67F4" w:rsidR="0037644B" w:rsidRDefault="0037644B" w:rsidP="00EE0D48">
      <w:pPr>
        <w:pStyle w:val="Bodytext30"/>
        <w:spacing w:line="319" w:lineRule="auto"/>
        <w:ind w:left="1560" w:right="1830"/>
        <w:jc w:val="center"/>
        <w:rPr>
          <w:sz w:val="20"/>
          <w:szCs w:val="19"/>
        </w:rPr>
      </w:pPr>
    </w:p>
    <w:p w14:paraId="5A349AF9" w14:textId="31B8744E" w:rsidR="0037644B" w:rsidRDefault="0037644B" w:rsidP="00EE0D48">
      <w:pPr>
        <w:pStyle w:val="Bodytext30"/>
        <w:spacing w:line="319" w:lineRule="auto"/>
        <w:ind w:left="1560" w:right="1830"/>
        <w:jc w:val="center"/>
        <w:rPr>
          <w:sz w:val="20"/>
          <w:szCs w:val="19"/>
        </w:rPr>
      </w:pPr>
    </w:p>
    <w:p w14:paraId="013E16BD" w14:textId="13665A3D" w:rsidR="0037644B" w:rsidRDefault="0037644B" w:rsidP="00EE0D48">
      <w:pPr>
        <w:pStyle w:val="Bodytext30"/>
        <w:spacing w:line="319" w:lineRule="auto"/>
        <w:ind w:left="1560" w:right="1830"/>
        <w:jc w:val="center"/>
        <w:rPr>
          <w:sz w:val="20"/>
          <w:szCs w:val="19"/>
        </w:rPr>
      </w:pPr>
    </w:p>
    <w:p w14:paraId="47D23BCC" w14:textId="50208D2D" w:rsidR="0037644B" w:rsidRDefault="0037644B" w:rsidP="00EE0D48">
      <w:pPr>
        <w:pStyle w:val="Bodytext30"/>
        <w:spacing w:line="319" w:lineRule="auto"/>
        <w:ind w:left="1560" w:right="1830"/>
        <w:jc w:val="center"/>
        <w:rPr>
          <w:sz w:val="20"/>
          <w:szCs w:val="19"/>
        </w:rPr>
      </w:pPr>
    </w:p>
    <w:p w14:paraId="08EBBFCD" w14:textId="2A82E234" w:rsidR="0037644B" w:rsidRDefault="00EB596F" w:rsidP="00EE0D48">
      <w:pPr>
        <w:pStyle w:val="Bodytext30"/>
        <w:spacing w:line="319" w:lineRule="auto"/>
        <w:ind w:left="1560" w:right="1830"/>
        <w:jc w:val="center"/>
        <w:rPr>
          <w:sz w:val="20"/>
          <w:szCs w:val="19"/>
        </w:rPr>
      </w:pPr>
      <w:r>
        <w:rPr>
          <w:rFonts w:ascii="Microsoft Sans Serif" w:hAnsi="Microsoft Sans Serif"/>
          <w:noProof/>
          <w:sz w:val="24"/>
        </w:rPr>
        <mc:AlternateContent>
          <mc:Choice Requires="wps">
            <w:drawing>
              <wp:anchor distT="0" distB="0" distL="0" distR="0" simplePos="0" relativeHeight="251659264" behindDoc="0" locked="0" layoutInCell="1" allowOverlap="1" wp14:anchorId="3B143088" wp14:editId="66D3BB99">
                <wp:simplePos x="0" y="0"/>
                <wp:positionH relativeFrom="page">
                  <wp:posOffset>292100</wp:posOffset>
                </wp:positionH>
                <wp:positionV relativeFrom="paragraph">
                  <wp:posOffset>325120</wp:posOffset>
                </wp:positionV>
                <wp:extent cx="6899275" cy="2165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9275" cy="216535"/>
                        </a:xfrm>
                        <a:prstGeom prst="rect">
                          <a:avLst/>
                        </a:prstGeom>
                        <a:solidFill>
                          <a:srgbClr val="004479"/>
                        </a:solidFill>
                      </wps:spPr>
                      <wps:txbx>
                        <w:txbxContent>
                          <w:tbl>
                            <w:tblPr>
                              <w:tblStyle w:val="TableGrid2"/>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4508"/>
                              <w:gridCol w:w="2887"/>
                            </w:tblGrid>
                            <w:tr w:rsidR="00F122A6" w14:paraId="4C7B1FE4" w14:textId="77777777" w:rsidTr="001A30DD">
                              <w:tc>
                                <w:tcPr>
                                  <w:tcW w:w="3234" w:type="dxa"/>
                                  <w:vAlign w:val="bottom"/>
                                </w:tcPr>
                                <w:p w14:paraId="200D134E" w14:textId="77777777" w:rsidR="00F122A6" w:rsidRPr="001A30DD" w:rsidRDefault="00357A4F" w:rsidP="007E1B61">
                                  <w:pPr>
                                    <w:spacing w:before="30"/>
                                    <w:rPr>
                                      <w:b/>
                                      <w:color w:val="FFFFFF"/>
                                    </w:rPr>
                                  </w:pPr>
                                  <w:hyperlink r:id="rId7">
                                    <w:r w:rsidR="0037644B">
                                      <w:rPr>
                                        <w:b/>
                                        <w:color w:val="FFFFFF"/>
                                        <w:sz w:val="18"/>
                                      </w:rPr>
                                      <w:t>https://www.</w:t>
                                    </w:r>
                                  </w:hyperlink>
                                  <w:r w:rsidR="0037644B">
                                    <w:rPr>
                                      <w:b/>
                                      <w:color w:val="FFFFFF"/>
                                      <w:sz w:val="18"/>
                                    </w:rPr>
                                    <w:t>boe.es</w:t>
                                  </w:r>
                                </w:p>
                              </w:tc>
                              <w:tc>
                                <w:tcPr>
                                  <w:tcW w:w="4659" w:type="dxa"/>
                                  <w:vAlign w:val="bottom"/>
                                </w:tcPr>
                                <w:p w14:paraId="30AA6D48" w14:textId="77777777" w:rsidR="00F122A6" w:rsidRPr="00DA52BB" w:rsidRDefault="00F122A6" w:rsidP="001A30DD">
                                  <w:pPr>
                                    <w:spacing w:before="30"/>
                                    <w:jc w:val="center"/>
                                    <w:rPr>
                                      <w:b/>
                                      <w:color w:val="FFFFFF"/>
                                      <w:sz w:val="20"/>
                                    </w:rPr>
                                  </w:pPr>
                                  <w:r>
                                    <w:rPr>
                                      <w:b/>
                                      <w:color w:val="FFFFFF"/>
                                    </w:rPr>
                                    <w:t>DZIENNIK URZĘDOWY</w:t>
                                  </w:r>
                                </w:p>
                              </w:tc>
                              <w:tc>
                                <w:tcPr>
                                  <w:tcW w:w="2987" w:type="dxa"/>
                                  <w:vAlign w:val="bottom"/>
                                </w:tcPr>
                                <w:p w14:paraId="152F23BF" w14:textId="77777777" w:rsidR="00F122A6" w:rsidRDefault="00F122A6" w:rsidP="001A30DD">
                                  <w:pPr>
                                    <w:spacing w:before="30"/>
                                    <w:jc w:val="center"/>
                                    <w:rPr>
                                      <w:b/>
                                      <w:sz w:val="16"/>
                                    </w:rPr>
                                  </w:pPr>
                                  <w:r>
                                    <w:rPr>
                                      <w:b/>
                                      <w:color w:val="FFFFFF"/>
                                      <w:sz w:val="18"/>
                                    </w:rPr>
                                    <w:t>D. L.: M-1/1958 - ISSN: 0212-033X</w:t>
                                  </w:r>
                                </w:p>
                              </w:tc>
                            </w:tr>
                          </w:tbl>
                          <w:p w14:paraId="2A834EF0" w14:textId="77777777" w:rsidR="00F122A6" w:rsidRDefault="00F122A6" w:rsidP="00F122A6">
                            <w:pPr>
                              <w:tabs>
                                <w:tab w:val="left" w:pos="3342"/>
                                <w:tab w:val="left" w:pos="8001"/>
                              </w:tabs>
                              <w:spacing w:before="30"/>
                              <w:rPr>
                                <w:b/>
                                <w:sz w:val="16"/>
                              </w:rPr>
                            </w:pPr>
                          </w:p>
                        </w:txbxContent>
                      </wps:txbx>
                      <wps:bodyPr wrap="square" lIns="0" tIns="0" rIns="0" bIns="0" rtlCol="0">
                        <a:noAutofit/>
                      </wps:bodyPr>
                    </wps:wsp>
                  </a:graphicData>
                </a:graphic>
              </wp:anchor>
            </w:drawing>
          </mc:Choice>
          <mc:Fallback>
            <w:pict>
              <v:shapetype w14:anchorId="3B143088" id="_x0000_t202" coordsize="21600,21600" o:spt="202" path="m,l,21600r21600,l21600,xe">
                <v:stroke joinstyle="miter"/>
                <v:path gradientshapeok="t" o:connecttype="rect"/>
              </v:shapetype>
              <v:shape id="Textbox 21" o:spid="_x0000_s1026" type="#_x0000_t202" style="position:absolute;left:0;text-align:left;margin-left:23pt;margin-top:25.6pt;width:543.25pt;height:17.0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" fillcolor="#004479" stroked="f">
                <v:textbox inset="0,0,0,0">
                  <w:txbxContent>
                    <w:tbl>
                      <w:tblPr>
                        <w:tblStyle w:val="TableGrid2"/>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4508"/>
                        <w:gridCol w:w="2887"/>
                      </w:tblGrid>
                      <w:tr w:rsidR="00F122A6" w14:paraId="4C7B1FE4" w14:textId="77777777" w:rsidTr="001A30DD">
                        <w:tc>
                          <w:tcPr>
                            <w:tcW w:w="3234" w:type="dxa"/>
                            <w:vAlign w:val="bottom"/>
                          </w:tcPr>
                          <w:p w14:paraId="200D134E" w14:textId="77777777" w:rsidR="00F122A6" w:rsidRPr="001A30DD" w:rsidRDefault="00357A4F" w:rsidP="007E1B61">
                            <w:pPr>
                              <w:spacing w:before="30"/>
                              <w:rPr>
                                <w:b/>
                                <w:color w:val="FFFFFF"/>
                              </w:rPr>
                            </w:pPr>
                            <w:hyperlink r:id="rId8">
                              <w:r w:rsidR="0037644B">
                                <w:rPr>
                                  <w:b/>
                                  <w:color w:val="FFFFFF"/>
                                  <w:sz w:val="18"/>
                                </w:rPr>
                                <w:t>https://www.</w:t>
                              </w:r>
                            </w:hyperlink>
                            <w:r w:rsidR="0037644B">
                              <w:rPr>
                                <w:b/>
                                <w:color w:val="FFFFFF"/>
                                <w:sz w:val="18"/>
                              </w:rPr>
                              <w:t>boe.es</w:t>
                            </w:r>
                          </w:p>
                        </w:tc>
                        <w:tc>
                          <w:tcPr>
                            <w:tcW w:w="4659" w:type="dxa"/>
                            <w:vAlign w:val="bottom"/>
                          </w:tcPr>
                          <w:p w14:paraId="30AA6D48" w14:textId="77777777" w:rsidR="00F122A6" w:rsidRPr="00DA52BB" w:rsidRDefault="00F122A6" w:rsidP="001A30DD">
                            <w:pPr>
                              <w:spacing w:before="30"/>
                              <w:jc w:val="center"/>
                              <w:rPr>
                                <w:b/>
                                <w:color w:val="FFFFFF"/>
                                <w:sz w:val="20"/>
                              </w:rPr>
                            </w:pPr>
                            <w:r>
                              <w:rPr>
                                <w:b/>
                                <w:color w:val="FFFFFF"/>
                              </w:rPr>
                              <w:t>DZIENNIK URZĘDOWY</w:t>
                            </w:r>
                          </w:p>
                        </w:tc>
                        <w:tc>
                          <w:tcPr>
                            <w:tcW w:w="2987" w:type="dxa"/>
                            <w:vAlign w:val="bottom"/>
                          </w:tcPr>
                          <w:p w14:paraId="152F23BF" w14:textId="77777777" w:rsidR="00F122A6" w:rsidRDefault="00F122A6" w:rsidP="001A30DD">
                            <w:pPr>
                              <w:spacing w:before="30"/>
                              <w:jc w:val="center"/>
                              <w:rPr>
                                <w:b/>
                                <w:sz w:val="16"/>
                              </w:rPr>
                            </w:pPr>
                            <w:r>
                              <w:rPr>
                                <w:b/>
                                <w:color w:val="FFFFFF"/>
                                <w:sz w:val="18"/>
                              </w:rPr>
                              <w:t>D. L.: M-1/1958 - ISSN: 0212-033X</w:t>
                            </w:r>
                          </w:p>
                        </w:tc>
                      </w:tr>
                    </w:tbl>
                    <w:p w14:paraId="2A834EF0" w14:textId="77777777" w:rsidR="00F122A6" w:rsidRDefault="00F122A6" w:rsidP="00F122A6">
                      <w:pPr>
                        <w:tabs>
                          <w:tab w:val="left" w:pos="3342"/>
                          <w:tab w:val="left" w:pos="8001"/>
                        </w:tabs>
                        <w:spacing w:before="30"/>
                        <w:rPr>
                          <w:b/>
                          <w:sz w:val="16"/>
                        </w:rPr>
                      </w:pPr>
                    </w:p>
                  </w:txbxContent>
                </v:textbox>
                <w10:wrap anchorx="page"/>
              </v:shape>
            </w:pict>
          </mc:Fallback>
        </mc:AlternateContent>
      </w:r>
    </w:p>
    <w:sectPr w:rsidR="0037644B" w:rsidSect="00F122A6">
      <w:headerReference w:type="default" r:id="rId9"/>
      <w:footerReference w:type="default" r:id="rId10"/>
      <w:type w:val="continuous"/>
      <w:pgSz w:w="11900" w:h="16840"/>
      <w:pgMar w:top="1077" w:right="357" w:bottom="1276" w:left="357" w:header="612" w:footer="1020" w:gutter="0"/>
      <w:pgNumType w:start="10846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6044" w14:textId="77777777" w:rsidR="00357A4F" w:rsidRDefault="00357A4F">
      <w:r>
        <w:separator/>
      </w:r>
    </w:p>
  </w:endnote>
  <w:endnote w:type="continuationSeparator" w:id="0">
    <w:p w14:paraId="37C29CAD" w14:textId="77777777" w:rsidR="00357A4F" w:rsidRDefault="0035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673D" w14:textId="4BCE84DE" w:rsidR="00F122A6" w:rsidRDefault="00F122A6">
    <w:pPr>
      <w:pStyle w:val="Footer"/>
    </w:pPr>
    <w:r>
      <w:rPr>
        <w:noProof/>
      </w:rPr>
      <mc:AlternateContent>
        <mc:Choice Requires="wps">
          <w:drawing>
            <wp:anchor distT="0" distB="0" distL="0" distR="0" simplePos="0" relativeHeight="251659264" behindDoc="0" locked="0" layoutInCell="1" allowOverlap="1" wp14:anchorId="4CCC1602" wp14:editId="665CCF54">
              <wp:simplePos x="0" y="0"/>
              <wp:positionH relativeFrom="page">
                <wp:posOffset>6965950</wp:posOffset>
              </wp:positionH>
              <wp:positionV relativeFrom="paragraph">
                <wp:posOffset>-1518920</wp:posOffset>
              </wp:positionV>
              <wp:extent cx="231775" cy="14351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435100"/>
                      </a:xfrm>
                      <a:prstGeom prst="rect">
                        <a:avLst/>
                      </a:prstGeom>
                    </wps:spPr>
                    <wps:txbx>
                      <w:txbxContent>
                        <w:p w14:paraId="521BEB48" w14:textId="77777777" w:rsidR="00F122A6" w:rsidRDefault="00F122A6" w:rsidP="00F122A6">
                          <w:pPr>
                            <w:pStyle w:val="Bodytext20"/>
                          </w:pPr>
                          <w:r>
                            <w:rPr>
                              <w:rStyle w:val="Bodytext2"/>
                            </w:rPr>
                            <w:t>cve: BOE-A-2024-17371</w:t>
                          </w:r>
                        </w:p>
                        <w:p w14:paraId="141DFE5A" w14:textId="77777777" w:rsidR="00F122A6" w:rsidRDefault="00F122A6" w:rsidP="00F122A6">
                          <w:pPr>
                            <w:pStyle w:val="Bodytext20"/>
                          </w:pPr>
                          <w:r>
                            <w:rPr>
                              <w:rStyle w:val="Bodytext2"/>
                            </w:rPr>
                            <w:t xml:space="preserve">Weryfikacja: </w:t>
                          </w:r>
                          <w:hyperlink r:id="rId1" w:history="1">
                            <w:r>
                              <w:rPr>
                                <w:rStyle w:val="Bodytext2"/>
                              </w:rPr>
                              <w:t>https://www.boe.es</w:t>
                            </w:r>
                          </w:hyperlink>
                        </w:p>
                        <w:p w14:paraId="5DB38A53" w14:textId="77777777" w:rsidR="00F122A6" w:rsidRPr="00BB5B1F" w:rsidRDefault="00F122A6" w:rsidP="00F122A6">
                          <w:pPr>
                            <w:pStyle w:val="Bodytext20"/>
                            <w:textDirection w:val="btLr"/>
                          </w:pPr>
                        </w:p>
                      </w:txbxContent>
                    </wps:txbx>
                    <wps:bodyPr vert="vert270" wrap="square" lIns="0" tIns="0" rIns="0" bIns="0" rtlCol="0">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type w14:anchorId="4CCC1602" id="_x0000_t202" coordsize="21600,21600" o:spt="202" path="m,l,21600r21600,l21600,xe">
              <v:stroke joinstyle="miter"/>
              <v:path gradientshapeok="t" o:connecttype="rect"/>
            </v:shapetype>
            <v:shape id="Textbox 14" o:spid="_x0000_s1028" type="#_x0000_t202" style="position:absolute;margin-left:548.5pt;margin-top:-119.6pt;width:18.25pt;height:113pt;z-index:2516592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" filled="f" stroked="f">
              <v:textbox style="layout-flow:vertical;mso-layout-flow-alt:bottom-to-top" inset="0,0,0,0">
                <w:txbxContent>
                  <w:p w14:paraId="521BEB48" w14:textId="77777777" w:rsidR="00F122A6" w:rsidRDefault="00F122A6" w:rsidP="00F122A6">
                    <w:pPr>
                      <w:pStyle w:val="Bodytext20"/>
                    </w:pPr>
                    <w:r>
                      <w:rPr>
                        <w:rStyle w:val="Bodytext2"/>
                      </w:rPr>
                      <w:t xml:space="preserve">cve:</w:t>
                    </w:r>
                    <w:r>
                      <w:rPr>
                        <w:rStyle w:val="Bodytext2"/>
                      </w:rPr>
                      <w:t xml:space="preserve"> </w:t>
                    </w:r>
                    <w:r>
                      <w:rPr>
                        <w:rStyle w:val="Bodytext2"/>
                      </w:rPr>
                      <w:t xml:space="preserve">BOE-A-2024-17371</w:t>
                    </w:r>
                  </w:p>
                  <w:p w14:paraId="141DFE5A" w14:textId="77777777" w:rsidR="00F122A6" w:rsidRDefault="00F122A6" w:rsidP="00F122A6">
                    <w:pPr>
                      <w:pStyle w:val="Bodytext20"/>
                    </w:pPr>
                    <w:r>
                      <w:rPr>
                        <w:rStyle w:val="Bodytext2"/>
                      </w:rPr>
                      <w:t xml:space="preserve">Weryfikacja: </w:t>
                    </w:r>
                    <w:hyperlink r:id="rId2" w:history="1">
                      <w:r>
                        <w:rPr>
                          <w:rStyle w:val="Bodytext2"/>
                        </w:rPr>
                        <w:t xml:space="preserve">https://www.boe.es</w:t>
                      </w:r>
                    </w:hyperlink>
                  </w:p>
                  <w:p w14:paraId="5DB38A53" w14:textId="77777777" w:rsidR="00F122A6" w:rsidRPr="00BB5B1F" w:rsidRDefault="00F122A6" w:rsidP="00F122A6">
                    <w:pPr>
                      <w:pStyle w:val="Bodytext20"/>
                      <w:textDirection w:val="btL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B4F35" w14:textId="77777777" w:rsidR="00357A4F" w:rsidRDefault="00357A4F"/>
  </w:footnote>
  <w:footnote w:type="continuationSeparator" w:id="0">
    <w:p w14:paraId="392D6757" w14:textId="77777777" w:rsidR="00357A4F" w:rsidRDefault="00357A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1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804"/>
      <w:gridCol w:w="708"/>
      <w:gridCol w:w="1509"/>
    </w:tblGrid>
    <w:tr w:rsidR="00EE0D48" w:rsidRPr="00EE0D48" w14:paraId="29FF6C3D" w14:textId="77777777" w:rsidTr="0029462A">
      <w:trPr>
        <w:trHeight w:val="851"/>
      </w:trPr>
      <w:tc>
        <w:tcPr>
          <w:tcW w:w="2235" w:type="dxa"/>
          <w:tcBorders>
            <w:bottom w:val="single" w:sz="8" w:space="0" w:color="00447A"/>
          </w:tcBorders>
          <w:vAlign w:val="center"/>
        </w:tcPr>
        <w:p w14:paraId="4ECD7A44" w14:textId="77777777" w:rsidR="00EE0D48" w:rsidRPr="00EE0D48" w:rsidRDefault="00EE0D48" w:rsidP="00EE0D48">
          <w:pPr>
            <w:tabs>
              <w:tab w:val="center" w:pos="4680"/>
              <w:tab w:val="right" w:pos="9360"/>
            </w:tabs>
          </w:pPr>
          <w:r>
            <w:rPr>
              <w:noProof/>
            </w:rPr>
            <w:drawing>
              <wp:inline distT="0" distB="0" distL="0" distR="0" wp14:anchorId="4B258F07" wp14:editId="7AECED03">
                <wp:extent cx="762000" cy="323215"/>
                <wp:effectExtent l="0" t="0" r="0" b="0"/>
                <wp:docPr id="1376890813" name="Picture 1376890813" descr="A blue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787279781" name="Picture 787279781" descr="A blue circle with white text&#10;&#10;Description automatically generated"/>
                        <pic:cNvPicPr/>
                      </pic:nvPicPr>
                      <pic:blipFill>
                        <a:blip r:embed="rId1"/>
                        <a:stretch/>
                      </pic:blipFill>
                      <pic:spPr>
                        <a:xfrm>
                          <a:off x="0" y="0"/>
                          <a:ext cx="762000" cy="323215"/>
                        </a:xfrm>
                        <a:prstGeom prst="rect">
                          <a:avLst/>
                        </a:prstGeom>
                      </pic:spPr>
                    </pic:pic>
                  </a:graphicData>
                </a:graphic>
              </wp:inline>
            </w:drawing>
          </w:r>
        </w:p>
      </w:tc>
      <w:tc>
        <w:tcPr>
          <w:tcW w:w="7512" w:type="dxa"/>
          <w:gridSpan w:val="2"/>
          <w:tcBorders>
            <w:bottom w:val="single" w:sz="8" w:space="0" w:color="00447A"/>
          </w:tcBorders>
          <w:vAlign w:val="center"/>
        </w:tcPr>
        <w:p w14:paraId="3BD86AC7" w14:textId="77777777" w:rsidR="00EE0D48" w:rsidRPr="00EE0D48" w:rsidRDefault="00EE0D48" w:rsidP="00EE0D48">
          <w:pPr>
            <w:jc w:val="center"/>
            <w:rPr>
              <w:rFonts w:ascii="Arial" w:eastAsia="Times New Roman" w:hAnsi="Arial" w:cs="Arial"/>
              <w:sz w:val="20"/>
              <w:szCs w:val="20"/>
            </w:rPr>
          </w:pPr>
          <w:r>
            <w:rPr>
              <w:rFonts w:ascii="Arial" w:hAnsi="Arial"/>
              <w:b/>
              <w:color w:val="00447A"/>
              <w:sz w:val="40"/>
            </w:rPr>
            <w:t>DZIENNIK URZĘDOWY</w:t>
          </w:r>
        </w:p>
      </w:tc>
      <w:tc>
        <w:tcPr>
          <w:tcW w:w="1509" w:type="dxa"/>
          <w:tcBorders>
            <w:bottom w:val="single" w:sz="8" w:space="0" w:color="00447A"/>
          </w:tcBorders>
          <w:vAlign w:val="center"/>
        </w:tcPr>
        <w:p w14:paraId="78853998" w14:textId="77777777" w:rsidR="00EE0D48" w:rsidRPr="00EE0D48" w:rsidRDefault="00EE0D48" w:rsidP="00EE0D48">
          <w:pPr>
            <w:tabs>
              <w:tab w:val="center" w:pos="4680"/>
              <w:tab w:val="right" w:pos="9360"/>
            </w:tabs>
            <w:jc w:val="right"/>
          </w:pPr>
          <w:r>
            <w:rPr>
              <w:noProof/>
            </w:rPr>
            <w:drawing>
              <wp:inline distT="0" distB="0" distL="0" distR="0" wp14:anchorId="6E4D7463" wp14:editId="2C76F42D">
                <wp:extent cx="384175" cy="408305"/>
                <wp:effectExtent l="0" t="0" r="0" b="0"/>
                <wp:docPr id="2068100945" name="Picture 2068100945" descr="A blue and white emblem&#10;&#10;Description automatically generated"/>
                <wp:cNvGraphicFramePr/>
                <a:graphic xmlns:a="http://schemas.openxmlformats.org/drawingml/2006/main">
                  <a:graphicData uri="http://schemas.openxmlformats.org/drawingml/2006/picture">
                    <pic:pic xmlns:pic="http://schemas.openxmlformats.org/drawingml/2006/picture">
                      <pic:nvPicPr>
                        <pic:cNvPr id="1630636042" name="Picture 1630636042" descr="A blue and white emblem&#10;&#10;Description automatically generated"/>
                        <pic:cNvPicPr/>
                      </pic:nvPicPr>
                      <pic:blipFill>
                        <a:blip r:embed="rId2"/>
                        <a:stretch/>
                      </pic:blipFill>
                      <pic:spPr>
                        <a:xfrm>
                          <a:off x="0" y="0"/>
                          <a:ext cx="384175" cy="408305"/>
                        </a:xfrm>
                        <a:prstGeom prst="rect">
                          <a:avLst/>
                        </a:prstGeom>
                      </pic:spPr>
                    </pic:pic>
                  </a:graphicData>
                </a:graphic>
              </wp:inline>
            </w:drawing>
          </w:r>
        </w:p>
      </w:tc>
    </w:tr>
    <w:tr w:rsidR="00EE0D48" w:rsidRPr="00EE0D48" w14:paraId="040EEF60" w14:textId="77777777" w:rsidTr="0029462A">
      <w:trPr>
        <w:trHeight w:val="350"/>
      </w:trPr>
      <w:tc>
        <w:tcPr>
          <w:tcW w:w="2235" w:type="dxa"/>
          <w:tcBorders>
            <w:top w:val="single" w:sz="8" w:space="0" w:color="00447A"/>
            <w:bottom w:val="single" w:sz="8" w:space="0" w:color="00447A"/>
          </w:tcBorders>
        </w:tcPr>
        <w:p w14:paraId="46E828EA" w14:textId="77777777" w:rsidR="00EE0D48" w:rsidRPr="00EE0D48" w:rsidRDefault="00EE0D48" w:rsidP="00EE0D48">
          <w:pPr>
            <w:tabs>
              <w:tab w:val="center" w:pos="4680"/>
              <w:tab w:val="right" w:pos="9360"/>
            </w:tabs>
            <w:spacing w:before="60"/>
            <w:rPr>
              <w:noProof/>
              <w:sz w:val="20"/>
              <w:szCs w:val="20"/>
            </w:rPr>
          </w:pPr>
          <w:r>
            <w:rPr>
              <w:rFonts w:ascii="Arial" w:hAnsi="Arial"/>
              <w:b/>
              <w:color w:val="00447A"/>
              <w:sz w:val="20"/>
            </w:rPr>
            <w:t>Nr 208</w:t>
          </w:r>
        </w:p>
      </w:tc>
      <w:tc>
        <w:tcPr>
          <w:tcW w:w="6804" w:type="dxa"/>
          <w:tcBorders>
            <w:top w:val="single" w:sz="8" w:space="0" w:color="00447A"/>
            <w:bottom w:val="single" w:sz="8" w:space="0" w:color="00447A"/>
          </w:tcBorders>
        </w:tcPr>
        <w:p w14:paraId="53768128" w14:textId="77777777" w:rsidR="00EE0D48" w:rsidRPr="00EE0D48" w:rsidRDefault="00EE0D48" w:rsidP="00EE0D48">
          <w:pPr>
            <w:spacing w:before="60"/>
            <w:jc w:val="center"/>
            <w:rPr>
              <w:rFonts w:ascii="Arial" w:eastAsia="Arial" w:hAnsi="Arial" w:cs="Arial"/>
              <w:b/>
              <w:bCs/>
              <w:color w:val="00447A"/>
              <w:sz w:val="20"/>
              <w:szCs w:val="20"/>
            </w:rPr>
          </w:pPr>
          <w:r>
            <w:rPr>
              <w:rFonts w:ascii="Arial" w:hAnsi="Arial"/>
              <w:b/>
              <w:color w:val="00447A"/>
              <w:sz w:val="20"/>
            </w:rPr>
            <w:t>28 sierpnia 2024 r.</w:t>
          </w:r>
        </w:p>
      </w:tc>
      <w:tc>
        <w:tcPr>
          <w:tcW w:w="2217" w:type="dxa"/>
          <w:gridSpan w:val="2"/>
          <w:tcBorders>
            <w:top w:val="single" w:sz="8" w:space="0" w:color="00447A"/>
            <w:bottom w:val="single" w:sz="8" w:space="0" w:color="00447A"/>
          </w:tcBorders>
        </w:tcPr>
        <w:p w14:paraId="0445C7CE" w14:textId="77777777" w:rsidR="00EE0D48" w:rsidRPr="00EE0D48" w:rsidRDefault="00EE0D48" w:rsidP="00EE0D48">
          <w:pPr>
            <w:tabs>
              <w:tab w:val="center" w:pos="4680"/>
              <w:tab w:val="right" w:pos="9360"/>
            </w:tabs>
            <w:spacing w:before="60"/>
            <w:jc w:val="right"/>
            <w:rPr>
              <w:noProof/>
              <w:sz w:val="20"/>
              <w:szCs w:val="20"/>
            </w:rPr>
          </w:pPr>
          <w:r>
            <w:rPr>
              <w:rFonts w:ascii="Arial" w:hAnsi="Arial"/>
              <w:b/>
              <w:color w:val="00447A"/>
              <w:sz w:val="20"/>
            </w:rPr>
            <w:t xml:space="preserve">Cz. I. Strona </w:t>
          </w:r>
          <w:r w:rsidRPr="00EE0D48">
            <w:rPr>
              <w:rFonts w:ascii="Arial" w:eastAsia="Arial" w:hAnsi="Arial" w:cs="Arial"/>
              <w:b/>
              <w:color w:val="00447A"/>
              <w:sz w:val="20"/>
            </w:rPr>
            <w:fldChar w:fldCharType="begin"/>
          </w:r>
          <w:r w:rsidRPr="00EE0D48">
            <w:rPr>
              <w:rFonts w:ascii="Arial" w:eastAsia="Arial" w:hAnsi="Arial" w:cs="Arial"/>
              <w:b/>
              <w:color w:val="00447A"/>
              <w:sz w:val="20"/>
            </w:rPr>
            <w:instrText xml:space="preserve"> PAGE   \* MERGEFORMAT </w:instrText>
          </w:r>
          <w:r w:rsidRPr="00EE0D48">
            <w:rPr>
              <w:rFonts w:ascii="Arial" w:eastAsia="Arial" w:hAnsi="Arial" w:cs="Arial"/>
              <w:b/>
              <w:color w:val="00447A"/>
              <w:sz w:val="20"/>
            </w:rPr>
            <w:fldChar w:fldCharType="separate"/>
          </w:r>
          <w:r w:rsidRPr="00EE0D48">
            <w:rPr>
              <w:rFonts w:ascii="Arial" w:eastAsia="Arial" w:hAnsi="Arial" w:cs="Arial"/>
              <w:b/>
              <w:color w:val="00447A"/>
              <w:sz w:val="20"/>
            </w:rPr>
            <w:t>108461</w:t>
          </w:r>
          <w:r w:rsidRPr="00EE0D48">
            <w:rPr>
              <w:rFonts w:ascii="Arial" w:eastAsia="Arial" w:hAnsi="Arial" w:cs="Arial"/>
              <w:b/>
              <w:color w:val="00447A"/>
              <w:sz w:val="20"/>
            </w:rPr>
            <w:fldChar w:fldCharType="end"/>
          </w:r>
        </w:p>
      </w:tc>
    </w:tr>
  </w:tbl>
  <w:p w14:paraId="7DDE1055" w14:textId="77777777" w:rsidR="00EE0D48" w:rsidRPr="00EE0D48" w:rsidRDefault="00EE0D48" w:rsidP="00EE0D48">
    <w:pPr>
      <w:tabs>
        <w:tab w:val="center" w:pos="4680"/>
        <w:tab w:val="right" w:pos="9360"/>
      </w:tabs>
    </w:pPr>
  </w:p>
  <w:p w14:paraId="6D3322AA" w14:textId="77777777" w:rsidR="00EE0D48" w:rsidRPr="00EE0D48" w:rsidRDefault="00EE0D4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F00D8"/>
    <w:multiLevelType w:val="multilevel"/>
    <w:tmpl w:val="0428ED76"/>
    <w:lvl w:ilvl="0">
      <w:start w:val="8"/>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71BF6"/>
    <w:multiLevelType w:val="multilevel"/>
    <w:tmpl w:val="5DE44DB4"/>
    <w:lvl w:ilvl="0">
      <w:start w:val="1"/>
      <w:numFmt w:val="upperRoman"/>
      <w:lvlText w:val="%1."/>
      <w:lvlJc w:val="right"/>
      <w:rPr>
        <w:b/>
        <w:bCs/>
        <w:i w:val="0"/>
        <w:iCs w:val="0"/>
        <w:smallCaps w:val="0"/>
        <w:strike w:val="0"/>
        <w:color w:val="000000"/>
        <w:spacing w:val="0"/>
        <w:w w:val="100"/>
        <w:position w:val="0"/>
        <w:sz w:val="30"/>
        <w:szCs w:val="3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3E37C9"/>
    <w:multiLevelType w:val="multilevel"/>
    <w:tmpl w:val="C79A14F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D919AA"/>
    <w:multiLevelType w:val="multilevel"/>
    <w:tmpl w:val="A0A0B31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566924"/>
    <w:multiLevelType w:val="multilevel"/>
    <w:tmpl w:val="BA70EF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B75579"/>
    <w:multiLevelType w:val="multilevel"/>
    <w:tmpl w:val="9632A9C0"/>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C93299"/>
    <w:multiLevelType w:val="multilevel"/>
    <w:tmpl w:val="C100907A"/>
    <w:lvl w:ilvl="0">
      <w:start w:val="7"/>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92"/>
    <w:rsid w:val="001C4407"/>
    <w:rsid w:val="00357A4F"/>
    <w:rsid w:val="0037644B"/>
    <w:rsid w:val="003A02E8"/>
    <w:rsid w:val="00503C92"/>
    <w:rsid w:val="00695D6F"/>
    <w:rsid w:val="007C7F14"/>
    <w:rsid w:val="008A217F"/>
    <w:rsid w:val="008D51C9"/>
    <w:rsid w:val="00973FEB"/>
    <w:rsid w:val="00A51493"/>
    <w:rsid w:val="00BB487E"/>
    <w:rsid w:val="00C10FCF"/>
    <w:rsid w:val="00EB596F"/>
    <w:rsid w:val="00EE0D48"/>
    <w:rsid w:val="00F122A6"/>
    <w:rsid w:val="00FF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B8557"/>
  <w15:docId w15:val="{14B7957D-F9B3-420D-ABEF-F04A5FA7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4"/>
      <w:szCs w:val="14"/>
      <w:u w:val="none"/>
    </w:rPr>
  </w:style>
  <w:style w:type="character" w:customStyle="1" w:styleId="Bodytext4">
    <w:name w:val="Body text (4)_"/>
    <w:basedOn w:val="DefaultParagraphFont"/>
    <w:link w:val="Bodytext40"/>
    <w:rPr>
      <w:rFonts w:ascii="Arial" w:eastAsia="Arial" w:hAnsi="Arial" w:cs="Arial"/>
      <w:b/>
      <w:bCs/>
      <w:i w:val="0"/>
      <w:iCs w:val="0"/>
      <w:smallCaps w:val="0"/>
      <w:strike w:val="0"/>
      <w:sz w:val="30"/>
      <w:szCs w:val="3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Arial" w:eastAsia="Arial" w:hAnsi="Arial" w:cs="Arial"/>
      <w:b w:val="0"/>
      <w:bCs w:val="0"/>
      <w:i w:val="0"/>
      <w:iCs w:val="0"/>
      <w:smallCaps w:val="0"/>
      <w:strike w:val="0"/>
      <w:sz w:val="34"/>
      <w:szCs w:val="34"/>
      <w:u w:val="none"/>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19"/>
      <w:szCs w:val="19"/>
      <w:u w:val="none"/>
    </w:rPr>
  </w:style>
  <w:style w:type="character" w:customStyle="1" w:styleId="Other">
    <w:name w:val="Other_"/>
    <w:basedOn w:val="DefaultParagraphFont"/>
    <w:link w:val="Other0"/>
    <w:rPr>
      <w:rFonts w:ascii="Arial" w:eastAsia="Arial" w:hAnsi="Arial" w:cs="Arial"/>
      <w:b w:val="0"/>
      <w:bCs w:val="0"/>
      <w:i w:val="0"/>
      <w:iCs w:val="0"/>
      <w:smallCaps w:val="0"/>
      <w:strike w:val="0"/>
      <w:sz w:val="19"/>
      <w:szCs w:val="19"/>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6"/>
      <w:szCs w:val="16"/>
      <w:u w:val="none"/>
    </w:rPr>
  </w:style>
  <w:style w:type="paragraph" w:customStyle="1" w:styleId="Bodytext20">
    <w:name w:val="Body text (2)"/>
    <w:basedOn w:val="Normal"/>
    <w:link w:val="Bodytext2"/>
    <w:rPr>
      <w:rFonts w:ascii="Arial" w:eastAsia="Arial" w:hAnsi="Arial" w:cs="Arial"/>
      <w:sz w:val="14"/>
      <w:szCs w:val="14"/>
    </w:rPr>
  </w:style>
  <w:style w:type="paragraph" w:customStyle="1" w:styleId="Bodytext40">
    <w:name w:val="Body text (4)"/>
    <w:basedOn w:val="Normal"/>
    <w:link w:val="Bodytext4"/>
    <w:pPr>
      <w:spacing w:after="260"/>
      <w:jc w:val="center"/>
    </w:pPr>
    <w:rPr>
      <w:rFonts w:ascii="Arial" w:eastAsia="Arial" w:hAnsi="Arial" w:cs="Arial"/>
      <w:b/>
      <w:bCs/>
      <w:sz w:val="30"/>
      <w:szCs w:val="3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260"/>
      <w:jc w:val="center"/>
      <w:outlineLvl w:val="0"/>
    </w:pPr>
    <w:rPr>
      <w:rFonts w:ascii="Arial" w:eastAsia="Arial" w:hAnsi="Arial" w:cs="Arial"/>
      <w:sz w:val="34"/>
      <w:szCs w:val="34"/>
    </w:rPr>
  </w:style>
  <w:style w:type="paragraph" w:styleId="BodyText">
    <w:name w:val="Body Text"/>
    <w:basedOn w:val="Normal"/>
    <w:link w:val="BodyTextChar"/>
    <w:qFormat/>
    <w:pPr>
      <w:spacing w:after="120" w:line="264" w:lineRule="auto"/>
      <w:ind w:firstLine="340"/>
    </w:pPr>
    <w:rPr>
      <w:rFonts w:ascii="Arial" w:eastAsia="Arial" w:hAnsi="Arial" w:cs="Arial"/>
      <w:sz w:val="19"/>
      <w:szCs w:val="19"/>
    </w:rPr>
  </w:style>
  <w:style w:type="paragraph" w:customStyle="1" w:styleId="Other0">
    <w:name w:val="Other"/>
    <w:basedOn w:val="Normal"/>
    <w:link w:val="Other"/>
    <w:pPr>
      <w:spacing w:after="120" w:line="264" w:lineRule="auto"/>
      <w:ind w:firstLine="340"/>
    </w:pPr>
    <w:rPr>
      <w:rFonts w:ascii="Arial" w:eastAsia="Arial" w:hAnsi="Arial" w:cs="Arial"/>
      <w:sz w:val="19"/>
      <w:szCs w:val="19"/>
    </w:rPr>
  </w:style>
  <w:style w:type="paragraph" w:customStyle="1" w:styleId="Bodytext30">
    <w:name w:val="Body text (3)"/>
    <w:basedOn w:val="Normal"/>
    <w:link w:val="Bodytext3"/>
    <w:pPr>
      <w:spacing w:line="278" w:lineRule="auto"/>
    </w:pPr>
    <w:rPr>
      <w:rFonts w:ascii="Arial" w:eastAsia="Arial" w:hAnsi="Arial" w:cs="Arial"/>
      <w:sz w:val="16"/>
      <w:szCs w:val="16"/>
    </w:rPr>
  </w:style>
  <w:style w:type="paragraph" w:styleId="Footer">
    <w:name w:val="footer"/>
    <w:basedOn w:val="Normal"/>
    <w:link w:val="FooterChar"/>
    <w:uiPriority w:val="99"/>
    <w:unhideWhenUsed/>
    <w:rsid w:val="00EE0D48"/>
    <w:pPr>
      <w:tabs>
        <w:tab w:val="center" w:pos="4680"/>
        <w:tab w:val="right" w:pos="9360"/>
      </w:tabs>
    </w:pPr>
  </w:style>
  <w:style w:type="character" w:customStyle="1" w:styleId="FooterChar">
    <w:name w:val="Footer Char"/>
    <w:basedOn w:val="DefaultParagraphFont"/>
    <w:link w:val="Footer"/>
    <w:uiPriority w:val="99"/>
    <w:rsid w:val="00EE0D48"/>
    <w:rPr>
      <w:color w:val="000000"/>
    </w:rPr>
  </w:style>
  <w:style w:type="paragraph" w:styleId="Header">
    <w:name w:val="header"/>
    <w:basedOn w:val="Normal"/>
    <w:link w:val="HeaderChar"/>
    <w:uiPriority w:val="99"/>
    <w:unhideWhenUsed/>
    <w:rsid w:val="00EE0D48"/>
    <w:pPr>
      <w:tabs>
        <w:tab w:val="center" w:pos="4680"/>
        <w:tab w:val="right" w:pos="9360"/>
      </w:tabs>
    </w:pPr>
  </w:style>
  <w:style w:type="character" w:customStyle="1" w:styleId="HeaderChar">
    <w:name w:val="Header Char"/>
    <w:basedOn w:val="DefaultParagraphFont"/>
    <w:link w:val="Header"/>
    <w:uiPriority w:val="99"/>
    <w:rsid w:val="00EE0D48"/>
    <w:rPr>
      <w:color w:val="000000"/>
    </w:rPr>
  </w:style>
  <w:style w:type="table" w:customStyle="1" w:styleId="TableGrid1">
    <w:name w:val="Table Grid1"/>
    <w:basedOn w:val="TableNormal"/>
    <w:next w:val="TableGrid"/>
    <w:uiPriority w:val="39"/>
    <w:rsid w:val="00EE0D48"/>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0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122A6"/>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7446"/>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e.es/" TargetMode="External"/><Relationship Id="rId3" Type="http://schemas.openxmlformats.org/officeDocument/2006/relationships/settings" Target="settings.xml"/><Relationship Id="rId7" Type="http://schemas.openxmlformats.org/officeDocument/2006/relationships/hyperlink" Target="http://www.boe.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boe.es" TargetMode="External"/><Relationship Id="rId1" Type="http://schemas.openxmlformats.org/officeDocument/2006/relationships/hyperlink" Target="https://www.bo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2845</Words>
  <Characters>18410</Characters>
  <Application>Microsoft Office Word</Application>
  <DocSecurity>0</DocSecurity>
  <Lines>347</Lines>
  <Paragraphs>122</Paragraphs>
  <ScaleCrop>false</ScaleCrop>
  <HeadingPairs>
    <vt:vector size="2" baseType="variant">
      <vt:variant>
        <vt:lpstr>Title</vt:lpstr>
      </vt:variant>
      <vt:variant>
        <vt:i4>1</vt:i4>
      </vt:variant>
    </vt:vector>
  </HeadingPairs>
  <TitlesOfParts>
    <vt:vector size="1" baseType="lpstr">
      <vt:lpstr>Disposición 17371 del BOE núm. 208 de 2024</vt:lpstr>
    </vt:vector>
  </TitlesOfParts>
  <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17371 del BOE núm. 208 de 2024</dc:title>
  <dc:subject>BOE-A-2024-17371</dc:subject>
  <dc:creator>MINISTERIO DE AGRICULTURA, PESCA Y ALIMENTACIÓN</dc:creator>
  <cp:keywords>DECRETO 840/2024 de 27/08/2024; MINISTERIO DE AGRICULTURA, PESCA Y ALIMENTACIÓN; BOE-A-2024-17371; BOE 208 de 2024; 17371; 28/08/2024;Class='Internal'</cp:keywords>
  <cp:lastModifiedBy>Ragnhild Efraimsson</cp:lastModifiedBy>
  <cp:revision>2</cp:revision>
  <dcterms:created xsi:type="dcterms:W3CDTF">2024-10-10T11:22:00Z</dcterms:created>
  <dcterms:modified xsi:type="dcterms:W3CDTF">2024-10-10T11:22:00Z</dcterms:modified>
</cp:coreProperties>
</file>