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DA431" w14:textId="77777777" w:rsidR="003F7A27" w:rsidRDefault="003F7A27" w:rsidP="003F7A27">
      <w:pPr>
        <w:autoSpaceDN w:val="0"/>
        <w:spacing w:after="0" w:line="240" w:lineRule="exact"/>
        <w:textAlignment w:val="baseline"/>
        <w:rPr>
          <w:rFonts w:eastAsia="DejaVu Sans" w:cs="Lohit Hindi"/>
          <w:b/>
          <w:szCs w:val="18"/>
        </w:rPr>
      </w:pPr>
      <w:bookmarkStart w:id="0" w:name="_Hlk172809711"/>
    </w:p>
    <w:p w14:paraId="5290D081" w14:textId="4C09F249" w:rsidR="003F7A27" w:rsidRPr="000633B3" w:rsidRDefault="003F7A27" w:rsidP="003F7A27">
      <w:pPr>
        <w:autoSpaceDN w:val="0"/>
        <w:spacing w:after="0" w:line="240" w:lineRule="exact"/>
        <w:textAlignment w:val="baseline"/>
        <w:rPr>
          <w:rFonts w:eastAsia="DejaVu Sans" w:cs="Lohit Hindi"/>
          <w:b/>
          <w:szCs w:val="18"/>
        </w:rPr>
      </w:pPr>
      <w:r>
        <w:rPr>
          <w:b/>
        </w:rPr>
        <w:t>NÁVRH ZE DNE 12. srpna 2024</w:t>
      </w:r>
    </w:p>
    <w:p w14:paraId="189BC380" w14:textId="77777777" w:rsidR="003F7A27" w:rsidRPr="000633B3" w:rsidRDefault="003F7A27" w:rsidP="003F7A27">
      <w:pPr>
        <w:autoSpaceDN w:val="0"/>
        <w:spacing w:after="0" w:line="240" w:lineRule="exact"/>
        <w:textAlignment w:val="baseline"/>
        <w:rPr>
          <w:rFonts w:eastAsia="DejaVu Sans" w:cs="Lohit Hindi"/>
          <w:b/>
          <w:szCs w:val="18"/>
          <w:lang w:eastAsia="nl-NL"/>
        </w:rPr>
      </w:pPr>
    </w:p>
    <w:p w14:paraId="2AA7C8CA" w14:textId="49325284" w:rsidR="003F7A27" w:rsidRPr="000633B3" w:rsidRDefault="003F7A27" w:rsidP="003F7A27">
      <w:pPr>
        <w:autoSpaceDN w:val="0"/>
        <w:spacing w:after="0" w:line="240" w:lineRule="exact"/>
        <w:textAlignment w:val="baseline"/>
        <w:rPr>
          <w:rFonts w:eastAsia="DejaVu Sans" w:cs="Lohit Hindi"/>
          <w:b/>
          <w:szCs w:val="18"/>
        </w:rPr>
      </w:pPr>
      <w:r>
        <w:rPr>
          <w:b/>
        </w:rPr>
        <w:t>Nařízení státního tajemníka pro infrastrukturu a vodní hospodářství</w:t>
      </w:r>
      <w:r w:rsidR="005F0A20">
        <w:rPr>
          <w:b/>
        </w:rPr>
        <w:t xml:space="preserve"> ze dne ......</w:t>
      </w:r>
      <w:r>
        <w:rPr>
          <w:b/>
        </w:rPr>
        <w:br/>
        <w:t xml:space="preserve">č. IENW/BSK-2024/215440, kterým se mění nařízení o životním prostředí (změna programu Safeti-NL a požadavku na výpočet environmentální bezpečnosti). </w:t>
      </w:r>
    </w:p>
    <w:p w14:paraId="01CEA535" w14:textId="77777777" w:rsidR="003F7A27" w:rsidRPr="000633B3" w:rsidRDefault="003F7A27" w:rsidP="003F7A27">
      <w:pPr>
        <w:autoSpaceDN w:val="0"/>
        <w:spacing w:after="0" w:line="240" w:lineRule="exact"/>
        <w:textAlignment w:val="baseline"/>
        <w:rPr>
          <w:rFonts w:eastAsia="DejaVu Sans" w:cs="Lohit Hindi"/>
          <w:szCs w:val="18"/>
          <w:lang w:eastAsia="nl-NL"/>
        </w:rPr>
      </w:pPr>
    </w:p>
    <w:p w14:paraId="6FA4A217" w14:textId="77777777" w:rsidR="003F7A27" w:rsidRPr="000633B3" w:rsidRDefault="003F7A27" w:rsidP="003F7A27">
      <w:pPr>
        <w:autoSpaceDN w:val="0"/>
        <w:spacing w:after="0" w:line="240" w:lineRule="exact"/>
        <w:textAlignment w:val="baseline"/>
        <w:rPr>
          <w:rFonts w:eastAsia="DejaVu Sans" w:cs="Lohit Hindi"/>
          <w:szCs w:val="18"/>
        </w:rPr>
      </w:pPr>
      <w:r>
        <w:t>Státní tajemník pro infrastrukturu a vodní hospodářství,</w:t>
      </w:r>
    </w:p>
    <w:p w14:paraId="19EB4346" w14:textId="77777777" w:rsidR="003F7A27" w:rsidRPr="000633B3" w:rsidRDefault="003F7A27" w:rsidP="003F7A27">
      <w:pPr>
        <w:autoSpaceDN w:val="0"/>
        <w:spacing w:after="0" w:line="240" w:lineRule="exact"/>
        <w:textAlignment w:val="baseline"/>
        <w:rPr>
          <w:rFonts w:eastAsia="DejaVu Sans" w:cs="Lohit Hindi"/>
          <w:szCs w:val="18"/>
          <w:lang w:eastAsia="nl-NL"/>
        </w:rPr>
      </w:pPr>
    </w:p>
    <w:p w14:paraId="718082A8" w14:textId="77777777" w:rsidR="003F7A27" w:rsidRPr="000633B3" w:rsidRDefault="003F7A27" w:rsidP="003F7A27">
      <w:pPr>
        <w:autoSpaceDN w:val="0"/>
        <w:spacing w:after="0" w:line="240" w:lineRule="exact"/>
        <w:textAlignment w:val="baseline"/>
        <w:rPr>
          <w:rFonts w:eastAsia="DejaVu Sans" w:cs="Lohit Hindi"/>
          <w:szCs w:val="18"/>
        </w:rPr>
      </w:pPr>
      <w:bookmarkStart w:id="1" w:name="_Hlk172195137"/>
      <w:r>
        <w:t>s ohledem na čl. 2.24 odst. 2 písm. b) a čl. 4.3 odst. 4 zákona o životním prostředí [Omgevingswet];</w:t>
      </w:r>
    </w:p>
    <w:p w14:paraId="6A216A01" w14:textId="77777777" w:rsidR="003F7A27" w:rsidRPr="000633B3" w:rsidRDefault="003F7A27" w:rsidP="003F7A27">
      <w:pPr>
        <w:autoSpaceDN w:val="0"/>
        <w:spacing w:after="0" w:line="240" w:lineRule="exact"/>
        <w:textAlignment w:val="baseline"/>
        <w:rPr>
          <w:rFonts w:eastAsia="DejaVu Sans" w:cs="Lohit Hindi"/>
          <w:szCs w:val="18"/>
          <w:lang w:eastAsia="nl-NL"/>
        </w:rPr>
      </w:pPr>
    </w:p>
    <w:bookmarkEnd w:id="1"/>
    <w:p w14:paraId="1EEC95B0" w14:textId="77777777" w:rsidR="003F7A27" w:rsidRPr="000633B3" w:rsidRDefault="003F7A27" w:rsidP="003F7A27">
      <w:pPr>
        <w:rPr>
          <w:b/>
          <w:bCs/>
          <w:szCs w:val="18"/>
        </w:rPr>
      </w:pPr>
      <w:r>
        <w:t>TÍMTO STANOVÍ:</w:t>
      </w:r>
      <w:r>
        <w:br/>
      </w:r>
    </w:p>
    <w:p w14:paraId="753734EF" w14:textId="77777777" w:rsidR="003F7A27" w:rsidRPr="000633B3" w:rsidRDefault="003F7A27" w:rsidP="003F7A27">
      <w:pPr>
        <w:rPr>
          <w:b/>
          <w:bCs/>
          <w:szCs w:val="18"/>
        </w:rPr>
      </w:pPr>
      <w:r>
        <w:rPr>
          <w:b/>
        </w:rPr>
        <w:t>Článek I (změna přílohy II nařízení o životním prostředí)</w:t>
      </w:r>
    </w:p>
    <w:p w14:paraId="61F6B746" w14:textId="77777777" w:rsidR="003F7A27" w:rsidRPr="000633B3" w:rsidRDefault="003F7A27" w:rsidP="003F7A27">
      <w:pPr>
        <w:ind w:firstLine="360"/>
        <w:rPr>
          <w:szCs w:val="18"/>
        </w:rPr>
      </w:pPr>
      <w:r>
        <w:t>Příloha II nařízení o životním prostředí [Omgevingsregeling] se mění takto:</w:t>
      </w:r>
    </w:p>
    <w:p w14:paraId="50E1DB69" w14:textId="77777777" w:rsidR="003F7A27" w:rsidRPr="000633B3" w:rsidRDefault="003F7A27" w:rsidP="003F7A27">
      <w:pPr>
        <w:pStyle w:val="Default"/>
        <w:numPr>
          <w:ilvl w:val="0"/>
          <w:numId w:val="1"/>
        </w:numPr>
        <w:rPr>
          <w:color w:val="auto"/>
          <w:sz w:val="18"/>
          <w:szCs w:val="18"/>
        </w:rPr>
      </w:pPr>
      <w:r>
        <w:rPr>
          <w:color w:val="auto"/>
          <w:sz w:val="18"/>
        </w:rPr>
        <w:t>V řádku „Požadavek na výpočet environmentální bezpečnosti“ se ve sloupci s nadpisem „Datum nebo verze“ datum „říjen 2020“ nahrazuje datem „leden 2025“ a ve sloupci s nadpisem „Kapitola vyhlášky nebo nařízení obsahující odkaz</w:t>
      </w:r>
      <w:r>
        <w:rPr>
          <w:color w:val="auto"/>
          <w:sz w:val="18"/>
          <w:vertAlign w:val="superscript"/>
        </w:rPr>
        <w:t>1</w:t>
      </w:r>
      <w:r>
        <w:rPr>
          <w:color w:val="auto"/>
          <w:sz w:val="18"/>
        </w:rPr>
        <w:t xml:space="preserve">“ se slova „kapitoly 4, 8 a 12 tohoto nařízení“ nahrazují slovy „kapitoly 4, 7, 8, 9 a 12 tohoto nařízení“. </w:t>
      </w:r>
    </w:p>
    <w:p w14:paraId="03AB22F7" w14:textId="77777777" w:rsidR="003F7A27" w:rsidRPr="000633B3" w:rsidRDefault="003F7A27" w:rsidP="003F7A27">
      <w:pPr>
        <w:ind w:left="720" w:hanging="360"/>
        <w:rPr>
          <w:b/>
          <w:bCs/>
          <w:szCs w:val="18"/>
        </w:rPr>
      </w:pPr>
      <w:r>
        <w:t xml:space="preserve">2. </w:t>
      </w:r>
      <w:r>
        <w:tab/>
        <w:t>V řádku „Safeti-NL“ se ve sloupci s nadpisem „Datum nebo verze“ slova „Verze 8, 2021“ nahrazují slovy „Verze 9.2, 2025“.</w:t>
      </w:r>
    </w:p>
    <w:p w14:paraId="57690CB6" w14:textId="77777777" w:rsidR="003F7A27" w:rsidRPr="000633B3" w:rsidRDefault="003F7A27" w:rsidP="003F7A27">
      <w:pPr>
        <w:rPr>
          <w:b/>
          <w:bCs/>
          <w:szCs w:val="18"/>
        </w:rPr>
      </w:pPr>
      <w:r>
        <w:rPr>
          <w:b/>
        </w:rPr>
        <w:t>Článek II (přechodná ustanovení)</w:t>
      </w:r>
    </w:p>
    <w:p w14:paraId="741977AF" w14:textId="77777777" w:rsidR="003F7A27" w:rsidRPr="000633B3" w:rsidRDefault="003F7A27" w:rsidP="003F7A27">
      <w:pPr>
        <w:pStyle w:val="ListParagraph"/>
        <w:numPr>
          <w:ilvl w:val="0"/>
          <w:numId w:val="2"/>
        </w:numPr>
        <w:ind w:left="644"/>
        <w:rPr>
          <w:szCs w:val="18"/>
        </w:rPr>
      </w:pPr>
      <w:r>
        <w:t>Pokud byl přede dnem nabytí účinnosti tohoto nařízení předložen ke kontrole návrh změny plánu v oblasti životního prostředí nebo byla podána žádost o povolení v oblasti životního prostředí v případě činnosti plánu v oblasti životního prostředí mimo plán nebo činnosti poškozující životní prostředí, pro kterou bylo vypočteno riziko specifické pro dané místo, použije se příloha II nařízení o životním prostředí ve znění platném přede dnem nabytí účinnosti tohoto nařízení, dokud rozhodnutí o změně plánu v oblasti životního prostředí nebo rozhodnutí o žádosti o povolení v oblasti životního prostředí v případě činnosti plánu v oblasti životního prostředí mimo plán nebo činnosti poškozující životní prostředí nenabude právní moci.</w:t>
      </w:r>
    </w:p>
    <w:p w14:paraId="10115F0D" w14:textId="77777777" w:rsidR="003F7A27" w:rsidRPr="000633B3" w:rsidRDefault="003F7A27" w:rsidP="003F7A27">
      <w:pPr>
        <w:pStyle w:val="ListParagraph"/>
        <w:numPr>
          <w:ilvl w:val="0"/>
          <w:numId w:val="2"/>
        </w:numPr>
        <w:ind w:left="644"/>
        <w:rPr>
          <w:szCs w:val="18"/>
        </w:rPr>
      </w:pPr>
      <w:r>
        <w:t>Příloha II nařízení o životním prostředí ve znění přede dnem nabytí účinnosti tohoto nařízení se nadále použije na výpočty uvedené v článku 4.1115 vyhlášky o činnostech v oblasti životního prostředí [Besluit activiteiten leefomgeving], které provozovatel potrubí podle čl. 3.101 odst. 1 úvodního textu a písmen b), c) nebo d) uvedené vyhlášky provedl pro toto potrubí.</w:t>
      </w:r>
    </w:p>
    <w:p w14:paraId="05782D8C" w14:textId="77777777" w:rsidR="003F7A27" w:rsidRPr="000633B3" w:rsidRDefault="003F7A27" w:rsidP="003F7A27">
      <w:pPr>
        <w:rPr>
          <w:b/>
          <w:bCs/>
          <w:szCs w:val="18"/>
        </w:rPr>
      </w:pPr>
    </w:p>
    <w:p w14:paraId="6E7813B2" w14:textId="77777777" w:rsidR="003F7A27" w:rsidRPr="000633B3" w:rsidRDefault="003F7A27" w:rsidP="003F7A27">
      <w:pPr>
        <w:rPr>
          <w:szCs w:val="18"/>
        </w:rPr>
      </w:pPr>
      <w:r>
        <w:rPr>
          <w:b/>
        </w:rPr>
        <w:t xml:space="preserve">Článek III (nabytí účinnosti) </w:t>
      </w:r>
    </w:p>
    <w:p w14:paraId="0F988A94" w14:textId="77777777" w:rsidR="003F7A27" w:rsidRPr="000633B3" w:rsidRDefault="003F7A27" w:rsidP="003F7A27">
      <w:pPr>
        <w:autoSpaceDN w:val="0"/>
        <w:spacing w:after="0" w:line="240" w:lineRule="exact"/>
        <w:textAlignment w:val="baseline"/>
        <w:rPr>
          <w:rFonts w:eastAsia="DejaVu Sans" w:cs="Lohit Hindi"/>
          <w:szCs w:val="18"/>
        </w:rPr>
      </w:pPr>
      <w:r>
        <w:t>Toto nařízení nabývá účinnosti dnem 1. ledna 2025.</w:t>
      </w:r>
    </w:p>
    <w:p w14:paraId="6A090D6E" w14:textId="77777777" w:rsidR="003F7A27" w:rsidRPr="000633B3" w:rsidRDefault="003F7A27" w:rsidP="003F7A27">
      <w:pPr>
        <w:autoSpaceDN w:val="0"/>
        <w:spacing w:after="0" w:line="240" w:lineRule="exact"/>
        <w:textAlignment w:val="baseline"/>
        <w:rPr>
          <w:rFonts w:eastAsia="DejaVu Sans" w:cs="Lohit Hindi"/>
          <w:szCs w:val="18"/>
          <w:lang w:eastAsia="nl-NL"/>
        </w:rPr>
      </w:pPr>
    </w:p>
    <w:p w14:paraId="7855219B" w14:textId="77777777" w:rsidR="003F7A27" w:rsidRPr="000633B3" w:rsidRDefault="003F7A27" w:rsidP="003F7A27">
      <w:pPr>
        <w:autoSpaceDN w:val="0"/>
        <w:spacing w:after="0" w:line="240" w:lineRule="exact"/>
        <w:textAlignment w:val="baseline"/>
        <w:rPr>
          <w:rFonts w:eastAsia="DejaVu Sans" w:cs="Lohit Hindi"/>
          <w:szCs w:val="18"/>
          <w:lang w:eastAsia="nl-NL"/>
        </w:rPr>
      </w:pPr>
    </w:p>
    <w:p w14:paraId="74F71FAE" w14:textId="77777777" w:rsidR="003F7A27" w:rsidRPr="000633B3" w:rsidRDefault="003F7A27" w:rsidP="003F7A27">
      <w:pPr>
        <w:autoSpaceDN w:val="0"/>
        <w:spacing w:after="0" w:line="240" w:lineRule="exact"/>
        <w:textAlignment w:val="baseline"/>
        <w:rPr>
          <w:rFonts w:eastAsia="DejaVu Sans" w:cs="Lohit Hindi"/>
          <w:szCs w:val="18"/>
        </w:rPr>
      </w:pPr>
      <w:r>
        <w:t>Toto nařízení a vysvětlující poznámky budou vyhlášeny v úředním věstníku Staatscourant.</w:t>
      </w:r>
    </w:p>
    <w:p w14:paraId="47875776" w14:textId="77777777" w:rsidR="003F7A27" w:rsidRPr="000633B3" w:rsidRDefault="003F7A27" w:rsidP="003F7A27">
      <w:pPr>
        <w:pStyle w:val="Default"/>
        <w:rPr>
          <w:bCs/>
          <w:color w:val="auto"/>
          <w:sz w:val="18"/>
          <w:szCs w:val="18"/>
        </w:rPr>
      </w:pPr>
    </w:p>
    <w:p w14:paraId="2E333072" w14:textId="77777777" w:rsidR="003F7A27" w:rsidRPr="000633B3" w:rsidRDefault="003F7A27" w:rsidP="003F7A27">
      <w:pPr>
        <w:tabs>
          <w:tab w:val="left" w:pos="426"/>
        </w:tabs>
        <w:rPr>
          <w:szCs w:val="18"/>
        </w:rPr>
      </w:pPr>
    </w:p>
    <w:p w14:paraId="7CD65270" w14:textId="77777777" w:rsidR="003F7A27" w:rsidRPr="000633B3" w:rsidRDefault="003F7A27" w:rsidP="003F7A27">
      <w:pPr>
        <w:tabs>
          <w:tab w:val="left" w:pos="426"/>
        </w:tabs>
        <w:rPr>
          <w:szCs w:val="18"/>
        </w:rPr>
      </w:pPr>
    </w:p>
    <w:p w14:paraId="45258866" w14:textId="77777777" w:rsidR="003F7A27" w:rsidRPr="000633B3" w:rsidRDefault="003F7A27" w:rsidP="003F7A27">
      <w:pPr>
        <w:tabs>
          <w:tab w:val="left" w:pos="426"/>
        </w:tabs>
        <w:rPr>
          <w:szCs w:val="18"/>
        </w:rPr>
      </w:pPr>
      <w:r>
        <w:t>STÁTNÍ TAJEMNÍK PRO INFRASTRUKTURU A VODNÍ HOSPODÁŘSTVÍ – VEŘEJNOU DOPRAVU A ŽIVOTNÍ PROSTŘEDÍ,</w:t>
      </w:r>
    </w:p>
    <w:p w14:paraId="4BEE98AE" w14:textId="77777777" w:rsidR="003F7A27" w:rsidRPr="000633B3" w:rsidRDefault="003F7A27" w:rsidP="003F7A27">
      <w:pPr>
        <w:rPr>
          <w:szCs w:val="18"/>
        </w:rPr>
      </w:pPr>
    </w:p>
    <w:p w14:paraId="1B642D12" w14:textId="77777777" w:rsidR="003F7A27" w:rsidRPr="000633B3" w:rsidRDefault="003F7A27" w:rsidP="003F7A27">
      <w:pPr>
        <w:rPr>
          <w:b/>
          <w:bCs/>
          <w:szCs w:val="18"/>
        </w:rPr>
      </w:pPr>
      <w:r>
        <w:br w:type="page"/>
      </w:r>
      <w:r>
        <w:rPr>
          <w:b/>
        </w:rPr>
        <w:lastRenderedPageBreak/>
        <w:t>VYSVĚTLUJÍCÍ POZNÁMKY</w:t>
      </w:r>
    </w:p>
    <w:p w14:paraId="6D21C78E" w14:textId="77777777" w:rsidR="003F7A27" w:rsidRPr="000633B3" w:rsidRDefault="003F7A27" w:rsidP="003F7A27">
      <w:pPr>
        <w:rPr>
          <w:szCs w:val="18"/>
        </w:rPr>
      </w:pPr>
      <w:r>
        <w:t>1. Úvod</w:t>
      </w:r>
    </w:p>
    <w:p w14:paraId="43F17F62" w14:textId="77777777" w:rsidR="003F7A27" w:rsidRPr="000633B3" w:rsidRDefault="003F7A27" w:rsidP="003F7A27">
      <w:pPr>
        <w:rPr>
          <w:szCs w:val="18"/>
        </w:rPr>
      </w:pPr>
      <w:r>
        <w:t>Toto pozměňující nařízení stanoví novou verzi výpočtového programu Safeti-NL a související novou verzi požadavku na výpočet environmentální bezpečnosti [Rekenvoorschrift omgevingsveiligheid] pro výpočet vnějších bezpečnostních rizik činností poškozujících životní prostředí, které jsou uvedeny v příloze VII vyhlášky o kvalitě životního prostředí [Besluit kwaliteit leefomgeving] (dále jen „Bkl“). Výsledky výpočtů rizik se používají při rozhodování o udělení povolení k činnosti poškozující životní prostředí nebo k činnosti plánu v oblasti životního prostředí mimo plán a při rozhodování o změně plánu v oblasti životního prostředí.</w:t>
      </w:r>
    </w:p>
    <w:p w14:paraId="22B0A28D" w14:textId="77777777" w:rsidR="003F7A27" w:rsidRPr="000633B3" w:rsidRDefault="003F7A27" w:rsidP="003F7A27">
      <w:pPr>
        <w:rPr>
          <w:szCs w:val="18"/>
        </w:rPr>
      </w:pPr>
      <w:r>
        <w:t xml:space="preserve">2. Odůvodnění a souvislosti změny </w:t>
      </w:r>
    </w:p>
    <w:p w14:paraId="6D58CDCB" w14:textId="77777777" w:rsidR="003F7A27" w:rsidRPr="000633B3" w:rsidRDefault="003F7A27" w:rsidP="003F7A27">
      <w:pPr>
        <w:rPr>
          <w:szCs w:val="18"/>
        </w:rPr>
      </w:pPr>
      <w:r>
        <w:t>2.1 Výpočty rizik pomocí výpočtového programu Safeti-NL a požadavku na výpočet environmentální bezpečnosti</w:t>
      </w:r>
    </w:p>
    <w:p w14:paraId="02DBC508" w14:textId="77777777" w:rsidR="003F7A27" w:rsidRPr="000633B3" w:rsidRDefault="003F7A27" w:rsidP="003F7A27">
      <w:pPr>
        <w:spacing w:after="0"/>
        <w:rPr>
          <w:szCs w:val="18"/>
        </w:rPr>
      </w:pPr>
      <w:r>
        <w:t>Nařízení o životním prostředí [Omgevingsregeling] stanoví výpočtový program Safeti-NL a požadavky na výpočet environmentální bezpečnosti, které se mají používat k provádění výpočtů rizik pro činnosti s vnějšími bezpečnostními riziky. Safeti-NL je softwarový balíček, který umožňuje identifikovat rizika pro životní prostředí na základě zadaných parametrů (použité chemikálie, použité ochranné systémy, teploty, tlaky) a možných scénářů havárií a pravděpodobnosti poruch. Tento software se vždy používá ve spojení s požadavkem na výpočet environmentální bezpečnosti, který předepisuje, jak je třeba balíček používat. Softwarový balíček a požadavek na výpočet jsou v těchto vysvětlujících poznámkách souhrnně označovány jako „výpočtový nástroj“.</w:t>
      </w:r>
      <w:r>
        <w:br/>
      </w:r>
    </w:p>
    <w:p w14:paraId="4422871E" w14:textId="77777777" w:rsidR="003F7A27" w:rsidRPr="000633B3" w:rsidRDefault="003F7A27" w:rsidP="003F7A27">
      <w:pPr>
        <w:spacing w:after="0"/>
        <w:rPr>
          <w:szCs w:val="18"/>
        </w:rPr>
      </w:pPr>
      <w:r>
        <w:t xml:space="preserve">2.2 Povinné výpočty rizik </w:t>
      </w:r>
    </w:p>
    <w:p w14:paraId="7BA6611D" w14:textId="77777777" w:rsidR="003F7A27" w:rsidRPr="000633B3" w:rsidRDefault="003F7A27" w:rsidP="003F7A27">
      <w:pPr>
        <w:spacing w:after="0"/>
        <w:rPr>
          <w:szCs w:val="18"/>
        </w:rPr>
      </w:pPr>
      <w:r>
        <w:br/>
        <w:t>Výpočty rizik se provádějí konkrétně za účelem výpočtu rizika specifického pro dané místo a prioritní oblast</w:t>
      </w:r>
      <w:r w:rsidRPr="000633B3">
        <w:rPr>
          <w:rStyle w:val="FootnoteReference"/>
          <w:szCs w:val="18"/>
        </w:rPr>
        <w:footnoteReference w:id="1"/>
      </w:r>
      <w:r>
        <w:t xml:space="preserve"> za účelem posouzení skupinového rizika v rozsahu požadovaném vyhláškou Bkl, vyhláškou o činnostech v oblasti životního prostředí [Besluit activiteiten leefomgeving] (dále jen „Bal“) a nařízení o životním prostředí. Vyhláška Bkl stanoví pravidla pro šetření a posuzování pro příslušný orgán mimo jiné v čl. 5.8 odst. 1 úvodním textu a písm. c), čl. 5.11 odst. 4, čl. 5.13 odst. 1 úvodním textu a písm. b), čl. 8.10a odst. 2 a čl. 8.12 odst. 3, pro které je výpočtový nástroj relevantní. Tato pravidla pro šetření a posuzování se týkají rozhodnutí o přijetí plánu v oblasti životního prostředí nebo rozhodnutí o udělení povolení k činnosti plánu v oblasti životního prostředí mimo plán nebo k činnosti poškozující životní prostředí. Kromě toho by tento výpočtový nástroj měla používat také osoba, která podává žádost o povolení k činnosti poškozující životní prostředí s vnějšími bezpečnostními riziky. Pro tyto činnosti poškozující životní prostředí byla za tímto účelem stanovena pravidla v nařízení o životním prostředí </w:t>
      </w:r>
      <w:r>
        <w:rPr>
          <w:rStyle w:val="cf01"/>
          <w:rFonts w:ascii="Verdana" w:hAnsi="Verdana"/>
        </w:rPr>
        <w:t xml:space="preserve">(čl. 7.22a odst. 2 ve spojení s čl. 4.11 úvodním textem a písmenem a) a čl. 4.12 odst. 1 nařízení o životním prostředí). Pro provozovatele potrubí pro přepravu nebezpečných látek stanoví vyhláška Bal pravidla pro výpočet rizik specifických pro dané místo a prioritní oblasti (články 4.1112, 4.1113 a 4.1115 vyhlášky Bal ve spojení s článkem 4.10 nařízení o životním prostředí). </w:t>
      </w:r>
      <w:r>
        <w:t>Výpočty není nutné provádět ve všech případech. Pro řadu činností jsou ve vyhlášce Bkl uvedeny pevně stanovené vzdálenosti.</w:t>
      </w:r>
    </w:p>
    <w:p w14:paraId="38E896DD" w14:textId="77777777" w:rsidR="003F7A27" w:rsidRPr="000633B3" w:rsidRDefault="003F7A27" w:rsidP="003F7A27">
      <w:pPr>
        <w:spacing w:after="0"/>
        <w:rPr>
          <w:szCs w:val="18"/>
        </w:rPr>
      </w:pPr>
    </w:p>
    <w:p w14:paraId="4DF0638B" w14:textId="77777777" w:rsidR="003F7A27" w:rsidRPr="000633B3" w:rsidRDefault="003F7A27" w:rsidP="003F7A27">
      <w:pPr>
        <w:spacing w:after="0"/>
        <w:rPr>
          <w:szCs w:val="18"/>
        </w:rPr>
      </w:pPr>
      <w:r>
        <w:t>2.3 Nové vědecké poznatky</w:t>
      </w:r>
    </w:p>
    <w:p w14:paraId="1A279B5F" w14:textId="77777777" w:rsidR="003F7A27" w:rsidRPr="000633B3" w:rsidRDefault="003F7A27" w:rsidP="003F7A27">
      <w:pPr>
        <w:spacing w:after="0"/>
        <w:rPr>
          <w:szCs w:val="18"/>
        </w:rPr>
      </w:pPr>
    </w:p>
    <w:p w14:paraId="7C80571C" w14:textId="77777777" w:rsidR="003F7A27" w:rsidRPr="000633B3" w:rsidRDefault="003F7A27" w:rsidP="003F7A27">
      <w:pPr>
        <w:spacing w:after="0"/>
        <w:rPr>
          <w:szCs w:val="18"/>
        </w:rPr>
      </w:pPr>
      <w:r>
        <w:t>V nařízení o životním prostředí byl stanoven softwarový balíček Safeti-NL, verze 8, vydání 2021 (což je Safeti-NL, verze 8.3). Od vydání verze 8.3 Safeti-NL v roce 2021 byly do softwarového balíčku zapracovány nové vědecké poznatky a tato změna vymezuje novou aktuální verzi Safeti-NL. Související požadavek na výpočet environmentální bezpečnosti byl rovněž uveden do souladu s novým softwarem a aktualizován. Zavedení upraveného výpočtového nástroje umožňuje vypočítat odlišný výsledek v důsledku nových vědeckých poznatků i v situacích, kdy nedošlo ke změnám činnosti poškozující životní prostředí. To může přinést určité důsledky, zejména pokud jde o riziko specifické pro dané místo. To může platit v každém případě pro vysokoprahová zařízení Seveso, u nichž je provozovatel i v případě, že nedojde ke změně provozu, povinen každých pět let vydat bezpečnostní zprávu, která zahrnuje rizika provozu pro životní prostředí.</w:t>
      </w:r>
    </w:p>
    <w:p w14:paraId="629AD7F0" w14:textId="77777777" w:rsidR="003F7A27" w:rsidRPr="000633B3" w:rsidRDefault="003F7A27" w:rsidP="003F7A27">
      <w:pPr>
        <w:spacing w:after="0"/>
        <w:rPr>
          <w:szCs w:val="18"/>
        </w:rPr>
      </w:pPr>
    </w:p>
    <w:p w14:paraId="695AFB4F" w14:textId="77777777" w:rsidR="003F7A27" w:rsidRPr="000633B3" w:rsidRDefault="003F7A27" w:rsidP="003F7A27">
      <w:pPr>
        <w:spacing w:after="0"/>
        <w:rPr>
          <w:szCs w:val="18"/>
        </w:rPr>
      </w:pPr>
      <w:r>
        <w:t>2.4 Studie důsledků nových verzí pro rizika specifická pro dané místo</w:t>
      </w:r>
    </w:p>
    <w:p w14:paraId="6267FFD5" w14:textId="77777777" w:rsidR="003F7A27" w:rsidRPr="000633B3" w:rsidRDefault="003F7A27" w:rsidP="003F7A27">
      <w:pPr>
        <w:spacing w:after="0"/>
        <w:rPr>
          <w:szCs w:val="18"/>
        </w:rPr>
      </w:pPr>
    </w:p>
    <w:p w14:paraId="4ACE6B11" w14:textId="77777777" w:rsidR="003F7A27" w:rsidRPr="000633B3" w:rsidRDefault="003F7A27" w:rsidP="003F7A27">
      <w:pPr>
        <w:spacing w:after="0"/>
        <w:rPr>
          <w:szCs w:val="18"/>
        </w:rPr>
      </w:pPr>
      <w:r>
        <w:t>Aby bylo možné pochopit případné rozdíly vzniklé pouze v důsledku změn ve výpočtovém nástroji (softwarový balíček a požadavek na výpočet), provedl institut AVIV</w:t>
      </w:r>
      <w:r w:rsidRPr="000633B3">
        <w:rPr>
          <w:rStyle w:val="FootnoteReference"/>
          <w:szCs w:val="18"/>
        </w:rPr>
        <w:footnoteReference w:id="2"/>
      </w:r>
      <w:r>
        <w:t xml:space="preserve"> na žádost ústavu RIVM studii důsledků, a to jak pro společnosti nakládající s nebezpečnými látkami, tak pro provozovatele potrubí přepravujících nebezpečné látky.</w:t>
      </w:r>
      <w:r>
        <w:rPr>
          <w:rStyle w:val="FootnoteReference"/>
          <w:szCs w:val="18"/>
        </w:rPr>
        <w:footnoteReference w:id="3"/>
      </w:r>
      <w:r>
        <w:t xml:space="preserve"> Studie upozorňuje na rozdíly mezi výsledky výpočtu pomocí nového výpočtového nástroje a dříve předepsanými výpočtovými nástroji. Studie se zaměřila na možné prostorové důsledky vypočteného rizika specifického pro dané místo. Na zranitelné budovy a pracoviště a velmi zranitelné budovy se vztahuje mezní hodnota pro riziko specifické pro dané místo. Příslušný orgán musí tuto mezní hodnotu dodržet. To znamená, že v rámci vypočteného rizikového obrysu specifického pro dané místo 10</w:t>
      </w:r>
      <w:r>
        <w:rPr>
          <w:vertAlign w:val="superscript"/>
        </w:rPr>
        <w:t>-6</w:t>
      </w:r>
      <w:r>
        <w:t xml:space="preserve"> za rok nesmí být přítomny žádné (velmi) zranitelné budovy nebo pracoviště. Studie důsledků uvádí, zda se v důsledku předepsání normy Safeti-NL 9.2, vydání 2025, změní obrysy specifické pro dané místo a (velmi) zranitelné budovy nebo pracoviště budou spadat do nového obrysu.</w:t>
      </w:r>
      <w:r>
        <w:br/>
      </w:r>
      <w:r>
        <w:br/>
        <w:t>Studie se omezila na identifikaci důsledků pro riziko specifické pro dané místo. Studie nezohlednila dopad pozměněného výpočtového nástroje na prioritní oblasti. Je tomu tak proto, že případná změna v prioritní oblasti nemusí nutně vést k důsledkům pro činnost způsobující riziko. Prioritní oblast je oblast, v níž má příslušný orgán prostor pro zvážení, zda povolit či nepovolit omezeně zranitelné, zranitelné nebo velmi zranitelné budovy, omezeně zranitelná nebo zranitelná pracoviště nebo činnosti poškozující životní prostředí s vnějšími bezpečnostními riziky. Kromě toho jsou pravidla pro prioritní oblast platná teprve od 1. ledna 2024 a výpočty prioritní oblasti se z velké části provádějí pomocí verze programu Safeti-NL (verze 8.8), která byla použita i ve studii důsledků.</w:t>
      </w:r>
      <w:r>
        <w:br/>
      </w:r>
      <w:r>
        <w:br/>
        <w:t>Ačkoli změna nařízení o životním prostředí uvádí verzi 9.2, vydání 2025, tato verze obsahově (téměř) totožná s verzí 8.8. Rozdíly se týkají zejména usnadnění používání. Chyby v softwaru však lze opravit i po provedení studie důsledků. Drobné změny lze provádět i při omezené úpravě obrysu (méně než 10 % plochy). RIVM</w:t>
      </w:r>
      <w:r>
        <w:rPr>
          <w:rStyle w:val="FootnoteReference"/>
          <w:szCs w:val="18"/>
        </w:rPr>
        <w:footnoteReference w:id="4"/>
      </w:r>
      <w:r>
        <w:t xml:space="preserve"> uvádí, že pokud se vypočtené obrysy extrapolují pomocí verze 8.8 na o 10 % větší oblast, bude do obrysu spadat jedna zranitelná budova. Na základě tohoto zjištění důsledků se má za to, že zavedení nové verze je odůvodněné.</w:t>
      </w:r>
    </w:p>
    <w:p w14:paraId="6BEE3919" w14:textId="77777777" w:rsidR="003F7A27" w:rsidRPr="000633B3" w:rsidRDefault="003F7A27" w:rsidP="003F7A27">
      <w:pPr>
        <w:spacing w:after="0"/>
        <w:rPr>
          <w:szCs w:val="18"/>
        </w:rPr>
      </w:pPr>
    </w:p>
    <w:p w14:paraId="2D1170B0" w14:textId="77777777" w:rsidR="003F7A27" w:rsidRPr="000633B3" w:rsidRDefault="003F7A27" w:rsidP="003F7A27">
      <w:pPr>
        <w:spacing w:after="0"/>
        <w:rPr>
          <w:szCs w:val="18"/>
        </w:rPr>
      </w:pPr>
      <w:r>
        <w:t>2.5 Výsledky studie důsledků činností škodlivých pro životní prostředí</w:t>
      </w:r>
      <w:r>
        <w:br/>
      </w:r>
      <w:r>
        <w:br/>
        <w:t>S ohledem na pochopení změn, které dodavatel provedl ve verzi 8.8 oproti verzi 8.3, bylo posouzeno, které typy podniků by měly být v každém případě součástí studie důsledků. Nejdůležitější změny se týkaly těchto prvků:</w:t>
      </w:r>
      <w:r>
        <w:br/>
        <w:t>– vylepšený model těžkého plynu</w:t>
      </w:r>
      <w:r>
        <w:br/>
        <w:t>– model hořáku Miller (relevantní pro vodík)</w:t>
      </w:r>
      <w:r>
        <w:br/>
        <w:t>– (omezené) změny vlastností v databázi látek (fyzikální/chemické, toxicita).</w:t>
      </w:r>
      <w:r>
        <w:br/>
      </w:r>
      <w:r>
        <w:br/>
        <w:t>V důsledku těchto změn byly vybrány příslušné látky ve vzorku a zařízení Seveso a další činnosti poškozující životní prostředí, kde se tyto látky používají. Studie se zúčastnilo 59 společností. U 40 společností není možný dopad vyloučen, protože tyto společnosti byly vybrány speciálně kvůli možné citlivosti na změny provedené v programu Safeti-NL. Jedná se o činnosti škodlivé pro životní prostředí, při nichž se používají tyto látky: chlor, LNG, amoniak, fosgen, vodík, propylenoxid, methanol, 1,3-butadien a sklady PGS (Série publikací Nebezpečné látky) 15. Zbývajících 19 společností bylo vybráno náhodně.</w:t>
      </w:r>
      <w:r>
        <w:br/>
      </w:r>
      <w:r>
        <w:br/>
        <w:t>Pokud se podíváme pouze na změnu plochy uvnitř obrysu, zjistíme, že u dvou třetin zkoumaných společností se plocha obrysu zmenšila nebo zůstala stejná ve srovnání s obrysem při použití verze 8.8. U třetiny zkoumaných společností (19 společností) došlo k nárůstu plochy uvnitř obrysu.</w:t>
      </w:r>
      <w:r>
        <w:br/>
      </w:r>
      <w:r>
        <w:br/>
        <w:t xml:space="preserve">Změna plochy vypovídá o citlivosti výpočtů v důsledku změn ve výpočtovém nástroji. Neříká však </w:t>
      </w:r>
      <w:r>
        <w:lastRenderedPageBreak/>
        <w:t xml:space="preserve">nic přímo o tom, zda to má také důsledky pro územní plánování. K tomu dojde pouze v případě, že se zvětší plocha uvnitř obrysu a v novém obrysu se nacházejí nebo jsou povoleny (vysoce) zranitelné budovy nebo pracoviště. U 19 společností se uvnitř obrysu mohou potenciálně nacházet nové (velmi) zranitelné budovy nebo pracoviště. V takovém případě musí být přijata opatření u zdroje nebo v krajním případě musí být plán v oblasti životního prostředí přizpůsoben dané budově nebo pracovišti. Bylo zjištěno, že jedna zranitelná budova spadá do nově vypočteného obrysu.  </w:t>
      </w:r>
    </w:p>
    <w:p w14:paraId="111CEC7A" w14:textId="77777777" w:rsidR="003F7A27" w:rsidRPr="000633B3" w:rsidRDefault="003F7A27" w:rsidP="003F7A27">
      <w:pPr>
        <w:spacing w:after="0"/>
        <w:rPr>
          <w:szCs w:val="18"/>
        </w:rPr>
      </w:pPr>
    </w:p>
    <w:p w14:paraId="1DA8C450" w14:textId="77777777" w:rsidR="003F7A27" w:rsidRPr="000633B3" w:rsidRDefault="003F7A27" w:rsidP="003F7A27">
      <w:pPr>
        <w:spacing w:after="0"/>
        <w:rPr>
          <w:szCs w:val="18"/>
        </w:rPr>
      </w:pPr>
      <w:r>
        <w:t>2.6 Výsledky studie důsledků pro jiné potrubí než vysokotlaké potrubí pro vedení zemního plynu</w:t>
      </w:r>
      <w:r>
        <w:br/>
      </w:r>
      <w:r>
        <w:br/>
        <w:t>U většiny vypočtených potrubí obsahujících jiné nebezpečné látky než zemní plyn nebyl mezi verzemi 8.3 a 8.8 programu Safeti-NL zjištěn žádný významný rozdíl v riziku specifickém pro dané místo. Pouze u vodíku se riziko specifické pro dané místo snižuje. To tedy vede ke zmenšení plochy vypočteného obrysu pro vypočtené potrubí.</w:t>
      </w:r>
      <w:r>
        <w:br/>
        <w:t>Pro výpočet obrysů vysokotlakých potrubí pro vedení zemního plynu se prozatím nepoužívá Safeti-NL, ale softwarový program Carola. Tento softwarový program nebyl změněn, takže nebylo nutné provádět studii důsledků pro vysokotlaká potrubí pro vedení zemního plynu.</w:t>
      </w:r>
    </w:p>
    <w:p w14:paraId="6E7FE92E" w14:textId="77777777" w:rsidR="003F7A27" w:rsidRPr="000633B3" w:rsidRDefault="003F7A27" w:rsidP="003F7A27">
      <w:pPr>
        <w:spacing w:after="0"/>
        <w:rPr>
          <w:szCs w:val="18"/>
        </w:rPr>
      </w:pPr>
    </w:p>
    <w:p w14:paraId="3C218BC9" w14:textId="77777777" w:rsidR="003F7A27" w:rsidRPr="000633B3" w:rsidRDefault="003F7A27" w:rsidP="003F7A27">
      <w:pPr>
        <w:spacing w:after="0"/>
        <w:rPr>
          <w:szCs w:val="18"/>
        </w:rPr>
      </w:pPr>
      <w:r>
        <w:t>3. Obsah změny</w:t>
      </w:r>
    </w:p>
    <w:p w14:paraId="6DFC8472" w14:textId="77777777" w:rsidR="003F7A27" w:rsidRPr="000633B3" w:rsidRDefault="003F7A27" w:rsidP="003F7A27">
      <w:pPr>
        <w:spacing w:after="0"/>
        <w:rPr>
          <w:szCs w:val="18"/>
        </w:rPr>
      </w:pPr>
    </w:p>
    <w:p w14:paraId="0B71EEDF" w14:textId="77777777" w:rsidR="003F7A27" w:rsidRDefault="003F7A27" w:rsidP="003F7A27">
      <w:pPr>
        <w:spacing w:after="0"/>
        <w:rPr>
          <w:szCs w:val="18"/>
        </w:rPr>
      </w:pPr>
      <w:r>
        <w:t xml:space="preserve">Výše uvedené skutečnosti vedly ke změně přílohy II nařízení o životním prostředí. Ve vymezení výpočtového programu Safeti-NL byla verze 8, vydání 2021, nahrazena verzí 9.2, vydání 2025. </w:t>
      </w:r>
    </w:p>
    <w:p w14:paraId="2CE59264" w14:textId="77777777" w:rsidR="003F7A27" w:rsidRPr="000633B3" w:rsidRDefault="003F7A27" w:rsidP="003F7A27">
      <w:pPr>
        <w:spacing w:after="0"/>
        <w:rPr>
          <w:szCs w:val="18"/>
        </w:rPr>
      </w:pPr>
    </w:p>
    <w:p w14:paraId="7E2DD4B3" w14:textId="77777777" w:rsidR="003F7A27" w:rsidRPr="000633B3" w:rsidRDefault="003F7A27" w:rsidP="003F7A27">
      <w:pPr>
        <w:rPr>
          <w:szCs w:val="18"/>
        </w:rPr>
      </w:pPr>
      <w:r>
        <w:t>Kromě nové verze Safeti-NL byla stanovena také nová verze požadavku na výpočet environmentální bezpečnosti: verze z října 2020 byla nahrazena verzí z ledna 2025. Požadavek na výpočet environmentální bezpečnosti se skládá z různých částí (modulů) odpovídajících specifickým charakteristikám činností. Většina úprav v modulech I, II a V požadavku na výpočet environmentální bezpečnosti je spojena s novou verzí programu Safeti-NL. Moduly I a II požadavku na výpočet enviromentální bezpečnosti se týkají provádění výpočtů pro činnosti s vnějšími bezpečnostními riziky, jak je uvedeno v kapitole 3 vyhlášky Bal, kromě potrubí přepravujících nebezpečné látky nebo větrných turbín. Modul V požadavku na výpočet environmentální bezpečnosti se týká provádění výpočtů pro potrubí přepravující nebezpečné látky, jak je uvedeno v článku 4.1108 vyhlášky Bal. Pro účely výpočtu vnějších bezpečnostních rizik větrných turbín byl ve verzi z ledna 2025 přijat beze změny Modul IV požadavku na výpočet environmentální bezpečnosti, verze z října 2020. Případná změna vymezení modulu IV bude provedena v souvislosti s připravovanou vyhláškou o větrných turbínách v životním prostředí [Besluit windturbines leefomgeving].   </w:t>
      </w:r>
      <w:r>
        <w:br/>
      </w:r>
      <w:r>
        <w:br/>
      </w:r>
      <w:bookmarkStart w:id="2" w:name="_Hlk173246212"/>
      <w:r>
        <w:t>Kvůli tomu, že uživatelé měli jisté nejasnosti, byla také provedena řada převážně redakčních změn v požadavku na výpočet environmentální bezpečnosti. Modul V požadavku na výpočet environmentální bezpečnosti navíc zohledňuje budoucí vývoj vodíkové sítě. Předchozí verze (říjen 2020) požadavku na výpočet environmentální bezpečnosti neobsahovala ustanovení o opětovném využití potrubí pro přepravu vodíku. V modulu V jsou nyní uvedeny také požadavky na výpočet pro přepravu vodíku potrubím pro vedení zemního plynu a potrubím pro chemické látky.</w:t>
      </w:r>
      <w:bookmarkEnd w:id="2"/>
    </w:p>
    <w:p w14:paraId="3F45D715" w14:textId="77777777" w:rsidR="003F7A27" w:rsidRPr="000633B3" w:rsidRDefault="003F7A27" w:rsidP="003F7A27">
      <w:pPr>
        <w:spacing w:after="0"/>
        <w:rPr>
          <w:szCs w:val="18"/>
        </w:rPr>
      </w:pPr>
      <w:r>
        <w:t>Ustanovení čl. II odst. 1 stanoví, že použití nových verzí výpočtového nástroje je povinné pouze pro nové situace a nevztahuje se na žádosti o environmentální povolení pro činnosti poškozující životní prostředí nebo činnosti plánu v oblasti životního prostředí mimo plán, u nichž dosud rozhodnutí nenabylo právní moci. Nový výpočtový nástroj se rovněž nevztahuje na rozhodnutí o změně plánu v oblasti životního prostředí, které dosud nenabylo právní moci.</w:t>
      </w:r>
    </w:p>
    <w:p w14:paraId="75590470" w14:textId="77777777" w:rsidR="003F7A27" w:rsidRPr="000633B3" w:rsidRDefault="003F7A27" w:rsidP="003F7A2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</w:rPr>
        <w:t xml:space="preserve">Ustanovení čl. II odst. 2 vyplývá, že provozovatel potrubí přepravujícího nebezpečné látky musí upravit výsledky výpočtů, které musí mít k dispozici na základě aktuálních a autentických údajů podle článku 4.1115 vyhlášky Bal, až při nejbližší změně v provozu potrubí. Jedná se o výsledky výpočtů: </w:t>
      </w:r>
    </w:p>
    <w:p w14:paraId="730C2549" w14:textId="77777777" w:rsidR="003F7A27" w:rsidRPr="000633B3" w:rsidRDefault="003F7A27" w:rsidP="003F7A27">
      <w:pPr>
        <w:pStyle w:val="Default"/>
        <w:numPr>
          <w:ilvl w:val="0"/>
          <w:numId w:val="3"/>
        </w:numPr>
        <w:rPr>
          <w:color w:val="auto"/>
          <w:sz w:val="18"/>
          <w:szCs w:val="18"/>
        </w:rPr>
      </w:pPr>
      <w:r>
        <w:rPr>
          <w:color w:val="auto"/>
          <w:sz w:val="18"/>
        </w:rPr>
        <w:t xml:space="preserve">vzdálenosti od potrubí, kde riziko specifické pro dané místo nepřekračuje 1 : 1 000 000 za rok a </w:t>
      </w:r>
    </w:p>
    <w:p w14:paraId="33FF513D" w14:textId="77777777" w:rsidR="003F7A27" w:rsidRPr="000633B3" w:rsidRDefault="003F7A27" w:rsidP="003F7A27">
      <w:pPr>
        <w:pStyle w:val="Default"/>
        <w:numPr>
          <w:ilvl w:val="0"/>
          <w:numId w:val="3"/>
        </w:numPr>
        <w:rPr>
          <w:color w:val="auto"/>
          <w:sz w:val="18"/>
          <w:szCs w:val="18"/>
        </w:rPr>
      </w:pPr>
      <w:r>
        <w:rPr>
          <w:color w:val="auto"/>
          <w:sz w:val="18"/>
        </w:rPr>
        <w:t>vzdálenosti pro požární prioritní oblast, prioritní oblast výbuchu a prioritní oblast toxického oblaku, jak je uvedeno v článku 5.12 vyhlášky Bkl.</w:t>
      </w:r>
    </w:p>
    <w:p w14:paraId="64DC6467" w14:textId="77777777" w:rsidR="003F7A27" w:rsidRPr="000633B3" w:rsidRDefault="003F7A27" w:rsidP="003F7A27">
      <w:pPr>
        <w:pStyle w:val="Default"/>
        <w:rPr>
          <w:color w:val="auto"/>
          <w:sz w:val="18"/>
          <w:szCs w:val="18"/>
        </w:rPr>
      </w:pPr>
    </w:p>
    <w:p w14:paraId="7604BC0D" w14:textId="77777777" w:rsidR="003F7A27" w:rsidRPr="000633B3" w:rsidRDefault="003F7A27" w:rsidP="005F0A20">
      <w:pPr>
        <w:keepNext/>
        <w:keepLines/>
        <w:rPr>
          <w:szCs w:val="18"/>
        </w:rPr>
      </w:pPr>
      <w:r>
        <w:lastRenderedPageBreak/>
        <w:t>4. Dopad</w:t>
      </w:r>
    </w:p>
    <w:p w14:paraId="2EAF297F" w14:textId="77777777" w:rsidR="003F7A27" w:rsidRPr="000633B3" w:rsidRDefault="003F7A27" w:rsidP="003F7A27">
      <w:pPr>
        <w:rPr>
          <w:szCs w:val="18"/>
        </w:rPr>
      </w:pPr>
      <w:r>
        <w:t>4.1 Administrativní zátěž</w:t>
      </w:r>
    </w:p>
    <w:p w14:paraId="10D7C0D6" w14:textId="77777777" w:rsidR="003F7A27" w:rsidRPr="000633B3" w:rsidRDefault="003F7A27" w:rsidP="003F7A27">
      <w:pPr>
        <w:rPr>
          <w:szCs w:val="18"/>
        </w:rPr>
      </w:pPr>
      <w:r>
        <w:t xml:space="preserve">Tato změna nemá vliv na rozsah administrativní zátěže spojené s žádostí o environmentální povolení pro činnosti poškozující životní prostředí. Výpočty musí být provedeny i nyní jako podmínka pro podání žádosti o environmentální povolení pro činnosti poškozující životní prostředí. Použití revidovaného výpočtového nástroje nepředstavuje žádnou dodatečnou zátěž. Věcný základ výpočtového nástroje se nemění. </w:t>
      </w:r>
    </w:p>
    <w:p w14:paraId="400D8119" w14:textId="77777777" w:rsidR="003F7A27" w:rsidRPr="000633B3" w:rsidRDefault="003F7A27" w:rsidP="003F7A27">
      <w:pPr>
        <w:rPr>
          <w:szCs w:val="18"/>
        </w:rPr>
      </w:pPr>
      <w:r>
        <w:t>4.2 Dopad na podnikání</w:t>
      </w:r>
    </w:p>
    <w:p w14:paraId="611E6E20" w14:textId="77777777" w:rsidR="003F7A27" w:rsidRPr="000633B3" w:rsidRDefault="003F7A27" w:rsidP="003F7A27">
      <w:pPr>
        <w:rPr>
          <w:szCs w:val="18"/>
        </w:rPr>
      </w:pPr>
      <w:r>
        <w:t>Tato změna nemá významný dopad na podnikání. Z výše uvedené studie důsledků revidovaného výpočtového programu Safeti-NL vyplývá, že dopad na podnikání je nulový nebo zanedbatelný,</w:t>
      </w:r>
      <w:bookmarkStart w:id="3" w:name="_Hlk172120153"/>
      <w:r>
        <w:t xml:space="preserve"> protože existuje pouze jeden případ, kdy může být nutné, aby společnost přijala opatření ke zmírnění dopadu rozšířeného obrysu na (velmi) zranitelné budovy nebo pracoviště.</w:t>
      </w:r>
    </w:p>
    <w:bookmarkEnd w:id="3"/>
    <w:p w14:paraId="6773BDDB" w14:textId="77777777" w:rsidR="003F7A27" w:rsidRPr="000633B3" w:rsidRDefault="003F7A27" w:rsidP="003F7A27">
      <w:pPr>
        <w:rPr>
          <w:szCs w:val="18"/>
        </w:rPr>
      </w:pPr>
      <w:r>
        <w:t xml:space="preserve">Pro společnosti a provozovatele potrubí je použití nového výpočtového nástroje povinné pouze v nových situacích (žádost o environmentální povolení pro činnost škodlivou pro životní prostředí nebo činnost plánu v oblasti životního prostředí mimo plán); výstavba nebo výměna potrubí; změna v provozu potrubí). U zařízení Seveso, pro které je vyžadována bezpečnostní zpráva, musí být při příští aktualizaci zprávy použit aktualizovaný výpočtový nástroj. </w:t>
      </w:r>
    </w:p>
    <w:p w14:paraId="5E475A8A" w14:textId="77777777" w:rsidR="003F7A27" w:rsidRPr="000633B3" w:rsidRDefault="003F7A27" w:rsidP="003F7A27">
      <w:pPr>
        <w:rPr>
          <w:szCs w:val="18"/>
        </w:rPr>
      </w:pPr>
      <w:r>
        <w:t>U potrubí lze při plánování zohlednit případné změny rizikového obrysu a nezbytná opatření.</w:t>
      </w:r>
      <w:r>
        <w:br/>
      </w:r>
      <w:r>
        <w:br/>
        <w:t>Uživatelé programu Safeti-NL musí každoročně žádat ústav RIVM o podlicenci. S tím jsou spojeny náklady. Zavedení nové verze nevede k dodatečným nákladům.</w:t>
      </w:r>
    </w:p>
    <w:p w14:paraId="7269541E" w14:textId="77777777" w:rsidR="003F7A27" w:rsidRPr="000633B3" w:rsidRDefault="003F7A27" w:rsidP="003F7A27">
      <w:pPr>
        <w:rPr>
          <w:szCs w:val="18"/>
        </w:rPr>
      </w:pPr>
      <w:r>
        <w:t>4.3 Dopad na životní prostředí</w:t>
      </w:r>
    </w:p>
    <w:p w14:paraId="4DCD09FE" w14:textId="77777777" w:rsidR="003F7A27" w:rsidRPr="000633B3" w:rsidRDefault="003F7A27" w:rsidP="003F7A27">
      <w:pPr>
        <w:rPr>
          <w:szCs w:val="18"/>
        </w:rPr>
      </w:pPr>
      <w:r>
        <w:t>V aktualizovaném výpočtovém programu jsou výpočty externího bezpečnostního rizika uvedeny v soulad s nejnovějšími informacemi. Tím se zlepšuje včasnost regulace v oblasti vnější bezpečnosti a vyvážené rozdělení funkcí na pracoviště s ohledem na zajištění bezpečnosti.</w:t>
      </w:r>
    </w:p>
    <w:p w14:paraId="4E05424B" w14:textId="77777777" w:rsidR="003F7A27" w:rsidRPr="000633B3" w:rsidRDefault="003F7A27" w:rsidP="003F7A27">
      <w:pPr>
        <w:rPr>
          <w:szCs w:val="18"/>
        </w:rPr>
      </w:pPr>
      <w:r>
        <w:t>5. Konzultace</w:t>
      </w:r>
    </w:p>
    <w:p w14:paraId="3ACD1C1A" w14:textId="77777777" w:rsidR="003F7A27" w:rsidRPr="000633B3" w:rsidRDefault="003F7A27" w:rsidP="003F7A27">
      <w:pPr>
        <w:autoSpaceDE w:val="0"/>
        <w:autoSpaceDN w:val="0"/>
        <w:adjustRightInd w:val="0"/>
        <w:rPr>
          <w:szCs w:val="18"/>
        </w:rPr>
      </w:pPr>
      <w:r>
        <w:t xml:space="preserve">5.1 Poradní výbor pro regulační zátěž (ATR) </w:t>
      </w:r>
    </w:p>
    <w:p w14:paraId="69BBD7A7" w14:textId="77777777" w:rsidR="003F7A27" w:rsidRPr="000633B3" w:rsidRDefault="003F7A27" w:rsidP="003F7A27">
      <w:pPr>
        <w:autoSpaceDE w:val="0"/>
        <w:autoSpaceDN w:val="0"/>
        <w:adjustRightInd w:val="0"/>
        <w:rPr>
          <w:szCs w:val="18"/>
        </w:rPr>
      </w:pPr>
      <w:r>
        <w:t>Nizozemský Poradní výbor pro regulační zátěž (ATR) v tomto případě formální stanovisko (nevypracoval PM) vypracoval, protože se očekává, že (nebude) bude mít významný dopad na regulační zátěž.</w:t>
      </w:r>
    </w:p>
    <w:p w14:paraId="664D0313" w14:textId="77777777" w:rsidR="003F7A27" w:rsidRPr="000633B3" w:rsidRDefault="003F7A27" w:rsidP="003F7A27">
      <w:pPr>
        <w:rPr>
          <w:szCs w:val="18"/>
        </w:rPr>
      </w:pPr>
      <w:r>
        <w:t>5.2 Konzultace na internetu</w:t>
      </w:r>
    </w:p>
    <w:p w14:paraId="337BCED6" w14:textId="77777777" w:rsidR="003F7A27" w:rsidRPr="000633B3" w:rsidRDefault="003F7A27" w:rsidP="003F7A27">
      <w:pPr>
        <w:spacing w:after="0"/>
        <w:rPr>
          <w:szCs w:val="18"/>
        </w:rPr>
      </w:pPr>
      <w:r>
        <w:t>Konzultace na internetu probíhala od (počáteční a konečné datum PM). V důsledku toho byly obdrženy odpovědi (PM). Ty (nevedly) vedly k (následujícím) úpravám (PM).</w:t>
      </w:r>
    </w:p>
    <w:p w14:paraId="2FBAC6E7" w14:textId="77777777" w:rsidR="003F7A27" w:rsidRPr="000633B3" w:rsidRDefault="003F7A27" w:rsidP="003F7A27">
      <w:pPr>
        <w:spacing w:after="0"/>
        <w:rPr>
          <w:szCs w:val="18"/>
        </w:rPr>
      </w:pPr>
    </w:p>
    <w:p w14:paraId="2B6D599F" w14:textId="77777777" w:rsidR="003F7A27" w:rsidRPr="000633B3" w:rsidRDefault="003F7A27" w:rsidP="003F7A27">
      <w:pPr>
        <w:spacing w:after="0"/>
        <w:rPr>
          <w:szCs w:val="18"/>
        </w:rPr>
      </w:pPr>
      <w:r>
        <w:t>6. Oznámení technických předpisů</w:t>
      </w:r>
      <w:r>
        <w:br/>
      </w:r>
    </w:p>
    <w:p w14:paraId="1D13EA1A" w14:textId="77777777" w:rsidR="003F7A27" w:rsidRPr="000633B3" w:rsidRDefault="003F7A27" w:rsidP="003F7A27">
      <w:pPr>
        <w:spacing w:after="0"/>
        <w:rPr>
          <w:szCs w:val="18"/>
        </w:rPr>
      </w:pPr>
      <w:r>
        <w:t>Návrh tohoto pozměňujícího nařízení byl oznámen v souladu se směrnicí Evropského parlamentu a Rady (EU) 2015/1535 ze dne 9. září 2015 o postupu při poskytování informací v oblasti technických předpisů a předpisů pro služby informační společnosti (Úř. věst. L 241, 2015). Oznámení (č. PM) bylo provedeno z důvodu článku I pozměňujícího nařízení, kterým se určují nové verze programu Safeti-NL a požadavku na výpočet environmentální bezpečnosti. Po oznámení (nebyly) byly obdrženy připomínky (od Evropské komise / ostatních členských států). To (nevedlo) vedlo k (následujícím reakcím a) úpravám. PM</w:t>
      </w:r>
    </w:p>
    <w:p w14:paraId="2008A9E9" w14:textId="77777777" w:rsidR="003F7A27" w:rsidRPr="000633B3" w:rsidRDefault="003F7A27" w:rsidP="003F7A27">
      <w:pPr>
        <w:spacing w:after="0"/>
        <w:rPr>
          <w:szCs w:val="18"/>
        </w:rPr>
      </w:pPr>
    </w:p>
    <w:p w14:paraId="076B078B" w14:textId="77777777" w:rsidR="003F7A27" w:rsidRPr="000633B3" w:rsidRDefault="003F7A27" w:rsidP="003F7A27">
      <w:pPr>
        <w:spacing w:after="0"/>
        <w:rPr>
          <w:szCs w:val="18"/>
        </w:rPr>
      </w:pPr>
      <w:r>
        <w:t xml:space="preserve">7. Provádění a prosazování </w:t>
      </w:r>
    </w:p>
    <w:p w14:paraId="300D264E" w14:textId="77777777" w:rsidR="003F7A27" w:rsidRPr="000633B3" w:rsidRDefault="003F7A27" w:rsidP="003F7A27">
      <w:pPr>
        <w:spacing w:after="0"/>
        <w:rPr>
          <w:szCs w:val="18"/>
        </w:rPr>
      </w:pPr>
    </w:p>
    <w:p w14:paraId="03834AC4" w14:textId="77777777" w:rsidR="003F7A27" w:rsidRPr="000633B3" w:rsidRDefault="003F7A27" w:rsidP="003F7A27">
      <w:pPr>
        <w:spacing w:after="0"/>
        <w:rPr>
          <w:szCs w:val="18"/>
        </w:rPr>
      </w:pPr>
      <w:r>
        <w:t xml:space="preserve">Vzhledem k tomu, že není stanovena žádná nová politika, nebyl proveden test vymahatelnosti, proveditelnosti a odolnosti proti podvodům [HUF-toets]. Změny provedené ve výpočtovém nástroji nejsou takové povahy, aby se dal očekávat dopad na proveditelnost a vymahatelnost. Příslušný orgán obdrží výsledky výpočtů podobným způsobem jako dříve a slouží k posouzení výsledků. </w:t>
      </w:r>
      <w:r>
        <w:lastRenderedPageBreak/>
        <w:t>Vzhledem k tomu, že se jedná o specializovanou práci, bylo provedením posouzení pověřeno 6 subjektů v oblasti životního prostředí (v rámci programu BRZO).</w:t>
      </w:r>
    </w:p>
    <w:p w14:paraId="5ED7FF2B" w14:textId="77777777" w:rsidR="003F7A27" w:rsidRPr="000633B3" w:rsidRDefault="003F7A27" w:rsidP="003F7A27">
      <w:pPr>
        <w:spacing w:after="0"/>
        <w:rPr>
          <w:szCs w:val="18"/>
        </w:rPr>
      </w:pPr>
    </w:p>
    <w:p w14:paraId="1F64F6C8" w14:textId="77777777" w:rsidR="003F7A27" w:rsidRPr="000633B3" w:rsidRDefault="003F7A27" w:rsidP="003F7A27">
      <w:pPr>
        <w:spacing w:after="0"/>
        <w:rPr>
          <w:szCs w:val="18"/>
        </w:rPr>
      </w:pPr>
      <w:r>
        <w:t>8. Nabytí účinnosti</w:t>
      </w:r>
    </w:p>
    <w:p w14:paraId="7F5C082E" w14:textId="77777777" w:rsidR="003F7A27" w:rsidRPr="000633B3" w:rsidRDefault="003F7A27" w:rsidP="003F7A27">
      <w:pPr>
        <w:spacing w:after="0"/>
        <w:rPr>
          <w:szCs w:val="18"/>
        </w:rPr>
      </w:pPr>
    </w:p>
    <w:p w14:paraId="08B2CF64" w14:textId="77777777" w:rsidR="003F7A27" w:rsidRPr="000633B3" w:rsidRDefault="003F7A27" w:rsidP="003F7A27">
      <w:pPr>
        <w:rPr>
          <w:szCs w:val="18"/>
        </w:rPr>
      </w:pPr>
      <w:r>
        <w:t>Tato vyhláška nabývá účinnosti dnem 1. ledna 2025. Pro datum nabytí účinnosti nařízení platí výjimka z minimální tříměsíční lhůty pro zavedení. Aby bylo možné Safeti-NL používat, uzavřelo ministerstvo infrastruktury a vodního hospodářství s dodavatelem mimo jiné smlouvu o tom, že může nizozemským uživatelům udělovat (prostřednictvím ústavu RIVM) podlicence. Platnost této smlouvy skončí na konci roku 2024. Se stávajícím dodavatelem byla uzavřena nová smlouva na dodávku programu Safeti-NL verze 9.2 od 1. ledna 2025 (na základě výběrového řízení). Pro tuto verzi mohou být vydány podlicence. Vzhledem k cílové skupině je odchylka od lhůty pro zavedení odůvodněná, protože zabraňuje významným nežádoucím veřejným a soukromým nevýhodám (čl. 4.17 odst. 5 písm. a) Pokynů pro tvorbu právních předpisů [Aanwijzingen voor de regelgeving]).</w:t>
      </w:r>
    </w:p>
    <w:p w14:paraId="4ECADA69" w14:textId="77777777" w:rsidR="003F7A27" w:rsidRPr="000633B3" w:rsidRDefault="003F7A27" w:rsidP="003F7A27">
      <w:pPr>
        <w:rPr>
          <w:szCs w:val="18"/>
        </w:rPr>
      </w:pPr>
    </w:p>
    <w:p w14:paraId="5729D8FE" w14:textId="77777777" w:rsidR="003F7A27" w:rsidRPr="000633B3" w:rsidRDefault="003F7A27" w:rsidP="003F7A27">
      <w:pPr>
        <w:rPr>
          <w:szCs w:val="18"/>
        </w:rPr>
      </w:pPr>
    </w:p>
    <w:p w14:paraId="7B7662DC" w14:textId="77777777" w:rsidR="003F7A27" w:rsidRPr="002C41F8" w:rsidRDefault="003F7A27" w:rsidP="003F7A27">
      <w:pPr>
        <w:tabs>
          <w:tab w:val="left" w:pos="426"/>
        </w:tabs>
        <w:rPr>
          <w:szCs w:val="18"/>
        </w:rPr>
      </w:pPr>
      <w:r>
        <w:t>STÁTNÍ TAJEMNÍK PRO INFRASTRUKTURU A VODNÍ HOSPODÁŘSTVÍ – VEŘEJNOU DOPRAVU A ŽIVOTNÍ PROSTŘEDÍ,</w:t>
      </w:r>
      <w:bookmarkEnd w:id="0"/>
    </w:p>
    <w:p w14:paraId="695CFD70" w14:textId="65D8673E" w:rsidR="008B5A47" w:rsidRPr="003F7A27" w:rsidRDefault="008B5A47" w:rsidP="003F7A27"/>
    <w:sectPr w:rsidR="008B5A47" w:rsidRPr="003F7A27" w:rsidSect="001E6A24">
      <w:foot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D291E" w14:textId="77777777" w:rsidR="00992962" w:rsidRDefault="00992962" w:rsidP="00AA1832">
      <w:pPr>
        <w:spacing w:after="0" w:line="240" w:lineRule="auto"/>
      </w:pPr>
      <w:r>
        <w:separator/>
      </w:r>
    </w:p>
  </w:endnote>
  <w:endnote w:type="continuationSeparator" w:id="0">
    <w:p w14:paraId="404B4609" w14:textId="77777777" w:rsidR="00992962" w:rsidRDefault="00992962" w:rsidP="00AA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Sylfae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6471040"/>
      <w:docPartObj>
        <w:docPartGallery w:val="Page Numbers (Bottom of Page)"/>
        <w:docPartUnique/>
      </w:docPartObj>
    </w:sdtPr>
    <w:sdtEndPr/>
    <w:sdtContent>
      <w:p w14:paraId="57E9AB0E" w14:textId="7BBF1F9F" w:rsidR="000A3C80" w:rsidRDefault="000A3C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9CC0A4" w14:textId="77777777" w:rsidR="000A3C80" w:rsidRDefault="000A3C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B9F87" w14:textId="77777777" w:rsidR="00992962" w:rsidRDefault="00992962" w:rsidP="00AA1832">
      <w:pPr>
        <w:spacing w:after="0" w:line="240" w:lineRule="auto"/>
      </w:pPr>
      <w:r>
        <w:separator/>
      </w:r>
    </w:p>
  </w:footnote>
  <w:footnote w:type="continuationSeparator" w:id="0">
    <w:p w14:paraId="2C671CAE" w14:textId="77777777" w:rsidR="00992962" w:rsidRDefault="00992962" w:rsidP="00AA1832">
      <w:pPr>
        <w:spacing w:after="0" w:line="240" w:lineRule="auto"/>
      </w:pPr>
      <w:r>
        <w:continuationSeparator/>
      </w:r>
    </w:p>
  </w:footnote>
  <w:footnote w:id="1">
    <w:p w14:paraId="07BB82EB" w14:textId="77777777" w:rsidR="003F7A27" w:rsidRPr="00C80E9D" w:rsidRDefault="003F7A27" w:rsidP="003F7A27">
      <w:pPr>
        <w:pStyle w:val="FootnoteText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</w:rPr>
        <w:t xml:space="preserve"> Prioritní</w:t>
      </w:r>
      <w:r>
        <w:rPr>
          <w:rStyle w:val="cf01"/>
          <w:rFonts w:ascii="Verdana" w:hAnsi="Verdana"/>
          <w:sz w:val="16"/>
        </w:rPr>
        <w:t xml:space="preserve"> oblast ukazuje, kde mohou být lidé v budově bez dalších opatření nedostatečně chráněni před následky havárií s nebezpečnými látkami.</w:t>
      </w:r>
    </w:p>
  </w:footnote>
  <w:footnote w:id="2">
    <w:p w14:paraId="3F9A218D" w14:textId="77777777" w:rsidR="003F7A27" w:rsidRPr="00074AF3" w:rsidRDefault="003F7A27" w:rsidP="003F7A27">
      <w:pPr>
        <w:pStyle w:val="FootnoteText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</w:rPr>
        <w:t xml:space="preserve"> Poradenský a znalostní institut specializující se na otázky vnější bezpečnosti.</w:t>
      </w:r>
    </w:p>
  </w:footnote>
  <w:footnote w:id="3">
    <w:p w14:paraId="1705F032" w14:textId="77777777" w:rsidR="003F7A27" w:rsidRPr="00934AEE" w:rsidRDefault="003F7A27" w:rsidP="003F7A27">
      <w:pPr>
        <w:pStyle w:val="FootnoteText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</w:rPr>
        <w:t xml:space="preserve"> AVIV č. 235557, červenec 2024.</w:t>
      </w:r>
    </w:p>
  </w:footnote>
  <w:footnote w:id="4">
    <w:p w14:paraId="59DC7D10" w14:textId="77777777" w:rsidR="003F7A27" w:rsidRPr="00934AEE" w:rsidRDefault="003F7A27" w:rsidP="003F7A27">
      <w:pPr>
        <w:pStyle w:val="FootnoteText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</w:rPr>
        <w:t xml:space="preserve"> Dopis s ref. č. VLH-2024-0049 ze dne 24. července 2024.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051BA"/>
    <w:multiLevelType w:val="hybridMultilevel"/>
    <w:tmpl w:val="66961D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D75F5"/>
    <w:multiLevelType w:val="hybridMultilevel"/>
    <w:tmpl w:val="D79AEF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61135"/>
    <w:multiLevelType w:val="hybridMultilevel"/>
    <w:tmpl w:val="B686B32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242848">
    <w:abstractNumId w:val="1"/>
  </w:num>
  <w:num w:numId="2" w16cid:durableId="1667130085">
    <w:abstractNumId w:val="0"/>
  </w:num>
  <w:num w:numId="3" w16cid:durableId="1686444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A8"/>
    <w:rsid w:val="0000100C"/>
    <w:rsid w:val="000043B2"/>
    <w:rsid w:val="00007506"/>
    <w:rsid w:val="00015B64"/>
    <w:rsid w:val="00023F34"/>
    <w:rsid w:val="000633B3"/>
    <w:rsid w:val="00063AC8"/>
    <w:rsid w:val="0007021E"/>
    <w:rsid w:val="00070E5D"/>
    <w:rsid w:val="00074AF3"/>
    <w:rsid w:val="00081103"/>
    <w:rsid w:val="0009238C"/>
    <w:rsid w:val="000A375A"/>
    <w:rsid w:val="000A3C80"/>
    <w:rsid w:val="000A611A"/>
    <w:rsid w:val="000B6D7F"/>
    <w:rsid w:val="000C0189"/>
    <w:rsid w:val="000C35B4"/>
    <w:rsid w:val="000C3BAC"/>
    <w:rsid w:val="000D2F20"/>
    <w:rsid w:val="000D4B0F"/>
    <w:rsid w:val="000D7703"/>
    <w:rsid w:val="00100C1C"/>
    <w:rsid w:val="00111122"/>
    <w:rsid w:val="00111754"/>
    <w:rsid w:val="001120E0"/>
    <w:rsid w:val="00125A13"/>
    <w:rsid w:val="00134921"/>
    <w:rsid w:val="00143E05"/>
    <w:rsid w:val="001470EC"/>
    <w:rsid w:val="001500E3"/>
    <w:rsid w:val="00156683"/>
    <w:rsid w:val="00157BF6"/>
    <w:rsid w:val="00160EA4"/>
    <w:rsid w:val="00170857"/>
    <w:rsid w:val="00172D99"/>
    <w:rsid w:val="00174971"/>
    <w:rsid w:val="00176892"/>
    <w:rsid w:val="0018522D"/>
    <w:rsid w:val="001941DB"/>
    <w:rsid w:val="001A438F"/>
    <w:rsid w:val="001A7DF8"/>
    <w:rsid w:val="001B3A60"/>
    <w:rsid w:val="001B7178"/>
    <w:rsid w:val="001B793F"/>
    <w:rsid w:val="001C0833"/>
    <w:rsid w:val="001C0ADF"/>
    <w:rsid w:val="001C2F6D"/>
    <w:rsid w:val="001D0B22"/>
    <w:rsid w:val="001D7E70"/>
    <w:rsid w:val="001E6A24"/>
    <w:rsid w:val="001E7869"/>
    <w:rsid w:val="001F27E0"/>
    <w:rsid w:val="001F3CCB"/>
    <w:rsid w:val="001F7A04"/>
    <w:rsid w:val="00200C52"/>
    <w:rsid w:val="002014F3"/>
    <w:rsid w:val="002026FE"/>
    <w:rsid w:val="00204F94"/>
    <w:rsid w:val="00212864"/>
    <w:rsid w:val="002134AA"/>
    <w:rsid w:val="00215003"/>
    <w:rsid w:val="00216A75"/>
    <w:rsid w:val="002205BC"/>
    <w:rsid w:val="00220FB4"/>
    <w:rsid w:val="0023206E"/>
    <w:rsid w:val="0023581E"/>
    <w:rsid w:val="002410FB"/>
    <w:rsid w:val="00241660"/>
    <w:rsid w:val="0024348E"/>
    <w:rsid w:val="00246385"/>
    <w:rsid w:val="002725F8"/>
    <w:rsid w:val="00294ED6"/>
    <w:rsid w:val="002951BF"/>
    <w:rsid w:val="002A3511"/>
    <w:rsid w:val="002A48C1"/>
    <w:rsid w:val="002A7557"/>
    <w:rsid w:val="002B53E1"/>
    <w:rsid w:val="002C1041"/>
    <w:rsid w:val="002C41D2"/>
    <w:rsid w:val="002C41F8"/>
    <w:rsid w:val="002C604A"/>
    <w:rsid w:val="002D218D"/>
    <w:rsid w:val="002D2D37"/>
    <w:rsid w:val="002D4AB9"/>
    <w:rsid w:val="002D4EED"/>
    <w:rsid w:val="002F194C"/>
    <w:rsid w:val="003034F4"/>
    <w:rsid w:val="00306C45"/>
    <w:rsid w:val="00307F65"/>
    <w:rsid w:val="00312D9C"/>
    <w:rsid w:val="00313FDF"/>
    <w:rsid w:val="00326563"/>
    <w:rsid w:val="0034040E"/>
    <w:rsid w:val="00345625"/>
    <w:rsid w:val="00347172"/>
    <w:rsid w:val="00351CAD"/>
    <w:rsid w:val="003534C4"/>
    <w:rsid w:val="0035485C"/>
    <w:rsid w:val="00354D23"/>
    <w:rsid w:val="00355061"/>
    <w:rsid w:val="00357A69"/>
    <w:rsid w:val="00364257"/>
    <w:rsid w:val="00372ED7"/>
    <w:rsid w:val="00383A69"/>
    <w:rsid w:val="003875A0"/>
    <w:rsid w:val="0039580D"/>
    <w:rsid w:val="003A4F84"/>
    <w:rsid w:val="003B3A45"/>
    <w:rsid w:val="003D3E94"/>
    <w:rsid w:val="003F57B2"/>
    <w:rsid w:val="003F7A27"/>
    <w:rsid w:val="00417DAF"/>
    <w:rsid w:val="00421EB2"/>
    <w:rsid w:val="00425746"/>
    <w:rsid w:val="00433D4B"/>
    <w:rsid w:val="00435ED4"/>
    <w:rsid w:val="0044343A"/>
    <w:rsid w:val="00444009"/>
    <w:rsid w:val="00454626"/>
    <w:rsid w:val="0045745D"/>
    <w:rsid w:val="004637E7"/>
    <w:rsid w:val="00463E26"/>
    <w:rsid w:val="00464AC8"/>
    <w:rsid w:val="0047007B"/>
    <w:rsid w:val="004713A2"/>
    <w:rsid w:val="0047242E"/>
    <w:rsid w:val="004B088B"/>
    <w:rsid w:val="004C16EE"/>
    <w:rsid w:val="004C3518"/>
    <w:rsid w:val="004C64D0"/>
    <w:rsid w:val="004D1DAD"/>
    <w:rsid w:val="004D6D30"/>
    <w:rsid w:val="004E4D40"/>
    <w:rsid w:val="004F448B"/>
    <w:rsid w:val="00506754"/>
    <w:rsid w:val="00510D37"/>
    <w:rsid w:val="00516BC4"/>
    <w:rsid w:val="00517A9E"/>
    <w:rsid w:val="0052621C"/>
    <w:rsid w:val="00530410"/>
    <w:rsid w:val="00533A64"/>
    <w:rsid w:val="005372FB"/>
    <w:rsid w:val="005438C5"/>
    <w:rsid w:val="00543951"/>
    <w:rsid w:val="00561D00"/>
    <w:rsid w:val="005668B9"/>
    <w:rsid w:val="005A7F0B"/>
    <w:rsid w:val="005B0DB2"/>
    <w:rsid w:val="005B35DC"/>
    <w:rsid w:val="005B3847"/>
    <w:rsid w:val="005B39A1"/>
    <w:rsid w:val="005B7D72"/>
    <w:rsid w:val="005B7EE0"/>
    <w:rsid w:val="005C05A8"/>
    <w:rsid w:val="005D2800"/>
    <w:rsid w:val="005D60CC"/>
    <w:rsid w:val="005F0A20"/>
    <w:rsid w:val="00613144"/>
    <w:rsid w:val="006154AD"/>
    <w:rsid w:val="006156E7"/>
    <w:rsid w:val="006221DD"/>
    <w:rsid w:val="00623AE9"/>
    <w:rsid w:val="00641DED"/>
    <w:rsid w:val="00661660"/>
    <w:rsid w:val="00664E97"/>
    <w:rsid w:val="00674D13"/>
    <w:rsid w:val="00684301"/>
    <w:rsid w:val="006A10FD"/>
    <w:rsid w:val="006A127D"/>
    <w:rsid w:val="006A2289"/>
    <w:rsid w:val="006A6025"/>
    <w:rsid w:val="006C27C5"/>
    <w:rsid w:val="006C4DDF"/>
    <w:rsid w:val="006F0C63"/>
    <w:rsid w:val="006F1869"/>
    <w:rsid w:val="00711CB5"/>
    <w:rsid w:val="00743CBF"/>
    <w:rsid w:val="007517FC"/>
    <w:rsid w:val="0075226B"/>
    <w:rsid w:val="007574D6"/>
    <w:rsid w:val="00763BD4"/>
    <w:rsid w:val="007643D9"/>
    <w:rsid w:val="00785263"/>
    <w:rsid w:val="007A6CDB"/>
    <w:rsid w:val="007A71B2"/>
    <w:rsid w:val="007B152A"/>
    <w:rsid w:val="007B4757"/>
    <w:rsid w:val="007B6681"/>
    <w:rsid w:val="007C4DF1"/>
    <w:rsid w:val="007C7A24"/>
    <w:rsid w:val="007E0971"/>
    <w:rsid w:val="007E1764"/>
    <w:rsid w:val="00807937"/>
    <w:rsid w:val="00814E28"/>
    <w:rsid w:val="00837E2A"/>
    <w:rsid w:val="0084650C"/>
    <w:rsid w:val="008478CC"/>
    <w:rsid w:val="00855214"/>
    <w:rsid w:val="00861872"/>
    <w:rsid w:val="00873FD4"/>
    <w:rsid w:val="00891BC6"/>
    <w:rsid w:val="00893BA6"/>
    <w:rsid w:val="0089503B"/>
    <w:rsid w:val="00895ECD"/>
    <w:rsid w:val="00896C26"/>
    <w:rsid w:val="008B4961"/>
    <w:rsid w:val="008B5A47"/>
    <w:rsid w:val="008B7D32"/>
    <w:rsid w:val="008C2027"/>
    <w:rsid w:val="008D3D87"/>
    <w:rsid w:val="008E191B"/>
    <w:rsid w:val="008E3722"/>
    <w:rsid w:val="008F1375"/>
    <w:rsid w:val="00913461"/>
    <w:rsid w:val="00926E6B"/>
    <w:rsid w:val="0092760B"/>
    <w:rsid w:val="00942B41"/>
    <w:rsid w:val="00953D2C"/>
    <w:rsid w:val="009602A8"/>
    <w:rsid w:val="009640D4"/>
    <w:rsid w:val="00974AEF"/>
    <w:rsid w:val="00976016"/>
    <w:rsid w:val="00976208"/>
    <w:rsid w:val="009913A4"/>
    <w:rsid w:val="00992962"/>
    <w:rsid w:val="009953BF"/>
    <w:rsid w:val="009A2DE6"/>
    <w:rsid w:val="009A438D"/>
    <w:rsid w:val="009A4DFB"/>
    <w:rsid w:val="009A50D5"/>
    <w:rsid w:val="009A6B27"/>
    <w:rsid w:val="009C188A"/>
    <w:rsid w:val="009C4EF4"/>
    <w:rsid w:val="009C5675"/>
    <w:rsid w:val="009C606D"/>
    <w:rsid w:val="009E38DF"/>
    <w:rsid w:val="009E7E2D"/>
    <w:rsid w:val="009F078D"/>
    <w:rsid w:val="00A0630B"/>
    <w:rsid w:val="00A1355A"/>
    <w:rsid w:val="00A135DB"/>
    <w:rsid w:val="00A22871"/>
    <w:rsid w:val="00A567F9"/>
    <w:rsid w:val="00A6058A"/>
    <w:rsid w:val="00A627EA"/>
    <w:rsid w:val="00A65CC9"/>
    <w:rsid w:val="00A71496"/>
    <w:rsid w:val="00A72F3F"/>
    <w:rsid w:val="00A95E80"/>
    <w:rsid w:val="00AA1832"/>
    <w:rsid w:val="00AA266B"/>
    <w:rsid w:val="00AA55BD"/>
    <w:rsid w:val="00AA663F"/>
    <w:rsid w:val="00AB3561"/>
    <w:rsid w:val="00AC30B3"/>
    <w:rsid w:val="00AC5743"/>
    <w:rsid w:val="00AD451A"/>
    <w:rsid w:val="00AD694E"/>
    <w:rsid w:val="00AD6C4D"/>
    <w:rsid w:val="00AF06E7"/>
    <w:rsid w:val="00B0198C"/>
    <w:rsid w:val="00B03264"/>
    <w:rsid w:val="00B04D31"/>
    <w:rsid w:val="00B04FF5"/>
    <w:rsid w:val="00B06701"/>
    <w:rsid w:val="00B13A8E"/>
    <w:rsid w:val="00B16A20"/>
    <w:rsid w:val="00B26039"/>
    <w:rsid w:val="00B26F50"/>
    <w:rsid w:val="00B34991"/>
    <w:rsid w:val="00B4175F"/>
    <w:rsid w:val="00B42E38"/>
    <w:rsid w:val="00B57277"/>
    <w:rsid w:val="00B63DF9"/>
    <w:rsid w:val="00B65A48"/>
    <w:rsid w:val="00B67D49"/>
    <w:rsid w:val="00B755E0"/>
    <w:rsid w:val="00B91D75"/>
    <w:rsid w:val="00B95BAB"/>
    <w:rsid w:val="00BA11C5"/>
    <w:rsid w:val="00BA411C"/>
    <w:rsid w:val="00BB44C3"/>
    <w:rsid w:val="00BC1CC4"/>
    <w:rsid w:val="00BD6DF4"/>
    <w:rsid w:val="00BE1FA1"/>
    <w:rsid w:val="00BE35E8"/>
    <w:rsid w:val="00BF1967"/>
    <w:rsid w:val="00BF5172"/>
    <w:rsid w:val="00C0209E"/>
    <w:rsid w:val="00C16168"/>
    <w:rsid w:val="00C16D89"/>
    <w:rsid w:val="00C27764"/>
    <w:rsid w:val="00C32131"/>
    <w:rsid w:val="00C329C5"/>
    <w:rsid w:val="00C349BA"/>
    <w:rsid w:val="00C3581C"/>
    <w:rsid w:val="00C378AE"/>
    <w:rsid w:val="00C37C73"/>
    <w:rsid w:val="00C42E48"/>
    <w:rsid w:val="00C43D4D"/>
    <w:rsid w:val="00C46804"/>
    <w:rsid w:val="00C5686E"/>
    <w:rsid w:val="00C6082F"/>
    <w:rsid w:val="00C6230F"/>
    <w:rsid w:val="00C62766"/>
    <w:rsid w:val="00C77180"/>
    <w:rsid w:val="00C77D0E"/>
    <w:rsid w:val="00C80E9D"/>
    <w:rsid w:val="00C831FA"/>
    <w:rsid w:val="00C834F7"/>
    <w:rsid w:val="00CA57CA"/>
    <w:rsid w:val="00CA76D3"/>
    <w:rsid w:val="00CA792A"/>
    <w:rsid w:val="00CD11C9"/>
    <w:rsid w:val="00CE2286"/>
    <w:rsid w:val="00CF4587"/>
    <w:rsid w:val="00D10B17"/>
    <w:rsid w:val="00D12A4F"/>
    <w:rsid w:val="00D20BBA"/>
    <w:rsid w:val="00D26D82"/>
    <w:rsid w:val="00D32C0E"/>
    <w:rsid w:val="00D42455"/>
    <w:rsid w:val="00D455DC"/>
    <w:rsid w:val="00D4667D"/>
    <w:rsid w:val="00D530D4"/>
    <w:rsid w:val="00D6296A"/>
    <w:rsid w:val="00D66FE3"/>
    <w:rsid w:val="00D709BE"/>
    <w:rsid w:val="00D85555"/>
    <w:rsid w:val="00D97F43"/>
    <w:rsid w:val="00DA30CC"/>
    <w:rsid w:val="00DA5550"/>
    <w:rsid w:val="00DB474D"/>
    <w:rsid w:val="00DC1024"/>
    <w:rsid w:val="00DD3D4B"/>
    <w:rsid w:val="00DE09C8"/>
    <w:rsid w:val="00DF6C6C"/>
    <w:rsid w:val="00E0338D"/>
    <w:rsid w:val="00E17EC1"/>
    <w:rsid w:val="00E306EA"/>
    <w:rsid w:val="00E30D01"/>
    <w:rsid w:val="00E42ABA"/>
    <w:rsid w:val="00E4303F"/>
    <w:rsid w:val="00E46605"/>
    <w:rsid w:val="00E52266"/>
    <w:rsid w:val="00E61155"/>
    <w:rsid w:val="00E74AEA"/>
    <w:rsid w:val="00E7795C"/>
    <w:rsid w:val="00E80937"/>
    <w:rsid w:val="00E90CA4"/>
    <w:rsid w:val="00E9266B"/>
    <w:rsid w:val="00E9341D"/>
    <w:rsid w:val="00E952FC"/>
    <w:rsid w:val="00E957C5"/>
    <w:rsid w:val="00EA1BAC"/>
    <w:rsid w:val="00EB7655"/>
    <w:rsid w:val="00EC0C1D"/>
    <w:rsid w:val="00EC17F1"/>
    <w:rsid w:val="00EC681E"/>
    <w:rsid w:val="00ED1604"/>
    <w:rsid w:val="00ED2835"/>
    <w:rsid w:val="00ED415E"/>
    <w:rsid w:val="00EE73A7"/>
    <w:rsid w:val="00EF68FD"/>
    <w:rsid w:val="00F024AD"/>
    <w:rsid w:val="00F02EB3"/>
    <w:rsid w:val="00F03A45"/>
    <w:rsid w:val="00F11D94"/>
    <w:rsid w:val="00F14C04"/>
    <w:rsid w:val="00F1539C"/>
    <w:rsid w:val="00F235A7"/>
    <w:rsid w:val="00F27F7F"/>
    <w:rsid w:val="00F37063"/>
    <w:rsid w:val="00F42ED5"/>
    <w:rsid w:val="00F45DF8"/>
    <w:rsid w:val="00F47EF1"/>
    <w:rsid w:val="00F512BA"/>
    <w:rsid w:val="00F53951"/>
    <w:rsid w:val="00F614F9"/>
    <w:rsid w:val="00F629E9"/>
    <w:rsid w:val="00F748AE"/>
    <w:rsid w:val="00F75806"/>
    <w:rsid w:val="00F8722C"/>
    <w:rsid w:val="00F87BF8"/>
    <w:rsid w:val="00F927F4"/>
    <w:rsid w:val="00FA7577"/>
    <w:rsid w:val="00FB45E6"/>
    <w:rsid w:val="00FC4893"/>
    <w:rsid w:val="00FD00D9"/>
    <w:rsid w:val="00FD2918"/>
    <w:rsid w:val="00FD2ECA"/>
    <w:rsid w:val="00FD6C20"/>
    <w:rsid w:val="00FE6BCC"/>
    <w:rsid w:val="00FE6C70"/>
    <w:rsid w:val="00FE6DF9"/>
    <w:rsid w:val="00FF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6C2F"/>
  <w15:chartTrackingRefBased/>
  <w15:docId w15:val="{423C6DF0-5536-45B8-8D6D-2BE6D318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18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34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34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34AA"/>
    <w:rPr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4AA"/>
    <w:rPr>
      <w:b/>
      <w:bCs/>
      <w:sz w:val="20"/>
      <w:szCs w:val="20"/>
      <w:lang w:val="cs-CZ"/>
    </w:rPr>
  </w:style>
  <w:style w:type="paragraph" w:styleId="Revision">
    <w:name w:val="Revision"/>
    <w:hidden/>
    <w:uiPriority w:val="99"/>
    <w:semiHidden/>
    <w:rsid w:val="00463E26"/>
    <w:pPr>
      <w:spacing w:after="0" w:line="240" w:lineRule="auto"/>
    </w:pPr>
  </w:style>
  <w:style w:type="paragraph" w:customStyle="1" w:styleId="Default">
    <w:name w:val="Default"/>
    <w:rsid w:val="00561D00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61D0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A18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1832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AA1832"/>
    <w:rPr>
      <w:vertAlign w:val="superscript"/>
    </w:rPr>
  </w:style>
  <w:style w:type="character" w:customStyle="1" w:styleId="cf01">
    <w:name w:val="cf01"/>
    <w:basedOn w:val="DefaultParagraphFont"/>
    <w:rsid w:val="00AA1832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3D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D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3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C80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0A3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C80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5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2DA29-BFB0-4CA6-A7D3-4A05E736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2858</Words>
  <Characters>16291</Characters>
  <Application>Microsoft Office Word</Application>
  <DocSecurity>0</DocSecurity>
  <Lines>135</Lines>
  <Paragraphs>38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Zwieten, R.B.J. van (Rolf) - DGMI</dc:creator>
  <cp:keywords/>
  <dc:description/>
  <cp:lastModifiedBy>L. B.</cp:lastModifiedBy>
  <cp:revision>3</cp:revision>
  <dcterms:created xsi:type="dcterms:W3CDTF">2024-08-21T09:15:00Z</dcterms:created>
  <dcterms:modified xsi:type="dcterms:W3CDTF">2024-09-06T12:34:00Z</dcterms:modified>
</cp:coreProperties>
</file>