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40650" w:rsidRPr="002F2C6C" w14:paraId="7F4BB8A5" w14:textId="77777777" w:rsidTr="00C854E8">
        <w:trPr>
          <w:trHeight w:val="2353"/>
        </w:trPr>
        <w:tc>
          <w:tcPr>
            <w:tcW w:w="5670" w:type="dxa"/>
          </w:tcPr>
          <w:p w14:paraId="3436D028" w14:textId="4BDA8A5C" w:rsidR="00482049" w:rsidRPr="002F2C6C" w:rsidRDefault="0071461A" w:rsidP="00482049">
            <w:r w:rsidRPr="00D161A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FFCF7FC" wp14:editId="10A196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809625" cy="737235"/>
                  <wp:effectExtent l="0" t="0" r="952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186A7F" w14:textId="77777777" w:rsidR="003710C5" w:rsidRPr="002F2C6C" w:rsidRDefault="003710C5" w:rsidP="00482049">
            <w:pPr>
              <w:rPr>
                <w:b/>
              </w:rPr>
            </w:pPr>
          </w:p>
          <w:p w14:paraId="2651F8D6" w14:textId="2D9EA5AE" w:rsidR="00482049" w:rsidRPr="0071461A" w:rsidRDefault="00482049" w:rsidP="0071461A">
            <w:pPr>
              <w:ind w:left="1418"/>
              <w:rPr>
                <w:b/>
                <w:bCs/>
              </w:rPr>
            </w:pPr>
            <w:r w:rsidRPr="0071461A">
              <w:rPr>
                <w:b/>
                <w:bCs/>
              </w:rPr>
              <w:t>REGIONINIŲ REIKALŲ IR ŽEMĖS ŪKIO</w:t>
            </w:r>
            <w:r w:rsidR="0071461A" w:rsidRPr="0071461A">
              <w:rPr>
                <w:b/>
                <w:bCs/>
              </w:rPr>
              <w:t xml:space="preserve"> </w:t>
            </w:r>
            <w:r w:rsidRPr="0071461A">
              <w:rPr>
                <w:b/>
                <w:bCs/>
              </w:rPr>
              <w:t>MINISTERIJA</w:t>
            </w:r>
          </w:p>
        </w:tc>
        <w:tc>
          <w:tcPr>
            <w:tcW w:w="3261" w:type="dxa"/>
          </w:tcPr>
          <w:p w14:paraId="02EDFE91" w14:textId="06655ECB" w:rsidR="00BC1A62" w:rsidRPr="002F2C6C" w:rsidRDefault="00C854E8" w:rsidP="0076054B">
            <w:pPr>
              <w:jc w:val="right"/>
            </w:pPr>
            <w:r w:rsidRPr="002F2C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6A141" wp14:editId="2CCE17DF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249555</wp:posOffset>
                      </wp:positionV>
                      <wp:extent cx="2110989" cy="396240"/>
                      <wp:effectExtent l="0" t="0" r="22860" b="22860"/>
                      <wp:wrapNone/>
                      <wp:docPr id="2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BF44B42" w14:textId="77777777" w:rsidR="00783081" w:rsidRPr="002F2C6C" w:rsidRDefault="00783081" w:rsidP="00DE2354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F2C6C">
                                    <w:rPr>
                                      <w:b/>
                                      <w:sz w:val="20"/>
                                    </w:rPr>
                                    <w:t>PROJEKTAS</w:t>
                                  </w:r>
                                </w:p>
                                <w:p w14:paraId="45F806DB" w14:textId="64B87EA2" w:rsidR="00783081" w:rsidRPr="002F2C6C" w:rsidRDefault="00DC7AA8" w:rsidP="00DE2354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F2C6C">
                                    <w:rPr>
                                      <w:sz w:val="20"/>
                                    </w:rPr>
                                    <w:t>2025-08-25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6A1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väli 2" o:spid="_x0000_s1026" type="#_x0000_t202" style="position:absolute;left:0;text-align:left;margin-left:40.85pt;margin-top:19.65pt;width:166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" fillcolor="window" strokecolor="window" strokeweight=".5pt">
                      <v:textbox inset="0">
                        <w:txbxContent>
                          <w:p w14:paraId="5BF44B42" w14:textId="77777777" w:rsidR="00783081" w:rsidRPr="002F2C6C" w:rsidRDefault="00783081" w:rsidP="00DE2354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F2C6C">
                              <w:rPr>
                                <w:b/>
                                <w:sz w:val="20"/>
                              </w:rPr>
                              <w:t>PROJEKTAS</w:t>
                            </w:r>
                          </w:p>
                          <w:p w14:paraId="45F806DB" w14:textId="64B87EA2" w:rsidR="00783081" w:rsidRPr="002F2C6C" w:rsidRDefault="00DC7AA8" w:rsidP="00DE235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F2C6C">
                              <w:rPr>
                                <w:sz w:val="20"/>
                              </w:rPr>
                              <w:t>2025-08-25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054B" w:rsidRPr="002F2C6C" w14:paraId="18088DF4" w14:textId="77777777" w:rsidTr="00C854E8">
        <w:trPr>
          <w:trHeight w:val="1531"/>
        </w:trPr>
        <w:tc>
          <w:tcPr>
            <w:tcW w:w="5670" w:type="dxa"/>
          </w:tcPr>
          <w:p w14:paraId="16F78616" w14:textId="77777777" w:rsidR="0076054B" w:rsidRPr="002F2C6C" w:rsidRDefault="00B358EA" w:rsidP="00110BCA">
            <w:pPr>
              <w:pStyle w:val="Liik"/>
            </w:pPr>
            <w:r w:rsidRPr="002F2C6C">
              <w:t>Reglamentas</w:t>
            </w:r>
          </w:p>
          <w:p w14:paraId="30DFB304" w14:textId="77777777" w:rsidR="0076054B" w:rsidRPr="002F2C6C" w:rsidRDefault="0076054B" w:rsidP="0076054B"/>
          <w:p w14:paraId="10E35CB3" w14:textId="77777777" w:rsidR="0076054B" w:rsidRPr="002F2C6C" w:rsidRDefault="0076054B" w:rsidP="0076054B"/>
        </w:tc>
        <w:tc>
          <w:tcPr>
            <w:tcW w:w="3261" w:type="dxa"/>
          </w:tcPr>
          <w:p w14:paraId="7D67F400" w14:textId="57DFD9EB" w:rsidR="0076054B" w:rsidRPr="002F2C6C" w:rsidRDefault="00966B11" w:rsidP="00C17731">
            <w:pPr>
              <w:pStyle w:val="Kuupev1"/>
              <w:rPr>
                <w:iCs/>
              </w:rPr>
            </w:pPr>
            <w:r w:rsidRPr="002F2C6C">
              <w:t xml:space="preserve">Nr. ...., </w:t>
            </w:r>
            <w:proofErr w:type="spellStart"/>
            <w:r w:rsidRPr="002F2C6C">
              <w:t>xx.xx</w:t>
            </w:r>
            <w:proofErr w:type="spellEnd"/>
            <w:r w:rsidRPr="002F2C6C">
              <w:t xml:space="preserve"> d.</w:t>
            </w:r>
          </w:p>
        </w:tc>
      </w:tr>
      <w:tr w:rsidR="00566D45" w:rsidRPr="002F2C6C" w14:paraId="5E80D82D" w14:textId="77777777" w:rsidTr="00C854E8">
        <w:trPr>
          <w:trHeight w:val="624"/>
        </w:trPr>
        <w:tc>
          <w:tcPr>
            <w:tcW w:w="5670" w:type="dxa"/>
          </w:tcPr>
          <w:p w14:paraId="1B3A7720" w14:textId="43FF88D8" w:rsidR="00566D45" w:rsidRPr="002F2C6C" w:rsidRDefault="00A479D8" w:rsidP="00D20FBB">
            <w:pPr>
              <w:pStyle w:val="Pealkiri1"/>
            </w:pPr>
            <w:r w:rsidRPr="002F2C6C">
              <w:t>2014 m. lapkričio 6 d. Žemės ūkio ministro reglamento Nr. 95 dėl džemo, želė, marmelado ir saldintos kaštonų tyrės sudėties bei kokybės reikalavimų ir informacijos apie maistą teikimo reikalavimų pakeitimas</w:t>
            </w:r>
          </w:p>
        </w:tc>
        <w:tc>
          <w:tcPr>
            <w:tcW w:w="3261" w:type="dxa"/>
          </w:tcPr>
          <w:p w14:paraId="2CF8C3EB" w14:textId="766E7B77" w:rsidR="00566D45" w:rsidRPr="002F2C6C" w:rsidRDefault="004807B6" w:rsidP="00566D45">
            <w:r w:rsidRPr="002F2C6C">
              <w:t> </w:t>
            </w:r>
          </w:p>
        </w:tc>
      </w:tr>
    </w:tbl>
    <w:p w14:paraId="0FF20CF8" w14:textId="3E7ECA5D" w:rsidR="00B358EA" w:rsidRPr="002F2C6C" w:rsidRDefault="00B358EA" w:rsidP="0066662F">
      <w:pPr>
        <w:pStyle w:val="Tekst"/>
        <w:rPr>
          <w:i/>
        </w:rPr>
      </w:pPr>
      <w:r w:rsidRPr="002F2C6C">
        <w:t>Šis reglamentas priimamas remiantis Maisto įstatymo 12 straipsnio 4 dalimi ir 38 straipsnio 4 dalimi.</w:t>
      </w:r>
    </w:p>
    <w:p w14:paraId="4C058E64" w14:textId="462FF754" w:rsidR="00C854E8" w:rsidRPr="002F2C6C" w:rsidRDefault="00B358EA" w:rsidP="0066662F">
      <w:pPr>
        <w:pStyle w:val="Tekst"/>
        <w:rPr>
          <w:b/>
          <w:bCs/>
          <w:i/>
        </w:rPr>
      </w:pPr>
      <w:r w:rsidRPr="002F2C6C">
        <w:rPr>
          <w:b/>
        </w:rPr>
        <w:t>1 straipsnis. 2014 m. lapkričio 6 d. Žemės ūkio ministro reglamento Nr. 95 dėl džemo, želė, marmelado ir saldintos kaštonų tyrės sudėties bei kokybės reikalavimų ir informacijos apie maistą teikimo reikalavimų pakeitimas</w:t>
      </w:r>
    </w:p>
    <w:p w14:paraId="6411564A" w14:textId="50841D96" w:rsidR="00DB68D3" w:rsidRPr="002F2C6C" w:rsidRDefault="00C854E8" w:rsidP="0066662F">
      <w:pPr>
        <w:pStyle w:val="Tekst"/>
        <w:rPr>
          <w:i/>
        </w:rPr>
      </w:pPr>
      <w:r w:rsidRPr="002F2C6C">
        <w:t xml:space="preserve">2014 m. lapkričio 6 d. Žemės ūkio ministro reglamentas Nr. 95 dėl džemo, želė, marmelado ir saldintos </w:t>
      </w:r>
      <w:proofErr w:type="spellStart"/>
      <w:r w:rsidRPr="002F2C6C">
        <w:t>kaštainių</w:t>
      </w:r>
      <w:proofErr w:type="spellEnd"/>
      <w:r w:rsidRPr="002F2C6C">
        <w:t xml:space="preserve"> tyrės sudėties ir kokybės reikalavimų ir informacijos apie maistą teikimo reikalavimų iš dalies keičiamas taip:</w:t>
      </w:r>
    </w:p>
    <w:p w14:paraId="67F094F6" w14:textId="6C3DBD76" w:rsidR="00F40486" w:rsidRPr="002F2C6C" w:rsidRDefault="00560781" w:rsidP="008C74D6">
      <w:pPr>
        <w:pStyle w:val="Tekst"/>
      </w:pPr>
      <w:r w:rsidRPr="002F2C6C">
        <w:rPr>
          <w:b/>
        </w:rPr>
        <w:t>1)</w:t>
      </w:r>
      <w:r w:rsidRPr="002F2C6C">
        <w:t xml:space="preserve"> 2 straipsnio 1 dalies 5 punkte po žodžių „cukraus produktai“ įterpiami žodžiai „(toliau – </w:t>
      </w:r>
      <w:r w:rsidRPr="002F2C6C">
        <w:rPr>
          <w:i/>
        </w:rPr>
        <w:t>cukrus</w:t>
      </w:r>
      <w:r w:rsidRPr="002F2C6C">
        <w:t>)“;</w:t>
      </w:r>
    </w:p>
    <w:p w14:paraId="3E365220" w14:textId="041F7576" w:rsidR="0011525A" w:rsidRPr="002F2C6C" w:rsidRDefault="00C576CE" w:rsidP="0066662F">
      <w:pPr>
        <w:pStyle w:val="Tekst"/>
      </w:pPr>
      <w:r w:rsidRPr="002F2C6C">
        <w:rPr>
          <w:b/>
        </w:rPr>
        <w:t>2)</w:t>
      </w:r>
      <w:r w:rsidRPr="002F2C6C">
        <w:t xml:space="preserve"> 2 straipsnio 2 dalies 4 punktas ir 3 dalis panaikinamos;</w:t>
      </w:r>
    </w:p>
    <w:p w14:paraId="1D75F5CD" w14:textId="58B6045E" w:rsidR="003F68D9" w:rsidRPr="002F2C6C" w:rsidRDefault="00D7764F" w:rsidP="0066662F">
      <w:pPr>
        <w:pStyle w:val="Tekst"/>
        <w:rPr>
          <w:i/>
        </w:rPr>
      </w:pPr>
      <w:r w:rsidRPr="002F2C6C">
        <w:rPr>
          <w:b/>
        </w:rPr>
        <w:t>3)</w:t>
      </w:r>
      <w:r w:rsidRPr="002F2C6C">
        <w:t xml:space="preserve"> 2 straipsnio 6 dalies antrame sakinyje po žodžio „saldikliui“ įterpiami žodžiai „ir produktams, atitinkantiems mažesnio cukraus kiekio reikalavimus, nustatytus Europos Parlamento ir Tarybos reglamente (EB) Nr. 1924/2006 dėl teiginių apie maisto produktų maistingumą ir sveikatingumą (OL L 404, 2006 12 30, p. 9–25)“;</w:t>
      </w:r>
    </w:p>
    <w:p w14:paraId="42A59175" w14:textId="2F6C3A6B" w:rsidR="00B358EA" w:rsidRPr="002F2C6C" w:rsidRDefault="00D7764F" w:rsidP="0066662F">
      <w:pPr>
        <w:pStyle w:val="Tekst"/>
        <w:rPr>
          <w:i/>
        </w:rPr>
      </w:pPr>
      <w:r w:rsidRPr="002F2C6C">
        <w:rPr>
          <w:b/>
        </w:rPr>
        <w:t>4)</w:t>
      </w:r>
      <w:r w:rsidRPr="002F2C6C">
        <w:t xml:space="preserve"> 3 straipsnio 2 dalis išdėstoma taip:</w:t>
      </w:r>
    </w:p>
    <w:p w14:paraId="37024B59" w14:textId="29CB290E" w:rsidR="0038240F" w:rsidRPr="002F2C6C" w:rsidRDefault="00D10CC4" w:rsidP="00D10CC4">
      <w:pPr>
        <w:spacing w:before="240" w:line="240" w:lineRule="auto"/>
      </w:pPr>
      <w:r w:rsidRPr="002F2C6C">
        <w:t xml:space="preserve">„2. 1000 gramų džemo pagaminti sunaudojama ne mažiau kaip 450 gramų minkštimo, tyrės ar jų mišinio. Juodųjų serbentų, erškėtuogių, </w:t>
      </w:r>
      <w:proofErr w:type="spellStart"/>
      <w:r w:rsidRPr="002F2C6C">
        <w:t>cidonijų</w:t>
      </w:r>
      <w:proofErr w:type="spellEnd"/>
      <w:r w:rsidRPr="002F2C6C">
        <w:t xml:space="preserve">, raudonųjų serbentų, šermukšnio uogų ir šaltalankio atveju tam kiekiui džemo pagaminti turi būti sunaudota ne mažiau kaip 350 gramų, imbiero atveju – ne mažiau kaip 180 gramų, </w:t>
      </w:r>
      <w:proofErr w:type="spellStart"/>
      <w:r w:rsidRPr="002F2C6C">
        <w:t>anakardžių</w:t>
      </w:r>
      <w:proofErr w:type="spellEnd"/>
      <w:r w:rsidRPr="002F2C6C">
        <w:t xml:space="preserve"> vaiskočių atveju – ne mažiau kaip 230 gramų, o pasiflorų atveju – ne mažiau kaip 80 gramų minkštimo, tyrės arba jų mišinio“;</w:t>
      </w:r>
    </w:p>
    <w:p w14:paraId="28EF6153" w14:textId="6BDD734C" w:rsidR="0038240F" w:rsidRPr="002F2C6C" w:rsidRDefault="00D7764F" w:rsidP="0066662F">
      <w:pPr>
        <w:pStyle w:val="Tekst"/>
        <w:rPr>
          <w:i/>
        </w:rPr>
      </w:pPr>
      <w:r w:rsidRPr="002F2C6C">
        <w:rPr>
          <w:b/>
        </w:rPr>
        <w:t>5)</w:t>
      </w:r>
      <w:r w:rsidRPr="002F2C6C">
        <w:t xml:space="preserve"> 3 straipsnio 3 dalies 2–5 punktai išdėstomi taip:</w:t>
      </w:r>
    </w:p>
    <w:p w14:paraId="4D915502" w14:textId="6682F085" w:rsidR="0038240F" w:rsidRPr="002F2C6C" w:rsidRDefault="0038240F" w:rsidP="00783867">
      <w:pPr>
        <w:spacing w:before="240" w:line="240" w:lineRule="auto"/>
        <w:contextualSpacing/>
      </w:pPr>
      <w:r w:rsidRPr="002F2C6C">
        <w:lastRenderedPageBreak/>
        <w:t xml:space="preserve">„2) </w:t>
      </w:r>
      <w:r w:rsidRPr="002F2C6C">
        <w:rPr>
          <w:color w:val="000000"/>
        </w:rPr>
        <w:t>koncentruotos arba nekoncentruotos vaisių sultys</w:t>
      </w:r>
      <w:r w:rsidRPr="002F2C6C">
        <w:t>;</w:t>
      </w:r>
    </w:p>
    <w:p w14:paraId="60D1AF99" w14:textId="48520CB0" w:rsidR="0038240F" w:rsidRPr="002F2C6C" w:rsidRDefault="0038240F" w:rsidP="00783867">
      <w:pPr>
        <w:spacing w:before="240" w:line="240" w:lineRule="auto"/>
        <w:contextualSpacing/>
      </w:pPr>
      <w:r w:rsidRPr="002F2C6C">
        <w:t>3) koncentruotos arba nekoncentruotos citrusinių vaisių sultys, jei džemas nėra gaminamas iš citrusinių vaisių;</w:t>
      </w:r>
    </w:p>
    <w:p w14:paraId="38D576BD" w14:textId="369C1E66" w:rsidR="0038240F" w:rsidRPr="002F2C6C" w:rsidRDefault="0038240F" w:rsidP="00783867">
      <w:pPr>
        <w:spacing w:before="240" w:line="240" w:lineRule="auto"/>
        <w:contextualSpacing/>
      </w:pPr>
      <w:r w:rsidRPr="002F2C6C">
        <w:t>4) koncentruotos arba nekoncentruotos raudonųjų vaisių sultys, jei džemas gaminamas iš erškėtuogių, braškių, aviečių, agrastų, raudonųjų serbentų, slyvų arba rabarbarų;</w:t>
      </w:r>
    </w:p>
    <w:p w14:paraId="4CDF9680" w14:textId="179B4253" w:rsidR="0038240F" w:rsidRPr="002F2C6C" w:rsidRDefault="0038240F" w:rsidP="00783867">
      <w:pPr>
        <w:spacing w:before="240" w:line="240" w:lineRule="auto"/>
        <w:contextualSpacing/>
        <w:rPr>
          <w:i/>
          <w:iCs/>
        </w:rPr>
      </w:pPr>
      <w:r w:rsidRPr="002F2C6C">
        <w:t>5) koncentruotos arba nekoncentruotos raudonųjų burokėlių sultys, jei džemas gaminamas iš braškių, aviečių, agrastų, raudonųjų serbentų arba slyvų;“;</w:t>
      </w:r>
    </w:p>
    <w:p w14:paraId="047B9659" w14:textId="45E9EBCF" w:rsidR="00625CC2" w:rsidRPr="002F2C6C" w:rsidRDefault="00D7764F" w:rsidP="0066662F">
      <w:pPr>
        <w:pStyle w:val="Tekst"/>
        <w:rPr>
          <w:i/>
        </w:rPr>
      </w:pPr>
      <w:r w:rsidRPr="002F2C6C">
        <w:rPr>
          <w:b/>
        </w:rPr>
        <w:t>6)</w:t>
      </w:r>
      <w:r w:rsidRPr="002F2C6C">
        <w:t xml:space="preserve"> 3 straipsnio 4 dalyje žodžiai „Produktas, atitinkantis džemo sudėties ir kokybės reikalavimus ir kurio tirpios sausosios medžiagos kiekis, nustatytas </w:t>
      </w:r>
      <w:proofErr w:type="spellStart"/>
      <w:r w:rsidRPr="002F2C6C">
        <w:t>refraktometru</w:t>
      </w:r>
      <w:proofErr w:type="spellEnd"/>
      <w:r w:rsidRPr="002F2C6C">
        <w:t>, yra ne mažesnis kaip 40 proc., vadinamas „</w:t>
      </w:r>
      <w:proofErr w:type="spellStart"/>
      <w:r w:rsidRPr="002F2C6C">
        <w:t>moos</w:t>
      </w:r>
      <w:proofErr w:type="spellEnd"/>
      <w:r w:rsidRPr="002F2C6C">
        <w:t xml:space="preserve">“ pakeičiami žodžiais „Produktas, atitinkantis džemo sudėties ir kokybės reikalavimus ir kurio tirpios sausosios medžiagos kiekis, nustatytas </w:t>
      </w:r>
      <w:proofErr w:type="spellStart"/>
      <w:r w:rsidRPr="002F2C6C">
        <w:t>refraktometru</w:t>
      </w:r>
      <w:proofErr w:type="spellEnd"/>
      <w:r w:rsidRPr="002F2C6C">
        <w:t>, yra nuo 40 iki 59 proc., vadinamas „</w:t>
      </w:r>
      <w:proofErr w:type="spellStart"/>
      <w:r w:rsidRPr="002F2C6C">
        <w:t>moos</w:t>
      </w:r>
      <w:proofErr w:type="spellEnd"/>
      <w:r w:rsidRPr="002F2C6C">
        <w:t>“;</w:t>
      </w:r>
    </w:p>
    <w:p w14:paraId="2C0905AF" w14:textId="4D314C7F" w:rsidR="00D10CC4" w:rsidRPr="002F2C6C" w:rsidRDefault="00D7764F" w:rsidP="0066662F">
      <w:pPr>
        <w:pStyle w:val="Tekst"/>
        <w:rPr>
          <w:i/>
        </w:rPr>
      </w:pPr>
      <w:r w:rsidRPr="002F2C6C">
        <w:rPr>
          <w:b/>
        </w:rPr>
        <w:t>7)</w:t>
      </w:r>
      <w:r w:rsidRPr="002F2C6C">
        <w:t xml:space="preserve"> 4 straipsnio 3 dalis išdėstoma taip:</w:t>
      </w:r>
    </w:p>
    <w:p w14:paraId="4BD43656" w14:textId="62FC4601" w:rsidR="00D10CC4" w:rsidRPr="002F2C6C" w:rsidRDefault="003E052D" w:rsidP="00783867">
      <w:pPr>
        <w:spacing w:before="240" w:line="240" w:lineRule="auto"/>
      </w:pPr>
      <w:r w:rsidRPr="002F2C6C">
        <w:t xml:space="preserve">„3. 1000 gramų aukščiausios rūšies džemo pagaminti turi būti sunaudojama ne mažiau kaip 500 gramų minkštimo. Juodųjų serbentų, erškėtuogių, </w:t>
      </w:r>
      <w:proofErr w:type="spellStart"/>
      <w:r w:rsidRPr="002F2C6C">
        <w:t>cidonijų</w:t>
      </w:r>
      <w:proofErr w:type="spellEnd"/>
      <w:r w:rsidRPr="002F2C6C">
        <w:t xml:space="preserve">, raudonųjų serbentų, šermukšnio uogų ir šaltalankio atveju tokio kiekio aukščiausios rūšies džemui gaminti turi būti naudojama ne mažiau kaip 450 gramų minkštimo, o imbiero atveju – ne mažiau kaip 280 gramų, </w:t>
      </w:r>
      <w:proofErr w:type="spellStart"/>
      <w:r w:rsidRPr="002F2C6C">
        <w:t>anakardžių</w:t>
      </w:r>
      <w:proofErr w:type="spellEnd"/>
      <w:r w:rsidRPr="002F2C6C">
        <w:t xml:space="preserve"> vaiskočių atveju – ne mažiau kaip 290 gramų, o pasiflorų atveju – ne mažiau kaip 100 gramų“;</w:t>
      </w:r>
    </w:p>
    <w:p w14:paraId="475C31F4" w14:textId="59F17C0E" w:rsidR="00D10CC4" w:rsidRPr="002F2C6C" w:rsidRDefault="00D7764F" w:rsidP="0066662F">
      <w:pPr>
        <w:pStyle w:val="Tekst"/>
        <w:rPr>
          <w:i/>
        </w:rPr>
      </w:pPr>
      <w:r w:rsidRPr="002F2C6C">
        <w:rPr>
          <w:b/>
        </w:rPr>
        <w:t>8)</w:t>
      </w:r>
      <w:r w:rsidRPr="002F2C6C">
        <w:t xml:space="preserve"> 4 straipsnio 5 dalies 2 ir 3 punktai išdėstomi taip:</w:t>
      </w:r>
    </w:p>
    <w:p w14:paraId="0F645E5E" w14:textId="364146FA" w:rsidR="00783867" w:rsidRPr="002F2C6C" w:rsidRDefault="00D27B77" w:rsidP="00783867">
      <w:pPr>
        <w:spacing w:before="240" w:line="240" w:lineRule="auto"/>
        <w:contextualSpacing/>
      </w:pPr>
      <w:r w:rsidRPr="002F2C6C">
        <w:t>„2) koncentruotos arba nekoncentruotos citrusinių vaisių sultys, jei aukščiausios rūšies džemas nėra gaminamas iš citrusinių vaisių;</w:t>
      </w:r>
    </w:p>
    <w:p w14:paraId="47FD393B" w14:textId="28B74E64" w:rsidR="00D27B77" w:rsidRPr="002F2C6C" w:rsidRDefault="00783867" w:rsidP="00783867">
      <w:pPr>
        <w:spacing w:before="240" w:line="240" w:lineRule="auto"/>
        <w:contextualSpacing/>
      </w:pPr>
      <w:r w:rsidRPr="002F2C6C">
        <w:t>3) koncentruotos arba nekoncentruotos raudonųjų vaisių sultys, jei aukščiausios rūšies džemas gaminamas iš erškėtuogių, braškių, aviečių, agrastų, raudonųjų serbentų, slyvų arba rabarbarų;“;</w:t>
      </w:r>
    </w:p>
    <w:p w14:paraId="08692939" w14:textId="5560939A" w:rsidR="00D27B77" w:rsidRPr="002F2C6C" w:rsidRDefault="00D7764F" w:rsidP="0066662F">
      <w:pPr>
        <w:pStyle w:val="Tekst"/>
        <w:rPr>
          <w:i/>
        </w:rPr>
      </w:pPr>
      <w:r w:rsidRPr="002F2C6C">
        <w:rPr>
          <w:b/>
        </w:rPr>
        <w:t>9)</w:t>
      </w:r>
      <w:r w:rsidRPr="002F2C6C">
        <w:t xml:space="preserve"> 5 straipsnio 3 dalies 2 ir 3 punktai išdėstomi taip:</w:t>
      </w:r>
    </w:p>
    <w:p w14:paraId="02F633DD" w14:textId="014CC329" w:rsidR="00D27B77" w:rsidRPr="002F2C6C" w:rsidRDefault="0038240F" w:rsidP="00783867">
      <w:pPr>
        <w:spacing w:before="240" w:line="240" w:lineRule="auto"/>
      </w:pPr>
      <w:r w:rsidRPr="002F2C6C">
        <w:t>„2) koncentruotos arba nekoncentruotos citrusinių vaisių sultys, jei želė nėra gaminama iš citrusinių vaisių;</w:t>
      </w:r>
    </w:p>
    <w:p w14:paraId="56F635F1" w14:textId="463E63E7" w:rsidR="00D27B77" w:rsidRPr="002F2C6C" w:rsidRDefault="0038240F" w:rsidP="00783867">
      <w:pPr>
        <w:spacing w:before="240" w:line="240" w:lineRule="auto"/>
        <w:contextualSpacing/>
      </w:pPr>
      <w:r w:rsidRPr="002F2C6C">
        <w:t>3) koncentruotos arba nekoncentruotos raudonųjų burokėlių sultys, jei želė gaminama iš braškių, aviečių, agrastų, raudonųjų serbentų arba slyvų;“;</w:t>
      </w:r>
    </w:p>
    <w:p w14:paraId="455F244F" w14:textId="5DCD8758" w:rsidR="00D27B77" w:rsidRPr="002F2C6C" w:rsidRDefault="00C576CE" w:rsidP="0066662F">
      <w:pPr>
        <w:pStyle w:val="Tekst"/>
        <w:rPr>
          <w:i/>
        </w:rPr>
      </w:pPr>
      <w:r w:rsidRPr="002F2C6C">
        <w:rPr>
          <w:b/>
        </w:rPr>
        <w:t>10)</w:t>
      </w:r>
      <w:r w:rsidRPr="002F2C6C">
        <w:t xml:space="preserve"> 6 straipsnio 4 dalies 2 punktas išdėstomas taip:</w:t>
      </w:r>
    </w:p>
    <w:p w14:paraId="68FBF5C0" w14:textId="78E7A34E" w:rsidR="00D27B77" w:rsidRPr="002F2C6C" w:rsidRDefault="00BA60E4" w:rsidP="00783867">
      <w:pPr>
        <w:spacing w:before="240" w:line="240" w:lineRule="auto"/>
      </w:pPr>
      <w:r w:rsidRPr="002F2C6C">
        <w:t>„2) koncentruotos arba nekoncentruotos citrusinių vaisių sultys, jei aukščiausios rūšies želė nėra gaminama iš citrusinių vaisių;“;</w:t>
      </w:r>
    </w:p>
    <w:p w14:paraId="6FB2426F" w14:textId="3B7EF8CE" w:rsidR="00BA60E4" w:rsidRPr="002F2C6C" w:rsidRDefault="00C576CE" w:rsidP="0066662F">
      <w:pPr>
        <w:pStyle w:val="Tekst"/>
        <w:rPr>
          <w:i/>
        </w:rPr>
      </w:pPr>
      <w:r w:rsidRPr="002F2C6C">
        <w:rPr>
          <w:b/>
        </w:rPr>
        <w:t>11)</w:t>
      </w:r>
      <w:r w:rsidRPr="002F2C6C">
        <w:t xml:space="preserve"> 7 straipsnio 4 dalis išdėstoma taip:</w:t>
      </w:r>
    </w:p>
    <w:p w14:paraId="26BC84F2" w14:textId="68B5AC80" w:rsidR="00D27B77" w:rsidRPr="002F2C6C" w:rsidRDefault="00BA60E4" w:rsidP="0066662F">
      <w:pPr>
        <w:pStyle w:val="Tekst"/>
        <w:rPr>
          <w:i/>
        </w:rPr>
      </w:pPr>
      <w:r w:rsidRPr="002F2C6C">
        <w:t>„4. Jei produkto sudėtyje nėra jokių netirpių medžiagų, išskyrus nedidelį kiekį smulkiai supjaustytų žievelių, gali būti vartojamas pavadinimas „želė marmeladas.“;</w:t>
      </w:r>
    </w:p>
    <w:p w14:paraId="1C996BE7" w14:textId="07B8BD59" w:rsidR="00D27B77" w:rsidRPr="002F2C6C" w:rsidRDefault="00C576CE" w:rsidP="0066662F">
      <w:pPr>
        <w:pStyle w:val="Tekst"/>
        <w:rPr>
          <w:i/>
        </w:rPr>
      </w:pPr>
      <w:r w:rsidRPr="002F2C6C">
        <w:rPr>
          <w:b/>
        </w:rPr>
        <w:t>12)</w:t>
      </w:r>
      <w:r w:rsidRPr="002F2C6C">
        <w:t xml:space="preserve"> 9 straipsnyje įterpiamos šios 4</w:t>
      </w:r>
      <w:r w:rsidRPr="002F2C6C">
        <w:rPr>
          <w:vertAlign w:val="superscript"/>
        </w:rPr>
        <w:t>1</w:t>
      </w:r>
      <w:r w:rsidRPr="002F2C6C">
        <w:t xml:space="preserve"> ir 4</w:t>
      </w:r>
      <w:r w:rsidRPr="002F2C6C">
        <w:rPr>
          <w:vertAlign w:val="superscript"/>
        </w:rPr>
        <w:t>2</w:t>
      </w:r>
      <w:r w:rsidRPr="002F2C6C">
        <w:t xml:space="preserve"> dalys:</w:t>
      </w:r>
    </w:p>
    <w:p w14:paraId="4C930F9D" w14:textId="3A084A07" w:rsidR="002F3514" w:rsidRPr="002F2C6C" w:rsidRDefault="00D27B77" w:rsidP="00783867">
      <w:pPr>
        <w:spacing w:before="240" w:line="240" w:lineRule="auto"/>
      </w:pPr>
      <w:r w:rsidRPr="002F2C6C">
        <w:t>„4</w:t>
      </w:r>
      <w:r w:rsidRPr="002F2C6C">
        <w:rPr>
          <w:vertAlign w:val="superscript"/>
        </w:rPr>
        <w:t>1</w:t>
      </w:r>
      <w:r w:rsidRPr="002F2C6C">
        <w:t>. Produktų pavadinimuose „marmeladas“ ir „želė marmeladas“ gali būti pridedamas produkte naudojamų citrusinių vaisių pavadinimas.</w:t>
      </w:r>
    </w:p>
    <w:p w14:paraId="0A504973" w14:textId="7090D7C9" w:rsidR="00D27B77" w:rsidRPr="002F2C6C" w:rsidRDefault="00D27B77" w:rsidP="00783867">
      <w:pPr>
        <w:spacing w:before="240" w:line="240" w:lineRule="auto"/>
      </w:pPr>
      <w:r w:rsidRPr="002F2C6C">
        <w:t>4</w:t>
      </w:r>
      <w:r w:rsidRPr="002F2C6C">
        <w:rPr>
          <w:vertAlign w:val="superscript"/>
        </w:rPr>
        <w:t>2</w:t>
      </w:r>
      <w:r w:rsidRPr="002F2C6C">
        <w:t xml:space="preserve">. Jei 7 straipsnio 5 dalyje nurodytas produktas atitinka aukščiausios rūšies džemo sudėties ir </w:t>
      </w:r>
      <w:r w:rsidRPr="002F2C6C">
        <w:lastRenderedPageBreak/>
        <w:t>kokybės reikalavimus, jis gali būti vadinamas aukščiausios rūšies marmeladu.“;</w:t>
      </w:r>
    </w:p>
    <w:p w14:paraId="1A80A8CD" w14:textId="623BA3AA" w:rsidR="00BA60E4" w:rsidRPr="002F2C6C" w:rsidRDefault="00C576CE" w:rsidP="0066662F">
      <w:pPr>
        <w:pStyle w:val="Tekst"/>
        <w:rPr>
          <w:i/>
        </w:rPr>
      </w:pPr>
      <w:r w:rsidRPr="002F2C6C">
        <w:rPr>
          <w:b/>
        </w:rPr>
        <w:t>13)</w:t>
      </w:r>
      <w:r w:rsidRPr="002F2C6C">
        <w:t xml:space="preserve"> 9 straipsnio 5 ir 7 dalys panaikinamos;</w:t>
      </w:r>
    </w:p>
    <w:p w14:paraId="2FADEF31" w14:textId="6B0CC29C" w:rsidR="00BA60E4" w:rsidRPr="002F2C6C" w:rsidRDefault="00D07C58" w:rsidP="0066662F">
      <w:pPr>
        <w:pStyle w:val="Tekst"/>
        <w:rPr>
          <w:i/>
        </w:rPr>
      </w:pPr>
      <w:r w:rsidRPr="002F2C6C">
        <w:rPr>
          <w:b/>
        </w:rPr>
        <w:t>14)</w:t>
      </w:r>
      <w:r w:rsidRPr="002F2C6C">
        <w:t xml:space="preserve"> 9 straipsnio 8 dalyje žodžiai „6 ir 7 dalyse“ pakeičiami žodžiais „6 dalyje“;</w:t>
      </w:r>
    </w:p>
    <w:p w14:paraId="5AA5F423" w14:textId="464B1050" w:rsidR="00045BB0" w:rsidRPr="002F2C6C" w:rsidRDefault="00C576CE" w:rsidP="0066662F">
      <w:pPr>
        <w:pStyle w:val="Tekst"/>
        <w:rPr>
          <w:i/>
        </w:rPr>
      </w:pPr>
      <w:r w:rsidRPr="002F2C6C">
        <w:rPr>
          <w:b/>
        </w:rPr>
        <w:t>15)</w:t>
      </w:r>
      <w:r w:rsidRPr="002F2C6C">
        <w:t xml:space="preserve"> 4 straipsnio antraštinė dalis išdėstoma taip:</w:t>
      </w:r>
    </w:p>
    <w:p w14:paraId="50E07346" w14:textId="7FB33160" w:rsidR="0015462A" w:rsidRPr="002F2C6C" w:rsidRDefault="00045BB0" w:rsidP="000405F5">
      <w:pPr>
        <w:spacing w:before="240" w:line="240" w:lineRule="auto"/>
        <w:jc w:val="center"/>
        <w:rPr>
          <w:b/>
          <w:bCs/>
          <w:i/>
        </w:rPr>
      </w:pPr>
      <w:r w:rsidRPr="002F2C6C">
        <w:rPr>
          <w:b/>
        </w:rPr>
        <w:t>„4 skyrius</w:t>
      </w:r>
    </w:p>
    <w:p w14:paraId="28B5040E" w14:textId="60889669" w:rsidR="00045BB0" w:rsidRPr="002F2C6C" w:rsidRDefault="00045BB0" w:rsidP="00CA368C">
      <w:pPr>
        <w:jc w:val="center"/>
        <w:rPr>
          <w:i/>
        </w:rPr>
      </w:pPr>
      <w:r w:rsidRPr="002F2C6C">
        <w:rPr>
          <w:b/>
        </w:rPr>
        <w:t>Įgyvendinimo nuostatos</w:t>
      </w:r>
      <w:r w:rsidRPr="002F2C6C">
        <w:t>“;</w:t>
      </w:r>
    </w:p>
    <w:p w14:paraId="098DC81A" w14:textId="6392D33B" w:rsidR="003F68D9" w:rsidRPr="002F2C6C" w:rsidRDefault="00C576CE" w:rsidP="0066662F">
      <w:pPr>
        <w:pStyle w:val="Tekst"/>
        <w:rPr>
          <w:i/>
        </w:rPr>
      </w:pPr>
      <w:r w:rsidRPr="002F2C6C">
        <w:rPr>
          <w:b/>
        </w:rPr>
        <w:t>16)</w:t>
      </w:r>
      <w:r w:rsidRPr="002F2C6C">
        <w:t xml:space="preserve"> 4 skyrius papildomas 9</w:t>
      </w:r>
      <w:r w:rsidRPr="002F2C6C">
        <w:rPr>
          <w:vertAlign w:val="superscript"/>
        </w:rPr>
        <w:t>1</w:t>
      </w:r>
      <w:r w:rsidRPr="002F2C6C">
        <w:t xml:space="preserve"> straipsniu, kuris išdėstomas taip:</w:t>
      </w:r>
    </w:p>
    <w:p w14:paraId="0A529AC0" w14:textId="187A3DB8" w:rsidR="0015462A" w:rsidRPr="002F2C6C" w:rsidRDefault="003F68D9" w:rsidP="000405F5">
      <w:pPr>
        <w:pStyle w:val="Tekst"/>
        <w:rPr>
          <w:b/>
          <w:bCs/>
        </w:rPr>
      </w:pPr>
      <w:r w:rsidRPr="002F2C6C">
        <w:t>„</w:t>
      </w:r>
      <w:r w:rsidRPr="002F2C6C">
        <w:rPr>
          <w:b/>
        </w:rPr>
        <w:t>9</w:t>
      </w:r>
      <w:r w:rsidRPr="002F2C6C">
        <w:rPr>
          <w:b/>
          <w:vertAlign w:val="superscript"/>
        </w:rPr>
        <w:t xml:space="preserve">1 </w:t>
      </w:r>
      <w:r w:rsidRPr="002F2C6C">
        <w:rPr>
          <w:b/>
        </w:rPr>
        <w:t>straipsnis. Reglamento įgyvendinimas</w:t>
      </w:r>
    </w:p>
    <w:p w14:paraId="371EA3C0" w14:textId="0E9240EC" w:rsidR="007F60C3" w:rsidRPr="002F2C6C" w:rsidRDefault="002832FF" w:rsidP="002832FF">
      <w:pPr>
        <w:pStyle w:val="Tekst"/>
      </w:pPr>
      <w:r w:rsidRPr="002F2C6C">
        <w:t>1. Produktai, pateikti rinkai arba paženklinti iki 2026 m. birželio 14 d. ir laikantis iki tos dienos galiojusių reikalavimų, gali būti parduodami, kol baigsis jų atsargos.</w:t>
      </w:r>
    </w:p>
    <w:p w14:paraId="277CB001" w14:textId="12BE6251" w:rsidR="00BF10FA" w:rsidRPr="002F2C6C" w:rsidRDefault="00BF10FA" w:rsidP="00BF10FA">
      <w:pPr>
        <w:pStyle w:val="Tekst"/>
      </w:pPr>
      <w:r w:rsidRPr="002F2C6C">
        <w:t>2. Iki 2027 m. sausio 1 d. šio straipsnio 4 dalyje nurodytiems „</w:t>
      </w:r>
      <w:proofErr w:type="spellStart"/>
      <w:r w:rsidRPr="002F2C6C">
        <w:t>moos</w:t>
      </w:r>
      <w:proofErr w:type="spellEnd"/>
      <w:r w:rsidRPr="002F2C6C">
        <w:t>“ toliau taikomi iki 2026 m. birželio 14 d. galiojančios redakcijos 3 straipsnio 2 dalyje nustatyti minkštimo, tyrės ar jų mišinio kiekio reikalavimai.</w:t>
      </w:r>
    </w:p>
    <w:p w14:paraId="4CE0E279" w14:textId="13401C82" w:rsidR="003F68D9" w:rsidRPr="002F2C6C" w:rsidRDefault="00BF10FA" w:rsidP="00BF10FA">
      <w:pPr>
        <w:pStyle w:val="Tekst"/>
      </w:pPr>
      <w:r w:rsidRPr="002F2C6C">
        <w:t>3. 3 straipsnio 4 dalyje nurodytas „</w:t>
      </w:r>
      <w:proofErr w:type="spellStart"/>
      <w:r w:rsidRPr="002F2C6C">
        <w:t>moos</w:t>
      </w:r>
      <w:proofErr w:type="spellEnd"/>
      <w:r w:rsidRPr="002F2C6C">
        <w:t>“, kuris pateiktas rinkai arba paženklintas iki 2027 m. sausio 1 d. ir kuris atitinka 2 dalyje nurodytus reikalavimus, gali būti parduodamas tol, kol baigsis atsargos.“;</w:t>
      </w:r>
    </w:p>
    <w:p w14:paraId="63357891" w14:textId="184A1F5B" w:rsidR="00045BB0" w:rsidRPr="002F2C6C" w:rsidRDefault="00C576CE" w:rsidP="0066662F">
      <w:pPr>
        <w:pStyle w:val="Tekst"/>
        <w:rPr>
          <w:i/>
        </w:rPr>
      </w:pPr>
      <w:r w:rsidRPr="002F2C6C">
        <w:rPr>
          <w:b/>
        </w:rPr>
        <w:t>17)</w:t>
      </w:r>
      <w:r w:rsidRPr="002F2C6C">
        <w:t xml:space="preserve"> </w:t>
      </w:r>
      <w:r w:rsidRPr="002F2C6C">
        <w:rPr>
          <w:vertAlign w:val="superscript"/>
        </w:rPr>
        <w:t>1</w:t>
      </w:r>
      <w:r w:rsidRPr="002F2C6C">
        <w:t xml:space="preserve"> išnaša išdėstoma taip:</w:t>
      </w:r>
    </w:p>
    <w:p w14:paraId="4E0D9DB7" w14:textId="2ED73848" w:rsidR="00A479D8" w:rsidRPr="002F2C6C" w:rsidRDefault="002D546E" w:rsidP="0066662F">
      <w:pPr>
        <w:pStyle w:val="Tekst"/>
      </w:pPr>
      <w:r w:rsidRPr="002F2C6C">
        <w:t>„</w:t>
      </w:r>
      <w:r w:rsidRPr="002F2C6C">
        <w:rPr>
          <w:vertAlign w:val="superscript"/>
        </w:rPr>
        <w:t>1</w:t>
      </w:r>
      <w:r w:rsidRPr="002F2C6C">
        <w:t xml:space="preserve"> Tarybos direktyva 2001/113/EB dėl žmonių maistui skirtų vaisių džemų, </w:t>
      </w:r>
      <w:proofErr w:type="spellStart"/>
      <w:r w:rsidRPr="002F2C6C">
        <w:t>žele</w:t>
      </w:r>
      <w:proofErr w:type="spellEnd"/>
      <w:r w:rsidRPr="002F2C6C">
        <w:t>, marmeladų ir saldintos kaštonų tyrės (OL L 10, 2002 1 12, p. 67–72), su pakeitimais, padarytais Direktyva 2004/84/EB (OL L 219, 2004 6 19, p. 8–10), Reglamentu Nr. 1182/2007 (OL L 273, 2007 10 17, p. 1–30), Reglamentu Nr. 1021/2013 (OL L 287, 2013 10 29, p. 1–4), Direktyva (ES) 2024/1438 (OL L, 2024/1438, 2024 5 24).“.</w:t>
      </w:r>
    </w:p>
    <w:p w14:paraId="3C9E3F9B" w14:textId="39A68E5B" w:rsidR="00B358EA" w:rsidRPr="002F2C6C" w:rsidRDefault="002660FC" w:rsidP="0066662F">
      <w:pPr>
        <w:pStyle w:val="Tekst"/>
        <w:rPr>
          <w:b/>
          <w:bCs/>
          <w:i/>
        </w:rPr>
      </w:pPr>
      <w:r w:rsidRPr="002F2C6C">
        <w:rPr>
          <w:b/>
        </w:rPr>
        <w:t>2 straipsnis. Reglamento įsigaliojimas</w:t>
      </w:r>
    </w:p>
    <w:p w14:paraId="3CE02165" w14:textId="4F7C39CF" w:rsidR="00B358EA" w:rsidRPr="002F2C6C" w:rsidRDefault="00B358EA" w:rsidP="0066662F">
      <w:pPr>
        <w:pStyle w:val="Tekst"/>
        <w:rPr>
          <w:i/>
        </w:rPr>
      </w:pPr>
      <w:r w:rsidRPr="002F2C6C">
        <w:t>Šis reglamentas įsigalioja 2026 m. birželio 14 d.</w:t>
      </w:r>
    </w:p>
    <w:p w14:paraId="0A1017E7" w14:textId="77777777" w:rsidR="002D546E" w:rsidRPr="002F2C6C" w:rsidRDefault="002D546E" w:rsidP="00A06E85">
      <w:pPr>
        <w:pStyle w:val="Mrkused"/>
        <w:tabs>
          <w:tab w:val="left" w:pos="426"/>
        </w:tabs>
        <w:rPr>
          <w:iCs/>
          <w:kern w:val="20"/>
          <w:sz w:val="24"/>
          <w:szCs w:val="24"/>
          <w:vertAlign w:val="superscript"/>
        </w:rPr>
      </w:pPr>
    </w:p>
    <w:p w14:paraId="72C706A9" w14:textId="77777777" w:rsidR="002D546E" w:rsidRPr="002F2C6C" w:rsidRDefault="002D546E" w:rsidP="00A06E85">
      <w:pPr>
        <w:pStyle w:val="Mrkused"/>
        <w:tabs>
          <w:tab w:val="left" w:pos="426"/>
        </w:tabs>
        <w:rPr>
          <w:iCs/>
          <w:kern w:val="20"/>
          <w:sz w:val="24"/>
          <w:szCs w:val="24"/>
          <w:vertAlign w:val="superscript"/>
        </w:rPr>
      </w:pPr>
    </w:p>
    <w:p w14:paraId="6E31E4D9" w14:textId="77777777" w:rsidR="00B358EA" w:rsidRPr="002F2C6C" w:rsidRDefault="00B358EA" w:rsidP="00CA368C">
      <w:pPr>
        <w:pStyle w:val="Mrkused"/>
        <w:tabs>
          <w:tab w:val="left" w:pos="426"/>
        </w:tabs>
      </w:pPr>
    </w:p>
    <w:p w14:paraId="64978297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  <w:lang w:eastAsia="et-EE"/>
        </w:rPr>
      </w:pPr>
    </w:p>
    <w:p w14:paraId="4FF57E7D" w14:textId="77777777" w:rsidR="004807B6" w:rsidRPr="002F2C6C" w:rsidRDefault="004807B6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  <w:lang w:eastAsia="et-EE"/>
        </w:rPr>
      </w:pPr>
    </w:p>
    <w:p w14:paraId="2F42431A" w14:textId="77777777" w:rsidR="004807B6" w:rsidRPr="002F2C6C" w:rsidRDefault="004807B6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  <w:lang w:eastAsia="et-EE"/>
        </w:rPr>
      </w:pPr>
    </w:p>
    <w:p w14:paraId="2379B4D9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</w:rPr>
      </w:pPr>
      <w:r w:rsidRPr="002F2C6C">
        <w:rPr>
          <w:color w:val="000000"/>
        </w:rPr>
        <w:t>(pasirašyta skaitmeniniu parašu)</w:t>
      </w:r>
    </w:p>
    <w:p w14:paraId="0F1BA215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</w:rPr>
      </w:pPr>
      <w:proofErr w:type="spellStart"/>
      <w:r w:rsidRPr="002F2C6C">
        <w:rPr>
          <w:color w:val="000000"/>
          <w:lang w:eastAsia="et-EE"/>
        </w:rPr>
        <w:t>Hendrik</w:t>
      </w:r>
      <w:proofErr w:type="spellEnd"/>
      <w:r w:rsidRPr="002F2C6C">
        <w:rPr>
          <w:color w:val="000000"/>
          <w:lang w:eastAsia="et-EE"/>
        </w:rPr>
        <w:t xml:space="preserve"> </w:t>
      </w:r>
      <w:proofErr w:type="spellStart"/>
      <w:r w:rsidRPr="002F2C6C">
        <w:rPr>
          <w:color w:val="000000"/>
          <w:lang w:eastAsia="et-EE"/>
        </w:rPr>
        <w:t>Johannes</w:t>
      </w:r>
      <w:proofErr w:type="spellEnd"/>
      <w:r w:rsidRPr="002F2C6C">
        <w:rPr>
          <w:color w:val="000000"/>
          <w:lang w:eastAsia="et-EE"/>
        </w:rPr>
        <w:t xml:space="preserve"> </w:t>
      </w:r>
      <w:proofErr w:type="spellStart"/>
      <w:r w:rsidRPr="002F2C6C">
        <w:rPr>
          <w:color w:val="000000"/>
          <w:lang w:eastAsia="et-EE"/>
        </w:rPr>
        <w:t>Terras</w:t>
      </w:r>
      <w:proofErr w:type="spellEnd"/>
    </w:p>
    <w:p w14:paraId="3225AA6A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/>
          <w:iCs/>
          <w:color w:val="000000"/>
          <w:kern w:val="0"/>
        </w:rPr>
      </w:pPr>
      <w:r w:rsidRPr="002F2C6C">
        <w:rPr>
          <w:color w:val="000000"/>
        </w:rPr>
        <w:t>Regionų reikalų ir žemės ūkio ministrė</w:t>
      </w:r>
    </w:p>
    <w:p w14:paraId="6A07737B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  <w:lang w:eastAsia="et-EE"/>
        </w:rPr>
      </w:pPr>
    </w:p>
    <w:p w14:paraId="3AE620C2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  <w:lang w:eastAsia="et-EE"/>
        </w:rPr>
      </w:pPr>
    </w:p>
    <w:p w14:paraId="29837B9C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/>
          <w:iCs/>
          <w:color w:val="000000"/>
          <w:kern w:val="0"/>
        </w:rPr>
      </w:pPr>
      <w:r w:rsidRPr="002F2C6C">
        <w:rPr>
          <w:color w:val="000000"/>
        </w:rPr>
        <w:t>(pasirašyta skaitmeniniu parašu)</w:t>
      </w:r>
    </w:p>
    <w:p w14:paraId="3429CDF0" w14:textId="77777777" w:rsidR="00A479D8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Cs/>
          <w:color w:val="000000"/>
          <w:kern w:val="0"/>
        </w:rPr>
      </w:pPr>
      <w:r w:rsidRPr="002F2C6C">
        <w:rPr>
          <w:color w:val="000000"/>
          <w:lang w:eastAsia="et-EE"/>
        </w:rPr>
        <w:t xml:space="preserve">Marko </w:t>
      </w:r>
      <w:proofErr w:type="spellStart"/>
      <w:r w:rsidRPr="002F2C6C">
        <w:rPr>
          <w:color w:val="000000"/>
          <w:lang w:eastAsia="et-EE"/>
        </w:rPr>
        <w:t>Gorban</w:t>
      </w:r>
      <w:proofErr w:type="spellEnd"/>
    </w:p>
    <w:p w14:paraId="2FB14B81" w14:textId="167163D8" w:rsidR="008C55D1" w:rsidRPr="002F2C6C" w:rsidRDefault="00A479D8" w:rsidP="00A479D8">
      <w:pPr>
        <w:widowControl/>
        <w:suppressAutoHyphens w:val="0"/>
        <w:spacing w:line="240" w:lineRule="auto"/>
        <w:rPr>
          <w:rFonts w:eastAsia="Times New Roman"/>
          <w:i/>
          <w:iCs/>
          <w:color w:val="000000"/>
          <w:kern w:val="0"/>
        </w:rPr>
      </w:pPr>
      <w:r w:rsidRPr="002F2C6C">
        <w:rPr>
          <w:color w:val="000000"/>
        </w:rPr>
        <w:t>Generalinis sekretorius</w:t>
      </w:r>
    </w:p>
    <w:sectPr w:rsidR="008C55D1" w:rsidRPr="002F2C6C" w:rsidSect="008C55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5F43" w14:textId="77777777" w:rsidR="00DF30FF" w:rsidRPr="002F2C6C" w:rsidRDefault="00DF30FF" w:rsidP="00DF44DF">
      <w:r w:rsidRPr="002F2C6C">
        <w:separator/>
      </w:r>
    </w:p>
  </w:endnote>
  <w:endnote w:type="continuationSeparator" w:id="0">
    <w:p w14:paraId="0AC04396" w14:textId="77777777" w:rsidR="00DF30FF" w:rsidRPr="002F2C6C" w:rsidRDefault="00DF30FF" w:rsidP="00DF44DF">
      <w:r w:rsidRPr="002F2C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1391913687"/>
      <w:docPartObj>
        <w:docPartGallery w:val="Page Numbers (Bottom of Page)"/>
        <w:docPartUnique/>
      </w:docPartObj>
    </w:sdtPr>
    <w:sdtEndPr/>
    <w:sdtContent>
      <w:p w14:paraId="6EFBA46A" w14:textId="77777777" w:rsidR="00DE2354" w:rsidRPr="002F2C6C" w:rsidRDefault="00DE2354">
        <w:pPr>
          <w:pStyle w:val="Footer"/>
          <w:jc w:val="center"/>
          <w:rPr>
            <w:noProof/>
          </w:rPr>
        </w:pPr>
        <w:r w:rsidRPr="002F2C6C">
          <w:fldChar w:fldCharType="begin"/>
        </w:r>
        <w:r w:rsidRPr="002F2C6C">
          <w:instrText>PAGE   \* MERGEFORMAT</w:instrText>
        </w:r>
        <w:r w:rsidRPr="002F2C6C">
          <w:fldChar w:fldCharType="separate"/>
        </w:r>
        <w:r w:rsidR="008C55D1" w:rsidRPr="002F2C6C">
          <w:t>2</w:t>
        </w:r>
        <w:r w:rsidRPr="002F2C6C">
          <w:fldChar w:fldCharType="end"/>
        </w:r>
      </w:p>
    </w:sdtContent>
  </w:sdt>
  <w:p w14:paraId="46DF5CB6" w14:textId="77777777" w:rsidR="00DE2354" w:rsidRPr="002F2C6C" w:rsidRDefault="008C55D1" w:rsidP="008C55D1">
    <w:pPr>
      <w:pStyle w:val="Footer"/>
      <w:tabs>
        <w:tab w:val="clear" w:pos="4536"/>
        <w:tab w:val="clear" w:pos="9072"/>
        <w:tab w:val="left" w:pos="4019"/>
      </w:tabs>
      <w:rPr>
        <w:noProof/>
      </w:rPr>
    </w:pPr>
    <w:r w:rsidRPr="002F2C6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1464766685"/>
      <w:docPartObj>
        <w:docPartGallery w:val="Page Numbers (Bottom of Page)"/>
        <w:docPartUnique/>
      </w:docPartObj>
    </w:sdtPr>
    <w:sdtEndPr/>
    <w:sdtContent>
      <w:p w14:paraId="1C4597B7" w14:textId="77777777" w:rsidR="008C55D1" w:rsidRPr="002F2C6C" w:rsidRDefault="008C55D1">
        <w:pPr>
          <w:pStyle w:val="Footer"/>
          <w:jc w:val="center"/>
          <w:rPr>
            <w:noProof/>
          </w:rPr>
        </w:pPr>
        <w:r w:rsidRPr="002F2C6C">
          <w:fldChar w:fldCharType="begin"/>
        </w:r>
        <w:r w:rsidRPr="002F2C6C">
          <w:instrText>PAGE   \* MERGEFORMAT</w:instrText>
        </w:r>
        <w:r w:rsidRPr="002F2C6C">
          <w:fldChar w:fldCharType="separate"/>
        </w:r>
        <w:r w:rsidR="00B63BA1" w:rsidRPr="002F2C6C">
          <w:t>2</w:t>
        </w:r>
        <w:r w:rsidRPr="002F2C6C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3493" w14:textId="77777777" w:rsidR="002F2C6C" w:rsidRPr="002F2C6C" w:rsidRDefault="002F2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D234" w14:textId="77777777" w:rsidR="00DF30FF" w:rsidRPr="002F2C6C" w:rsidRDefault="00DF30FF" w:rsidP="00DF44DF">
      <w:r w:rsidRPr="002F2C6C">
        <w:separator/>
      </w:r>
    </w:p>
  </w:footnote>
  <w:footnote w:type="continuationSeparator" w:id="0">
    <w:p w14:paraId="6CF8F687" w14:textId="77777777" w:rsidR="00DF30FF" w:rsidRPr="002F2C6C" w:rsidRDefault="00DF30FF" w:rsidP="00DF44DF">
      <w:r w:rsidRPr="002F2C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D9C3" w14:textId="77777777" w:rsidR="002F2C6C" w:rsidRPr="002F2C6C" w:rsidRDefault="002F2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F949" w14:textId="77777777" w:rsidR="00DE2354" w:rsidRPr="002F2C6C" w:rsidRDefault="00DE2354">
    <w:pPr>
      <w:pStyle w:val="Header"/>
      <w:jc w:val="center"/>
      <w:rPr>
        <w:noProof/>
      </w:rPr>
    </w:pPr>
  </w:p>
  <w:p w14:paraId="70783B16" w14:textId="77777777" w:rsidR="00110BCA" w:rsidRPr="002F2C6C" w:rsidRDefault="00110BCA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802D" w14:textId="77777777" w:rsidR="002F2C6C" w:rsidRPr="002F2C6C" w:rsidRDefault="002F2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062"/>
    <w:multiLevelType w:val="hybridMultilevel"/>
    <w:tmpl w:val="2D186A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50E7"/>
    <w:multiLevelType w:val="hybridMultilevel"/>
    <w:tmpl w:val="B956B064"/>
    <w:lvl w:ilvl="0" w:tplc="95DEDE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7D27"/>
    <w:multiLevelType w:val="hybridMultilevel"/>
    <w:tmpl w:val="11484460"/>
    <w:lvl w:ilvl="0" w:tplc="04250011">
      <w:start w:val="1"/>
      <w:numFmt w:val="decimal"/>
      <w:lvlText w:val="%1)"/>
      <w:lvlJc w:val="left"/>
      <w:pPr>
        <w:ind w:left="1428" w:hanging="360"/>
      </w:p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554EBC"/>
    <w:multiLevelType w:val="hybridMultilevel"/>
    <w:tmpl w:val="2DA0B358"/>
    <w:lvl w:ilvl="0" w:tplc="5DA0614C">
      <w:start w:val="1"/>
      <w:numFmt w:val="decimal"/>
      <w:lvlText w:val="(%1)"/>
      <w:lvlJc w:val="left"/>
      <w:pPr>
        <w:ind w:left="730" w:hanging="3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D06"/>
    <w:multiLevelType w:val="hybridMultilevel"/>
    <w:tmpl w:val="E5EC0A52"/>
    <w:lvl w:ilvl="0" w:tplc="719CEC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E2C8D"/>
    <w:multiLevelType w:val="hybridMultilevel"/>
    <w:tmpl w:val="AD225F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B118E"/>
    <w:multiLevelType w:val="hybridMultilevel"/>
    <w:tmpl w:val="33DAAEA6"/>
    <w:lvl w:ilvl="0" w:tplc="95DEDE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3D5C"/>
    <w:multiLevelType w:val="hybridMultilevel"/>
    <w:tmpl w:val="5704AF70"/>
    <w:lvl w:ilvl="0" w:tplc="95DEDE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25163F"/>
    <w:multiLevelType w:val="hybridMultilevel"/>
    <w:tmpl w:val="6438161E"/>
    <w:lvl w:ilvl="0" w:tplc="95DEDE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4C6D46"/>
    <w:multiLevelType w:val="hybridMultilevel"/>
    <w:tmpl w:val="EEA24C44"/>
    <w:lvl w:ilvl="0" w:tplc="5C1E82DA">
      <w:numFmt w:val="decimalZero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C5647"/>
    <w:multiLevelType w:val="hybridMultilevel"/>
    <w:tmpl w:val="4DB68E7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53999"/>
    <w:multiLevelType w:val="hybridMultilevel"/>
    <w:tmpl w:val="528E6F5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14"/>
    <w:rsid w:val="000405F5"/>
    <w:rsid w:val="00045BB0"/>
    <w:rsid w:val="0004665A"/>
    <w:rsid w:val="00060947"/>
    <w:rsid w:val="00073127"/>
    <w:rsid w:val="000774B0"/>
    <w:rsid w:val="000913FC"/>
    <w:rsid w:val="000B13BD"/>
    <w:rsid w:val="000B3F49"/>
    <w:rsid w:val="000C5E94"/>
    <w:rsid w:val="000C6350"/>
    <w:rsid w:val="000E3B41"/>
    <w:rsid w:val="000E3FCE"/>
    <w:rsid w:val="000E4F8D"/>
    <w:rsid w:val="000F2381"/>
    <w:rsid w:val="00110BCA"/>
    <w:rsid w:val="0011525A"/>
    <w:rsid w:val="00124999"/>
    <w:rsid w:val="001327CD"/>
    <w:rsid w:val="00152FE2"/>
    <w:rsid w:val="0015462A"/>
    <w:rsid w:val="00183211"/>
    <w:rsid w:val="001858E7"/>
    <w:rsid w:val="00191D0B"/>
    <w:rsid w:val="00192ED6"/>
    <w:rsid w:val="001A7D04"/>
    <w:rsid w:val="001B3BE1"/>
    <w:rsid w:val="001B4BFC"/>
    <w:rsid w:val="001C2821"/>
    <w:rsid w:val="001D23BA"/>
    <w:rsid w:val="001D46F0"/>
    <w:rsid w:val="001D4CFB"/>
    <w:rsid w:val="001F201C"/>
    <w:rsid w:val="002008A2"/>
    <w:rsid w:val="00212A45"/>
    <w:rsid w:val="00217635"/>
    <w:rsid w:val="0022269C"/>
    <w:rsid w:val="00226DA8"/>
    <w:rsid w:val="00242293"/>
    <w:rsid w:val="002632B5"/>
    <w:rsid w:val="0026456A"/>
    <w:rsid w:val="002660FC"/>
    <w:rsid w:val="00282C38"/>
    <w:rsid w:val="002832FF"/>
    <w:rsid w:val="002835BB"/>
    <w:rsid w:val="00293449"/>
    <w:rsid w:val="002A2362"/>
    <w:rsid w:val="002A365B"/>
    <w:rsid w:val="002C3515"/>
    <w:rsid w:val="002D546E"/>
    <w:rsid w:val="002F254F"/>
    <w:rsid w:val="002F2C6C"/>
    <w:rsid w:val="002F3514"/>
    <w:rsid w:val="003045BE"/>
    <w:rsid w:val="00305A97"/>
    <w:rsid w:val="00310360"/>
    <w:rsid w:val="003151EB"/>
    <w:rsid w:val="00317304"/>
    <w:rsid w:val="00320334"/>
    <w:rsid w:val="003263CA"/>
    <w:rsid w:val="00336B97"/>
    <w:rsid w:val="0034219D"/>
    <w:rsid w:val="00354059"/>
    <w:rsid w:val="00357D77"/>
    <w:rsid w:val="00357F92"/>
    <w:rsid w:val="003678AA"/>
    <w:rsid w:val="003710C5"/>
    <w:rsid w:val="00375B44"/>
    <w:rsid w:val="00380FD6"/>
    <w:rsid w:val="0038240F"/>
    <w:rsid w:val="00393EDC"/>
    <w:rsid w:val="00394DCB"/>
    <w:rsid w:val="003B2A9C"/>
    <w:rsid w:val="003D0D87"/>
    <w:rsid w:val="003D6F58"/>
    <w:rsid w:val="003E052D"/>
    <w:rsid w:val="003F2191"/>
    <w:rsid w:val="003F2632"/>
    <w:rsid w:val="003F5A9F"/>
    <w:rsid w:val="003F68D9"/>
    <w:rsid w:val="00402404"/>
    <w:rsid w:val="004255D9"/>
    <w:rsid w:val="00433583"/>
    <w:rsid w:val="00435A13"/>
    <w:rsid w:val="0044084D"/>
    <w:rsid w:val="00454202"/>
    <w:rsid w:val="004579DF"/>
    <w:rsid w:val="00460FAA"/>
    <w:rsid w:val="004660C1"/>
    <w:rsid w:val="0047547D"/>
    <w:rsid w:val="004807B6"/>
    <w:rsid w:val="00482049"/>
    <w:rsid w:val="004952D1"/>
    <w:rsid w:val="00496FFB"/>
    <w:rsid w:val="004A066C"/>
    <w:rsid w:val="004A2635"/>
    <w:rsid w:val="004A3512"/>
    <w:rsid w:val="004A6242"/>
    <w:rsid w:val="004C1391"/>
    <w:rsid w:val="004F0B00"/>
    <w:rsid w:val="00501D1C"/>
    <w:rsid w:val="0050252A"/>
    <w:rsid w:val="00514561"/>
    <w:rsid w:val="0051484C"/>
    <w:rsid w:val="00516792"/>
    <w:rsid w:val="00517F24"/>
    <w:rsid w:val="005234A1"/>
    <w:rsid w:val="00527A82"/>
    <w:rsid w:val="005350C9"/>
    <w:rsid w:val="00546204"/>
    <w:rsid w:val="00551E24"/>
    <w:rsid w:val="00553436"/>
    <w:rsid w:val="00557534"/>
    <w:rsid w:val="00560781"/>
    <w:rsid w:val="00560A92"/>
    <w:rsid w:val="0056160C"/>
    <w:rsid w:val="00564569"/>
    <w:rsid w:val="00566D45"/>
    <w:rsid w:val="005747A8"/>
    <w:rsid w:val="00597CB4"/>
    <w:rsid w:val="005A76A4"/>
    <w:rsid w:val="005B4EFD"/>
    <w:rsid w:val="005B5CE1"/>
    <w:rsid w:val="005D252C"/>
    <w:rsid w:val="005E0876"/>
    <w:rsid w:val="005E1A75"/>
    <w:rsid w:val="005E1D85"/>
    <w:rsid w:val="005E3AED"/>
    <w:rsid w:val="005E45BB"/>
    <w:rsid w:val="00602834"/>
    <w:rsid w:val="0060493A"/>
    <w:rsid w:val="00604CB4"/>
    <w:rsid w:val="00624A30"/>
    <w:rsid w:val="00625CC2"/>
    <w:rsid w:val="00637145"/>
    <w:rsid w:val="0066662F"/>
    <w:rsid w:val="00680609"/>
    <w:rsid w:val="00684140"/>
    <w:rsid w:val="00692692"/>
    <w:rsid w:val="00695A15"/>
    <w:rsid w:val="006B552E"/>
    <w:rsid w:val="006C379F"/>
    <w:rsid w:val="006E16BD"/>
    <w:rsid w:val="006E7FD9"/>
    <w:rsid w:val="006F3BB9"/>
    <w:rsid w:val="006F72D7"/>
    <w:rsid w:val="007034DA"/>
    <w:rsid w:val="007056E1"/>
    <w:rsid w:val="00713327"/>
    <w:rsid w:val="0071461A"/>
    <w:rsid w:val="00727E07"/>
    <w:rsid w:val="007366BA"/>
    <w:rsid w:val="0075695A"/>
    <w:rsid w:val="0076054B"/>
    <w:rsid w:val="0077213F"/>
    <w:rsid w:val="007721FE"/>
    <w:rsid w:val="00776835"/>
    <w:rsid w:val="00783081"/>
    <w:rsid w:val="00783867"/>
    <w:rsid w:val="007935D0"/>
    <w:rsid w:val="00793A3C"/>
    <w:rsid w:val="00795C91"/>
    <w:rsid w:val="007A1DE8"/>
    <w:rsid w:val="007C666F"/>
    <w:rsid w:val="007C6DB1"/>
    <w:rsid w:val="007C6EB7"/>
    <w:rsid w:val="007D54FC"/>
    <w:rsid w:val="007E3B31"/>
    <w:rsid w:val="007F41AB"/>
    <w:rsid w:val="007F55B0"/>
    <w:rsid w:val="007F60C3"/>
    <w:rsid w:val="00804A64"/>
    <w:rsid w:val="008149C7"/>
    <w:rsid w:val="00822AB7"/>
    <w:rsid w:val="008308E0"/>
    <w:rsid w:val="00833AC0"/>
    <w:rsid w:val="00835858"/>
    <w:rsid w:val="00842711"/>
    <w:rsid w:val="00870BE3"/>
    <w:rsid w:val="00873801"/>
    <w:rsid w:val="00883E56"/>
    <w:rsid w:val="00885014"/>
    <w:rsid w:val="008919F2"/>
    <w:rsid w:val="008A3620"/>
    <w:rsid w:val="008A6AE1"/>
    <w:rsid w:val="008B2E4E"/>
    <w:rsid w:val="008C55D1"/>
    <w:rsid w:val="008C74D6"/>
    <w:rsid w:val="008D338A"/>
    <w:rsid w:val="008D4634"/>
    <w:rsid w:val="008F0B50"/>
    <w:rsid w:val="00911911"/>
    <w:rsid w:val="00915AAB"/>
    <w:rsid w:val="0091786B"/>
    <w:rsid w:val="009211B1"/>
    <w:rsid w:val="00931396"/>
    <w:rsid w:val="009314F9"/>
    <w:rsid w:val="00932CDE"/>
    <w:rsid w:val="0093338A"/>
    <w:rsid w:val="009370A4"/>
    <w:rsid w:val="00966B11"/>
    <w:rsid w:val="009670F3"/>
    <w:rsid w:val="009709A8"/>
    <w:rsid w:val="009C5232"/>
    <w:rsid w:val="009D3136"/>
    <w:rsid w:val="009E1EC9"/>
    <w:rsid w:val="009E32EB"/>
    <w:rsid w:val="009E75A3"/>
    <w:rsid w:val="009E7F4A"/>
    <w:rsid w:val="00A06E85"/>
    <w:rsid w:val="00A0706B"/>
    <w:rsid w:val="00A10623"/>
    <w:rsid w:val="00A10E66"/>
    <w:rsid w:val="00A12220"/>
    <w:rsid w:val="00A1244E"/>
    <w:rsid w:val="00A147B7"/>
    <w:rsid w:val="00A22D30"/>
    <w:rsid w:val="00A23201"/>
    <w:rsid w:val="00A23744"/>
    <w:rsid w:val="00A26683"/>
    <w:rsid w:val="00A31B38"/>
    <w:rsid w:val="00A324B1"/>
    <w:rsid w:val="00A479D8"/>
    <w:rsid w:val="00A517C7"/>
    <w:rsid w:val="00A558C5"/>
    <w:rsid w:val="00A618BE"/>
    <w:rsid w:val="00A63E99"/>
    <w:rsid w:val="00A71254"/>
    <w:rsid w:val="00A726EB"/>
    <w:rsid w:val="00A839F2"/>
    <w:rsid w:val="00A96900"/>
    <w:rsid w:val="00A97ED3"/>
    <w:rsid w:val="00AA1D46"/>
    <w:rsid w:val="00AA4143"/>
    <w:rsid w:val="00AB7F6A"/>
    <w:rsid w:val="00AD2EA7"/>
    <w:rsid w:val="00AD3466"/>
    <w:rsid w:val="00AD6314"/>
    <w:rsid w:val="00AE4575"/>
    <w:rsid w:val="00AF61FD"/>
    <w:rsid w:val="00B22AC0"/>
    <w:rsid w:val="00B30DE7"/>
    <w:rsid w:val="00B358EA"/>
    <w:rsid w:val="00B6295F"/>
    <w:rsid w:val="00B63BA1"/>
    <w:rsid w:val="00B667E9"/>
    <w:rsid w:val="00BA60E4"/>
    <w:rsid w:val="00BB2E93"/>
    <w:rsid w:val="00BC1A62"/>
    <w:rsid w:val="00BD0540"/>
    <w:rsid w:val="00BD078E"/>
    <w:rsid w:val="00BD3CCF"/>
    <w:rsid w:val="00BD784A"/>
    <w:rsid w:val="00BF10FA"/>
    <w:rsid w:val="00BF4D7C"/>
    <w:rsid w:val="00C00485"/>
    <w:rsid w:val="00C00C82"/>
    <w:rsid w:val="00C021ED"/>
    <w:rsid w:val="00C17731"/>
    <w:rsid w:val="00C24F66"/>
    <w:rsid w:val="00C27635"/>
    <w:rsid w:val="00C27B07"/>
    <w:rsid w:val="00C41FC5"/>
    <w:rsid w:val="00C476FB"/>
    <w:rsid w:val="00C53F7A"/>
    <w:rsid w:val="00C576CE"/>
    <w:rsid w:val="00C62BB1"/>
    <w:rsid w:val="00C72D57"/>
    <w:rsid w:val="00C83346"/>
    <w:rsid w:val="00C854E8"/>
    <w:rsid w:val="00C90E39"/>
    <w:rsid w:val="00C93E9D"/>
    <w:rsid w:val="00CA368C"/>
    <w:rsid w:val="00CA583B"/>
    <w:rsid w:val="00CA5F0B"/>
    <w:rsid w:val="00CA7EEF"/>
    <w:rsid w:val="00CB4089"/>
    <w:rsid w:val="00CB4E3F"/>
    <w:rsid w:val="00CB7907"/>
    <w:rsid w:val="00CC0423"/>
    <w:rsid w:val="00CD6156"/>
    <w:rsid w:val="00CE5BA2"/>
    <w:rsid w:val="00CF2B77"/>
    <w:rsid w:val="00CF4303"/>
    <w:rsid w:val="00D010AB"/>
    <w:rsid w:val="00D02023"/>
    <w:rsid w:val="00D0438A"/>
    <w:rsid w:val="00D07C58"/>
    <w:rsid w:val="00D10CC4"/>
    <w:rsid w:val="00D16037"/>
    <w:rsid w:val="00D20FBB"/>
    <w:rsid w:val="00D27B77"/>
    <w:rsid w:val="00D40650"/>
    <w:rsid w:val="00D559F8"/>
    <w:rsid w:val="00D6496C"/>
    <w:rsid w:val="00D664B9"/>
    <w:rsid w:val="00D71AF3"/>
    <w:rsid w:val="00D76458"/>
    <w:rsid w:val="00D7764F"/>
    <w:rsid w:val="00D8202D"/>
    <w:rsid w:val="00D82CDA"/>
    <w:rsid w:val="00D973F2"/>
    <w:rsid w:val="00DA5AAE"/>
    <w:rsid w:val="00DB36F0"/>
    <w:rsid w:val="00DB68D3"/>
    <w:rsid w:val="00DC4882"/>
    <w:rsid w:val="00DC7AA8"/>
    <w:rsid w:val="00DD1148"/>
    <w:rsid w:val="00DD7C69"/>
    <w:rsid w:val="00DE2354"/>
    <w:rsid w:val="00DF30FF"/>
    <w:rsid w:val="00DF44DF"/>
    <w:rsid w:val="00E023F6"/>
    <w:rsid w:val="00E03DBB"/>
    <w:rsid w:val="00E13B29"/>
    <w:rsid w:val="00E5269F"/>
    <w:rsid w:val="00E55203"/>
    <w:rsid w:val="00E62422"/>
    <w:rsid w:val="00E62D6F"/>
    <w:rsid w:val="00E76F60"/>
    <w:rsid w:val="00E919E9"/>
    <w:rsid w:val="00E91AE0"/>
    <w:rsid w:val="00EB262E"/>
    <w:rsid w:val="00EC2B7A"/>
    <w:rsid w:val="00ED7FC8"/>
    <w:rsid w:val="00EE1038"/>
    <w:rsid w:val="00EE37C6"/>
    <w:rsid w:val="00F2146A"/>
    <w:rsid w:val="00F25A4E"/>
    <w:rsid w:val="00F33B71"/>
    <w:rsid w:val="00F359D4"/>
    <w:rsid w:val="00F365AF"/>
    <w:rsid w:val="00F40486"/>
    <w:rsid w:val="00F570FD"/>
    <w:rsid w:val="00F64907"/>
    <w:rsid w:val="00F71436"/>
    <w:rsid w:val="00F72707"/>
    <w:rsid w:val="00F73124"/>
    <w:rsid w:val="00F75DCC"/>
    <w:rsid w:val="00F93321"/>
    <w:rsid w:val="00F9645B"/>
    <w:rsid w:val="00FA02D4"/>
    <w:rsid w:val="00FA2E8C"/>
    <w:rsid w:val="00FA504B"/>
    <w:rsid w:val="00FA5154"/>
    <w:rsid w:val="00FB71BA"/>
    <w:rsid w:val="00FD519C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5287C6"/>
  <w15:docId w15:val="{37F4A585-2696-4DB7-BC30-665823F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20FBB"/>
    <w:pPr>
      <w:spacing w:after="560"/>
      <w:ind w:right="1132"/>
      <w:jc w:val="both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66662F"/>
    <w:pPr>
      <w:tabs>
        <w:tab w:val="left" w:pos="426"/>
      </w:tabs>
      <w:spacing w:before="240"/>
      <w:jc w:val="both"/>
    </w:pPr>
    <w:rPr>
      <w:rFonts w:eastAsia="SimSun" w:cs="Mangal"/>
      <w:i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1D46F0"/>
    <w:pPr>
      <w:spacing w:before="840"/>
      <w:ind w:left="29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358EA"/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F6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8D9"/>
    <w:pPr>
      <w:widowControl/>
      <w:suppressAutoHyphens w:val="0"/>
      <w:spacing w:after="160"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8D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F40486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801"/>
    <w:pPr>
      <w:widowControl w:val="0"/>
      <w:suppressAutoHyphens/>
      <w:spacing w:after="0"/>
      <w:jc w:val="both"/>
    </w:pPr>
    <w:rPr>
      <w:rFonts w:ascii="Times New Roman" w:eastAsia="SimSun" w:hAnsi="Times New Roman" w:cs="Mangal"/>
      <w:b/>
      <w:bCs/>
      <w:kern w:val="1"/>
      <w:szCs w:val="18"/>
      <w:lang w:eastAsia="zh-CN" w:bidi="hi-IN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801"/>
    <w:rPr>
      <w:rFonts w:asciiTheme="minorHAnsi" w:eastAsia="SimSun" w:hAnsiTheme="minorHAnsi" w:cs="Mangal"/>
      <w:b/>
      <w:bCs/>
      <w:kern w:val="1"/>
      <w:szCs w:val="18"/>
      <w:lang w:eastAsia="zh-CN" w:bidi="hi-IN"/>
      <w14:ligatures w14:val="standardContextual"/>
    </w:rPr>
  </w:style>
  <w:style w:type="paragraph" w:styleId="Revision">
    <w:name w:val="Revision"/>
    <w:hidden/>
    <w:uiPriority w:val="99"/>
    <w:semiHidden/>
    <w:rsid w:val="00FA504B"/>
    <w:rPr>
      <w:rFonts w:eastAsia="SimSun" w:cs="Mangal"/>
      <w:kern w:val="1"/>
      <w:sz w:val="24"/>
      <w:szCs w:val="21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82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36AD8B6-C44F-49D5-ACDC-EF7D19E3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899</Words>
  <Characters>5424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CDT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CDT</dc:creator>
  <cp:lastModifiedBy>Maria PINEDA CANTOS</cp:lastModifiedBy>
  <cp:revision>10</cp:revision>
  <cp:lastPrinted>2014-09-29T10:54:00Z</cp:lastPrinted>
  <dcterms:created xsi:type="dcterms:W3CDTF">2025-08-26T19:42:00Z</dcterms:created>
  <dcterms:modified xsi:type="dcterms:W3CDTF">2025-11-24T11:36:00Z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2025-08-26T19:42:54Z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e17ac368-0834-4c23-8823-b36419460c56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