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4A435C">
      <w:pPr>
        <w:jc w:val="center"/>
        <w:rPr>
          <w:rFonts w:eastAsia="Calibri"/>
          <w:b/>
          <w:bCs/>
          <w:sz w:val="32"/>
          <w:szCs w:val="32"/>
          <w:u w:val="single"/>
        </w:rPr>
      </w:pPr>
      <w:r>
        <w:rPr>
          <w:b/>
          <w:sz w:val="32"/>
          <w:u w:val="single"/>
        </w:rPr>
        <w:t>Νομολογία σχετικά με την οδηγία (ΕΕ) 2015/1535</w:t>
      </w:r>
    </w:p>
    <w:p w:rsidR="00794472" w:rsidRDefault="00794472" w:rsidP="004A435C">
      <w:pPr>
        <w:jc w:val="both"/>
      </w:pPr>
    </w:p>
    <w:p w:rsidR="008F01F8" w:rsidRDefault="00794472" w:rsidP="004A435C">
      <w:pPr>
        <w:jc w:val="both"/>
      </w:pPr>
      <w:r>
        <w:t xml:space="preserve">Το έγγραφο συνοψίζει τις σχετικότερες με το θέμα υποθέσεις του Ευρωπαϊκού Δικαστηρίου όσον αφορά στο πεδίο εφαρμογής και την εφαρμοσιμότητα τη οδηγίας (ΕΕ) 2015/1535 του Ευρωπαϊκού Κοινοβουλίου και του Συμβουλίου,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 Χρησιμεύει ως οδηγός για τους εκπροσώπους κρατών μελών, τον κλάδο της βιομηχανίας και τους πολίτες. Το έγγραφο δεν είναι εξαντλητικό και ενδέχεται να υπάρχουν και άλλες υποθέσεις σχετικές με τον εν λόγω τομέα. Το έγγραφο αποτελείται από τρία κύρια τμήματα και οι σχετικές υποθέσεις παρατίθενται με αντίστροφη χρονολογική σειρά. </w:t>
      </w:r>
    </w:p>
    <w:p w:rsidR="008F01F8" w:rsidRDefault="008F01F8" w:rsidP="004A435C">
      <w:pPr>
        <w:jc w:val="both"/>
      </w:pPr>
    </w:p>
    <w:p w:rsidR="008F01F8" w:rsidRPr="006255E9" w:rsidRDefault="00493910" w:rsidP="008F01F8">
      <w:pPr>
        <w:pStyle w:val="ListParagraph"/>
        <w:numPr>
          <w:ilvl w:val="0"/>
          <w:numId w:val="18"/>
        </w:numPr>
        <w:jc w:val="both"/>
        <w:rPr>
          <w:color w:val="000000" w:themeColor="text1"/>
        </w:rPr>
      </w:pPr>
      <w:hyperlink w:anchor="First_heading" w:history="1">
        <w:r w:rsidR="00CD6E6A">
          <w:rPr>
            <w:rStyle w:val="Hyperlink"/>
            <w:color w:val="000000" w:themeColor="text1"/>
          </w:rPr>
          <w:t>Πεδίο εφαρμογής της οδηγίας (EΕ) 2015/1535</w:t>
        </w:r>
      </w:hyperlink>
    </w:p>
    <w:bookmarkStart w:id="0" w:name="a_heading"/>
    <w:p w:rsidR="008F01F8" w:rsidRPr="006A4C68" w:rsidRDefault="006A4C68" w:rsidP="008F01F8">
      <w:pPr>
        <w:pStyle w:val="ListParagraph"/>
        <w:numPr>
          <w:ilvl w:val="1"/>
          <w:numId w:val="18"/>
        </w:numPr>
        <w:jc w:val="both"/>
        <w:rPr>
          <w:rStyle w:val="Hyperlink"/>
        </w:rPr>
      </w:pPr>
      <w:r>
        <w:fldChar w:fldCharType="begin"/>
      </w:r>
      <w:r>
        <w:instrText>HYPERLINK "a_heading"</w:instrText>
      </w:r>
      <w:r>
        <w:fldChar w:fldCharType="separate"/>
      </w:r>
      <w:r>
        <w:rPr>
          <w:rStyle w:val="Hyperlink"/>
        </w:rPr>
        <w:t>Τεχνικοί κανονισμοί</w:t>
      </w:r>
      <w:r>
        <w:fldChar w:fldCharType="end"/>
      </w:r>
    </w:p>
    <w:bookmarkEnd w:id="0"/>
    <w:p w:rsidR="008F01F8" w:rsidRDefault="006A4C68" w:rsidP="008F01F8">
      <w:pPr>
        <w:pStyle w:val="ListParagraph"/>
        <w:numPr>
          <w:ilvl w:val="1"/>
          <w:numId w:val="18"/>
        </w:numPr>
        <w:jc w:val="both"/>
      </w:pPr>
      <w:r>
        <w:fldChar w:fldCharType="begin"/>
      </w:r>
      <w:r>
        <w:instrText>HYPERLINK "a_heading"</w:instrText>
      </w:r>
      <w:r>
        <w:fldChar w:fldCharType="end"/>
      </w:r>
      <w:hyperlink w:anchor="b_heading" w:history="1">
        <w:r>
          <w:rPr>
            <w:rStyle w:val="Hyperlink"/>
          </w:rPr>
          <w:t>Υπηρεσίες της κοινωνίας των πληροφοριών</w:t>
        </w:r>
      </w:hyperlink>
    </w:p>
    <w:p w:rsidR="008F01F8" w:rsidRDefault="00493910" w:rsidP="008F01F8">
      <w:pPr>
        <w:pStyle w:val="ListParagraph"/>
        <w:numPr>
          <w:ilvl w:val="1"/>
          <w:numId w:val="18"/>
        </w:numPr>
        <w:jc w:val="both"/>
      </w:pPr>
      <w:hyperlink w:anchor="c_heading" w:history="1">
        <w:r w:rsidR="00CD6E6A">
          <w:rPr>
            <w:rStyle w:val="Hyperlink"/>
          </w:rPr>
          <w:t>Φορολογικά μέτρα</w:t>
        </w:r>
      </w:hyperlink>
    </w:p>
    <w:p w:rsidR="008F01F8" w:rsidRDefault="00493910" w:rsidP="008F01F8">
      <w:pPr>
        <w:pStyle w:val="ListParagraph"/>
        <w:numPr>
          <w:ilvl w:val="1"/>
          <w:numId w:val="18"/>
        </w:numPr>
        <w:jc w:val="both"/>
      </w:pPr>
      <w:hyperlink w:anchor="d_heading" w:history="1">
        <w:r w:rsidR="00CD6E6A">
          <w:rPr>
            <w:rStyle w:val="Hyperlink"/>
          </w:rPr>
          <w:t>Υποχρέωση για εκ νέου γνωστοποίηση</w:t>
        </w:r>
      </w:hyperlink>
    </w:p>
    <w:p w:rsidR="00AE51A7" w:rsidRPr="00AE51A7" w:rsidRDefault="00AE51A7" w:rsidP="00AE51A7">
      <w:pPr>
        <w:jc w:val="both"/>
      </w:pPr>
    </w:p>
    <w:p w:rsidR="008F01F8" w:rsidRDefault="00493910" w:rsidP="008F01F8">
      <w:pPr>
        <w:pStyle w:val="ListParagraph"/>
        <w:numPr>
          <w:ilvl w:val="0"/>
          <w:numId w:val="18"/>
        </w:numPr>
        <w:jc w:val="both"/>
      </w:pPr>
      <w:hyperlink w:anchor="Second_heading" w:history="1">
        <w:r w:rsidR="00CD6E6A">
          <w:rPr>
            <w:rStyle w:val="Hyperlink"/>
          </w:rPr>
          <w:t>Υποθέσεις μη γνωστοποίησης ή έκδοσης πριν από το τέλος της ανασταλτικής περιόδου</w:t>
        </w:r>
      </w:hyperlink>
      <w:r w:rsidR="00CD6E6A">
        <w:rPr>
          <w:rStyle w:val="Hyperlink"/>
        </w:rPr>
        <w:t xml:space="preserve"> (αδυναμία εφαρμογής)</w:t>
      </w:r>
    </w:p>
    <w:p w:rsidR="00AE51A7" w:rsidRPr="00AE51A7" w:rsidRDefault="00AE51A7" w:rsidP="00AE51A7">
      <w:pPr>
        <w:jc w:val="both"/>
      </w:pPr>
    </w:p>
    <w:p w:rsidR="008F01F8" w:rsidRPr="008F01F8" w:rsidRDefault="00493910" w:rsidP="008F01F8">
      <w:pPr>
        <w:pStyle w:val="ListParagraph"/>
        <w:numPr>
          <w:ilvl w:val="0"/>
          <w:numId w:val="18"/>
        </w:numPr>
        <w:jc w:val="both"/>
      </w:pPr>
      <w:hyperlink w:anchor="Third_heading" w:history="1">
        <w:r w:rsidR="00CD6E6A">
          <w:rPr>
            <w:rStyle w:val="Hyperlink"/>
          </w:rPr>
          <w:t>Αδυναμία εκπλήρωσης από ένα κράτος μέλος των υποχρεώσεών του</w:t>
        </w:r>
      </w:hyperlink>
    </w:p>
    <w:p w:rsidR="00794472" w:rsidRDefault="00794472" w:rsidP="004A435C">
      <w:pPr>
        <w:jc w:val="both"/>
      </w:pPr>
      <w:r>
        <w:t xml:space="preserve"> </w:t>
      </w:r>
    </w:p>
    <w:p w:rsidR="00794472" w:rsidRPr="00287FFE" w:rsidRDefault="00794472" w:rsidP="004A435C">
      <w:pPr>
        <w:jc w:val="both"/>
      </w:pPr>
    </w:p>
    <w:p w:rsidR="006255E9" w:rsidRDefault="006255E9" w:rsidP="00D26045">
      <w:pPr>
        <w:pStyle w:val="Style1"/>
        <w:jc w:val="left"/>
      </w:pPr>
      <w:r>
        <w:br w:type="page"/>
      </w:r>
    </w:p>
    <w:p w:rsidR="00DE6496" w:rsidRPr="00287FFE" w:rsidRDefault="008F01F8" w:rsidP="003C09E5">
      <w:pPr>
        <w:pStyle w:val="Style1"/>
      </w:pPr>
      <w:bookmarkStart w:id="1" w:name="First_heading"/>
      <w:r>
        <w:lastRenderedPageBreak/>
        <w:t>Ι. Πεδίο εφαρμογής της οδηγίας (EΕ) 2015/1535</w:t>
      </w:r>
    </w:p>
    <w:bookmarkEnd w:id="1"/>
    <w:p w:rsidR="00B65378" w:rsidRPr="00287FFE" w:rsidRDefault="00B65378" w:rsidP="004A435C">
      <w:pPr>
        <w:jc w:val="both"/>
        <w:rPr>
          <w:rFonts w:eastAsia="Calibri"/>
          <w:b/>
        </w:rPr>
      </w:pPr>
    </w:p>
    <w:p w:rsidR="00600D1E" w:rsidRPr="00160B40" w:rsidRDefault="008F01F8" w:rsidP="00600D1E">
      <w:pPr>
        <w:jc w:val="both"/>
        <w:rPr>
          <w:rFonts w:eastAsia="Calibri"/>
          <w:b/>
          <w:u w:val="single"/>
        </w:rPr>
      </w:pPr>
      <w:r>
        <w:rPr>
          <w:b/>
          <w:u w:val="single"/>
        </w:rPr>
        <w:t>α. Τεχνικοί κανονισμοί</w:t>
      </w:r>
    </w:p>
    <w:p w:rsidR="00600D1E" w:rsidRPr="00287FFE" w:rsidRDefault="00600D1E" w:rsidP="00600D1E">
      <w:pPr>
        <w:jc w:val="both"/>
        <w:rPr>
          <w:rFonts w:eastAsia="Calibri"/>
          <w:b/>
          <w:i/>
        </w:rPr>
      </w:pPr>
    </w:p>
    <w:p w:rsidR="00B83CD6" w:rsidRDefault="00B83CD6" w:rsidP="00600D1E">
      <w:pPr>
        <w:jc w:val="both"/>
        <w:rPr>
          <w:rFonts w:eastAsia="Calibri"/>
          <w:b/>
          <w:i/>
        </w:rPr>
      </w:pPr>
      <w:r>
        <w:rPr>
          <w:b/>
          <w:i/>
        </w:rPr>
        <w:t>Απόφαση της 26ης Σεπτεμβρίου 2018, Van Gennip κ.λπ., Υπόθεση C-137/17, EU:C: 2018:771</w:t>
      </w:r>
    </w:p>
    <w:p w:rsidR="00B83CD6" w:rsidRPr="00B83CD6" w:rsidRDefault="00160B40" w:rsidP="00600D1E">
      <w:pPr>
        <w:jc w:val="both"/>
        <w:rPr>
          <w:rFonts w:eastAsia="Calibri"/>
        </w:rPr>
      </w:pPr>
      <w:r>
        <w:t>- Οι εθνικές διατάξεις που επιβάλλουν στους αγοραστές την υποχρέωση κατοχής άδειας για την εμπορία προϊόντων δεν εμπίπτουν στην έννοια του «τεχνικής προδιαγραφής» κατά την έννοια της οδηγίας (ΕΕ) 2015/1535.</w:t>
      </w:r>
    </w:p>
    <w:p w:rsidR="00B83CD6" w:rsidRDefault="00B83CD6" w:rsidP="00600D1E">
      <w:pPr>
        <w:jc w:val="both"/>
        <w:rPr>
          <w:rFonts w:eastAsia="Calibri"/>
          <w:b/>
          <w:i/>
        </w:rPr>
      </w:pPr>
    </w:p>
    <w:p w:rsidR="00600D1E" w:rsidRPr="009613F1" w:rsidRDefault="00600D1E" w:rsidP="00600D1E">
      <w:pPr>
        <w:jc w:val="both"/>
        <w:rPr>
          <w:rFonts w:eastAsia="Calibri"/>
          <w:b/>
          <w:i/>
        </w:rPr>
      </w:pPr>
      <w:r>
        <w:rPr>
          <w:b/>
          <w:i/>
        </w:rPr>
        <w:t>Απόφαση της 1ης Φεβρουαρίου 2017, Município de Palmela, Υπόθεση C-144/16, EU:C:2017:76, σκέψη 23</w:t>
      </w:r>
    </w:p>
    <w:p w:rsidR="00600D1E" w:rsidRPr="00287FFE" w:rsidRDefault="00B15802" w:rsidP="00B15802">
      <w:pPr>
        <w:ind w:left="142" w:hanging="142"/>
        <w:jc w:val="both"/>
      </w:pPr>
      <w:r>
        <w:t>- Συνιστά τεχνικό κανόνα κατά την έννοια της οδηγίας 98/34 μια διάταξη που ορίζει απαιτήσεις ασφαλείας ως προς ένα προϊόν, για λόγους προστασίας των καταναλωτών, οι οποίες αφορούν τον κύκλο ζωής του προϊόντος μετά από τη διάθεσή του στην αγορά και επηρεάζουν σημαντικά τη σύνθεση και την εμπορία του εν λόγω προϊόντος. Η διάταξη αυτή εμπίπτει στην κατηγορία των «άλλων απαιτήσεων» κατά την έννοια τόσο του άρθρου 1 παράγραφος 3, της οδηγίας 83/189 όσο και του άρθρου 1 παράγραφος 4 της οδηγίας 98/34.</w:t>
      </w:r>
    </w:p>
    <w:p w:rsidR="00600D1E" w:rsidRPr="00287FFE" w:rsidRDefault="00B15802" w:rsidP="00B15802">
      <w:pPr>
        <w:ind w:left="142" w:hanging="142"/>
        <w:jc w:val="both"/>
      </w:pPr>
      <w:r>
        <w:t>- Ο κανονισμός που προβλέπει υποχρέωση αναρτήσεως, σε περισσότερα σημεία μιας παιδικής χαράς και χώρου αθλοπαιδιών, των στοιχείων σχετικά με τη μέγιστη χωρητικότητά τους δεν αποτελεί τεχνικό κανόνα κατά την έννοια της οδηγίας 98/34.</w:t>
      </w:r>
    </w:p>
    <w:p w:rsidR="00600D1E" w:rsidRPr="00287FFE" w:rsidRDefault="00600D1E" w:rsidP="00600D1E">
      <w:pPr>
        <w:jc w:val="both"/>
      </w:pPr>
    </w:p>
    <w:p w:rsidR="00600D1E" w:rsidRPr="00287FFE" w:rsidRDefault="00600D1E" w:rsidP="00600D1E">
      <w:pPr>
        <w:jc w:val="both"/>
        <w:rPr>
          <w:rFonts w:eastAsia="Calibri"/>
          <w:b/>
          <w:i/>
        </w:rPr>
      </w:pPr>
      <w:r>
        <w:rPr>
          <w:b/>
          <w:i/>
        </w:rPr>
        <w:t>Απόφαση της 27ης Οκτωβρίου 2016, James Elliott Construction, Υπόθεση C-613/14, EU:C:2016:821, σκέψη 72</w:t>
      </w:r>
    </w:p>
    <w:p w:rsidR="00600D1E" w:rsidRPr="00287FFE" w:rsidRDefault="00600D1E" w:rsidP="00600D1E">
      <w:pPr>
        <w:jc w:val="both"/>
        <w:rPr>
          <w:rFonts w:eastAsia="Calibri"/>
        </w:rPr>
      </w:pPr>
    </w:p>
    <w:p w:rsidR="00600D1E" w:rsidRPr="00287FFE" w:rsidRDefault="00160B40" w:rsidP="00600D1E">
      <w:pPr>
        <w:jc w:val="both"/>
        <w:rPr>
          <w:rFonts w:eastAsia="Calibri"/>
        </w:rPr>
      </w:pPr>
      <w:r>
        <w:t>- Εθνικές διατάξεις οι οποίες προβλέπουν, με την επιφύλαξη αντίθετης βουλήσεως των συμβαλλομένων μερών, σιωπηρούς συμβατικούς όρους που αφορούν την εμπορευσιμότητα και την καταλληλότητα προς χρήση ή την ποιότητα πωληθέντων προϊόντων, δεν συνιστούν «τεχνικοί κανόνες», υπό την έννοια του άρθρου 1 παράγραφος 11 της οδηγίας 98/34.</w:t>
      </w:r>
    </w:p>
    <w:p w:rsidR="00600D1E" w:rsidRPr="00287FFE" w:rsidRDefault="00600D1E" w:rsidP="00600D1E">
      <w:pPr>
        <w:jc w:val="both"/>
        <w:rPr>
          <w:rFonts w:eastAsia="Calibri"/>
          <w:highlight w:val="green"/>
        </w:rPr>
      </w:pPr>
    </w:p>
    <w:p w:rsidR="00600D1E" w:rsidRPr="00287FFE" w:rsidRDefault="00600D1E" w:rsidP="00600D1E">
      <w:pPr>
        <w:jc w:val="both"/>
        <w:rPr>
          <w:rFonts w:eastAsia="Calibri"/>
          <w:b/>
          <w:i/>
        </w:rPr>
      </w:pPr>
      <w:r>
        <w:rPr>
          <w:b/>
          <w:i/>
        </w:rPr>
        <w:t>Απόφαση της 13ης Οκτωβρίου 2016, M. και S., Υπόθεση C-303/15, EU:C:2016:771, σκέψεις 23 έως 31</w:t>
      </w:r>
    </w:p>
    <w:p w:rsidR="00600D1E" w:rsidRPr="00287FFE" w:rsidRDefault="00600D1E" w:rsidP="00600D1E">
      <w:pPr>
        <w:jc w:val="both"/>
      </w:pPr>
    </w:p>
    <w:p w:rsidR="00600D1E" w:rsidRPr="00287FFE" w:rsidRDefault="00B15802" w:rsidP="00B15802">
      <w:pPr>
        <w:ind w:left="142" w:hanging="142"/>
        <w:jc w:val="both"/>
      </w:pPr>
      <w:r>
        <w:t xml:space="preserve">- Οι διατάξεις εθνικού δικαίου που περιορίζονται στην πρόβλεψη των προϋποθέσεων για την εγκατάσταση των επιχειρήσεων ή την παροχή υπηρεσιών εκ μέρους αυτών, όπως διατάξεις που εξαρτούν την άσκηση επαγγελματικής δραστηριότητας από προηγούμενη έγκριση, δεν συνιστούν τεχνικούς κανόνες κατά την έννοια του άρθρου 1 παράγραφος 11 της οδηγίας 98/34. </w:t>
      </w:r>
    </w:p>
    <w:p w:rsidR="00600D1E" w:rsidRPr="00287FFE" w:rsidRDefault="00B15802" w:rsidP="00B15802">
      <w:pPr>
        <w:ind w:left="142" w:hanging="142"/>
        <w:jc w:val="both"/>
      </w:pPr>
      <w:r>
        <w:t xml:space="preserve">- Ένα εθνικό μέτρο που επιφυλάσσει στα καζίνο την αποκλειστικότητα της διοργανώσεως ορισμένων τυχερών παιγνίων συνιστά «τεχνικό κανόνα», κατά την έννοια του άρθρου 1 παράγραφος 11 της οδηγίας 98/34, στο μέτρο που είναι ικανό να επηρεάσει σημαντικά τη φύση ή την εμπορία των προϊόντων τα οποία χρησιμοποιούνται στο πλαίσιο αυτό και, αφετέρου, ότι η απαγόρευση εκμεταλλεύσεως ορισμένων προϊόντων εκτός των καζίνο είναι ικανή να επηρεάσει σημαντικά την εμπορία των προϊόντων αυτών, μειώνοντας τους διαύλους για την εκμετάλλευση των προϊόντων αυτών. Μια διάταξη, η οποία εξαρτά την άσκηση των δραστηριοτήτων τυχερών παιγνίων με ρουλέτα, χαρτιά τράπουλας, ζάρια καθώς και με αυτόματα μηχανήματα τυχερών παιγνίων από την κατοχή αδείας εκμεταλλεύσεως καζίνο, δεν συνιστά «τεχνική προδιαγραφή», κατά την έννοια του άρθρου 1 παράγραφος 3 της οδηγίας 98/34, εφόσον δεν αφορά το προϊόν ή τη συσκευασία του, αυτά καθαυτά, και δεν καθορίζει ένα από τα απαιτούμενα χαρακτηριστικά ενός προϊόντος. Η εν λόγω διάταξη δεν εμπίπτει στην κατηγορία των «κανόνων σχετικά με τις υπηρεσίες (της κοινωνίας των πληροφοριών)», κατά </w:t>
      </w:r>
      <w:r>
        <w:lastRenderedPageBreak/>
        <w:t xml:space="preserve">την έννοια του άρθρου 1 παράγραφος 5 της οδηγίας 98/34, εφόσον δεν αφορά «υπηρεσίες της κοινωνίας των πληροφοριών», κατά την έννοια του άρθρου 1 σημείο 2 της οδηγίας αυτής. </w:t>
      </w:r>
    </w:p>
    <w:p w:rsidR="00B010E1" w:rsidRPr="00287FFE" w:rsidRDefault="00B010E1" w:rsidP="00600D1E">
      <w:pPr>
        <w:jc w:val="both"/>
      </w:pPr>
    </w:p>
    <w:p w:rsidR="00295CA4" w:rsidRPr="00287FFE" w:rsidRDefault="00295CA4" w:rsidP="00295CA4">
      <w:pPr>
        <w:jc w:val="both"/>
        <w:rPr>
          <w:rFonts w:eastAsia="Calibri"/>
          <w:b/>
          <w:i/>
        </w:rPr>
      </w:pPr>
      <w:r>
        <w:rPr>
          <w:b/>
          <w:i/>
        </w:rPr>
        <w:t>Απόφαση της 11ης Ιουνίου 2015, Berlington Hungary κ.λπ., Υπόθεση C-98/14, EU:C:2015:386, σκέψεις 42 και 98-99</w:t>
      </w:r>
    </w:p>
    <w:p w:rsidR="00295CA4" w:rsidRPr="00287FFE" w:rsidRDefault="00295CA4" w:rsidP="00295CA4">
      <w:pPr>
        <w:jc w:val="both"/>
        <w:rPr>
          <w:rFonts w:eastAsia="Calibri"/>
        </w:rPr>
      </w:pPr>
    </w:p>
    <w:p w:rsidR="00295CA4" w:rsidRPr="00287FFE" w:rsidRDefault="00B15802" w:rsidP="00B15802">
      <w:pPr>
        <w:ind w:left="142" w:hanging="142"/>
        <w:jc w:val="both"/>
        <w:rPr>
          <w:rFonts w:eastAsia="Calibri"/>
        </w:rPr>
      </w:pPr>
      <w:r>
        <w:t>- Οι εθνικές νομοθετικές διατάξεις που πενταπλασιάζουν το ύψος ενός κατ’ αποκοπήν φόρου ο οποίος βαρύνει την εκμετάλλευση των παιγνιομηχανημάτων στις αίθουσες παιγνίων και επιπλέον εισάγουν αναλογικό φόρο επί της ίδιας δραστηριότητας δεν συνιστούν «τεχνικούς κανόνες» κατά την έννοια της οδηγίας 98/34.</w:t>
      </w:r>
    </w:p>
    <w:p w:rsidR="00295CA4" w:rsidRPr="00287FFE" w:rsidRDefault="00B15802" w:rsidP="00B15802">
      <w:pPr>
        <w:ind w:left="142" w:hanging="142"/>
        <w:jc w:val="both"/>
      </w:pPr>
      <w:r>
        <w:t>- Οι εθνικές νομοθετικές διατάξεις που απαγορεύουν την εκμετάλλευση των παιγνιομηχανημάτων εκτός των καζίνο συνιστούν «τεχνικούς κανόνες» κατά την έννοια της οδηγίας 98/34, στο μέτρο που είναι ικανό να επηρεάσει σημαντικά τη φύση ή την εμπορία των προϊόντων τα οποία χρησιμοποιούνται στο πλαίσιο αυτό.</w:t>
      </w:r>
    </w:p>
    <w:p w:rsidR="00295CA4" w:rsidRPr="00287FFE" w:rsidRDefault="00295CA4" w:rsidP="00295CA4">
      <w:pPr>
        <w:jc w:val="both"/>
      </w:pPr>
    </w:p>
    <w:p w:rsidR="00B15802" w:rsidRPr="00287FFE" w:rsidRDefault="00B15802" w:rsidP="00B15802">
      <w:pPr>
        <w:jc w:val="both"/>
        <w:rPr>
          <w:rFonts w:eastAsia="Calibri"/>
          <w:b/>
          <w:i/>
        </w:rPr>
      </w:pPr>
      <w:r>
        <w:rPr>
          <w:b/>
          <w:i/>
        </w:rPr>
        <w:t>Απόφαση της 10ης Ιουλίου 2014, Ivansson κ.λπ., Υπόθεση C-307/13, EU:C:2014:2058, σκέψεις 30-31, 46 έως 50</w:t>
      </w:r>
    </w:p>
    <w:p w:rsidR="00B15802" w:rsidRPr="00287FFE" w:rsidRDefault="00B15802" w:rsidP="00B15802">
      <w:pPr>
        <w:jc w:val="both"/>
        <w:rPr>
          <w:rFonts w:eastAsia="Calibri"/>
        </w:rPr>
      </w:pPr>
    </w:p>
    <w:p w:rsidR="00B15802" w:rsidRPr="00287FFE" w:rsidRDefault="00B15802" w:rsidP="00B15802">
      <w:pPr>
        <w:ind w:left="142" w:hanging="142"/>
        <w:jc w:val="both"/>
        <w:rPr>
          <w:rFonts w:eastAsia="Calibri"/>
        </w:rPr>
      </w:pPr>
      <w:r>
        <w:t>- Η παραπομπή αυτή σε ειδικότερους διοικητικούς κανόνες που αποτελούν «τεχνικές προδιαγραφές» ή «άλλες απαιτήσεις» θα μπορούσε να προσδώσει τον χαρακτήρα «de facto τεχνικού κανόνα» στο σχέδιο κοινοποίησης.</w:t>
      </w:r>
    </w:p>
    <w:p w:rsidR="00B15802" w:rsidRPr="00287FFE" w:rsidRDefault="00B15802" w:rsidP="00B15802">
      <w:pPr>
        <w:ind w:left="142" w:hanging="142"/>
        <w:jc w:val="both"/>
        <w:rPr>
          <w:rFonts w:eastAsia="Calibri"/>
        </w:rPr>
      </w:pPr>
      <w:r>
        <w:t xml:space="preserve">- Η ημερομηνία που επιλέγουν εν τέλει οι εθνικές αρχές για την έναρξη ισχύος εθνικού μέτρου υπόκειται στην υποχρέωση γνωστοποίησης στην Επιτροπή, όπως προβλέπεται στο άρθρο 8 παράγραφος 1 τρίτο εδάφιο της οδηγίας 98/34, εφόσον το χρονοδιάγραμμα εφαρμογής του εν λόγω εθνικού μέτρου έχει όντως τροποποιηθεί και η τροποποίηση αυτή είναι σημαντική, πράγμα που εναπόκειται στο αιτούν δικαστήριο να εξακριβώσει. </w:t>
      </w:r>
    </w:p>
    <w:p w:rsidR="00B15802" w:rsidRPr="00287FFE" w:rsidRDefault="00B15802" w:rsidP="00B15802">
      <w:pPr>
        <w:ind w:left="142" w:hanging="142"/>
        <w:jc w:val="both"/>
        <w:rPr>
          <w:rFonts w:eastAsia="Calibri"/>
        </w:rPr>
      </w:pPr>
      <w:r>
        <w:t>- Μια «σημαντική» συντόμευση του χρονοδιαγράμματος που είχε αρχικά επιλεχθεί από τις εθνικές αρχές για την έναρξη ισχύος και την εφαρμογή ενός τεχνικού κανόνα υπόκειται σε υποχρέωση γνωστοποιήσεως στην Επιτροπή, όπως προβλέπει το άρθρο 8 παράγραφος 1 τρίτο εδάφιο της οδηγίας 98/34. Η παράλειψη της γνωστοποιήσεως αυτής συνεπάγεται το ανεφάρμοστο του εν λόγω εθνικού μέτρου, με αποτέλεσμα να μην μπορεί να αντιταχθεί στους ιδιώτες.</w:t>
      </w:r>
    </w:p>
    <w:p w:rsidR="00B15802" w:rsidRPr="00287FFE" w:rsidRDefault="00B15802" w:rsidP="00295CA4">
      <w:pPr>
        <w:jc w:val="both"/>
        <w:rPr>
          <w:rFonts w:eastAsia="Calibri"/>
          <w:b/>
          <w:i/>
          <w:highlight w:val="green"/>
        </w:rPr>
      </w:pPr>
    </w:p>
    <w:p w:rsidR="00295CA4" w:rsidRPr="00287FFE" w:rsidRDefault="00295CA4" w:rsidP="00295CA4">
      <w:pPr>
        <w:jc w:val="both"/>
        <w:rPr>
          <w:rFonts w:eastAsia="Calibri"/>
          <w:b/>
          <w:i/>
        </w:rPr>
      </w:pPr>
      <w:r>
        <w:rPr>
          <w:b/>
          <w:i/>
        </w:rPr>
        <w:t>Απόφαση της 19ης Ιουλίου 2012, Fortuna κ.λπ., Υπόθεση C-213/11 και C-217/11, EU:C:2012:495, σκέψεις 25 και 40</w:t>
      </w:r>
    </w:p>
    <w:p w:rsidR="00295CA4" w:rsidRPr="00287FFE" w:rsidRDefault="00295CA4" w:rsidP="00295CA4">
      <w:pPr>
        <w:jc w:val="both"/>
      </w:pPr>
    </w:p>
    <w:p w:rsidR="00DB04B3" w:rsidRPr="00287FFE" w:rsidRDefault="00160B40" w:rsidP="00295CA4">
      <w:pPr>
        <w:jc w:val="both"/>
      </w:pPr>
      <w:r>
        <w:t xml:space="preserve">- Εθνικές διατάξεις οι οποίες θα μπορούσαν να έχουν ως αποτέλεσμα να περιορίζουν ή ακόμα να καθιστούν σταδιακά αδύνατη την εκμετάλλευση αυτόματων μηχανικών παιγνίων για μικρά κέρδη σε χώρους εκτός των καζίνο και των αιθουσών παιγνίων συνιστούν «τεχνικούς κανόνες» εφόσον αποδεικνύεται ότι οι εν λόγω διατάξεις συνιστούν όρους δυνάμενους να επηρεάσουν σημαντικά τη φύση ή την εμπορία του οικείου προϊόντος. </w:t>
      </w:r>
    </w:p>
    <w:p w:rsidR="00295CA4" w:rsidRPr="00287FFE" w:rsidRDefault="00160B40" w:rsidP="00295CA4">
      <w:pPr>
        <w:jc w:val="both"/>
      </w:pPr>
      <w:r>
        <w:t>- Ένα μέτρο που επιτρέπει την οργάνωση αυτόματων μηχανικών παιγνίων μόνο στα καζίνα, πρέπει να χαρακτηριστεί ως «τεχνικός κανόνας» υπό την έννοια του άρθρου 1 παράγραφος 11 της οδηγίας 98/34.</w:t>
      </w:r>
    </w:p>
    <w:p w:rsidR="00295CA4" w:rsidRPr="00287FFE" w:rsidRDefault="00295CA4" w:rsidP="00295CA4">
      <w:pPr>
        <w:jc w:val="both"/>
        <w:rPr>
          <w:rFonts w:eastAsia="Calibri"/>
          <w:b/>
          <w:i/>
          <w:highlight w:val="green"/>
        </w:rPr>
      </w:pPr>
    </w:p>
    <w:p w:rsidR="00295CA4" w:rsidRPr="00287FFE" w:rsidRDefault="00295CA4" w:rsidP="00176B6B">
      <w:pPr>
        <w:keepNext/>
        <w:keepLines/>
        <w:jc w:val="both"/>
        <w:rPr>
          <w:rFonts w:eastAsia="Calibri"/>
          <w:b/>
          <w:i/>
        </w:rPr>
      </w:pPr>
      <w:r>
        <w:rPr>
          <w:b/>
          <w:i/>
        </w:rPr>
        <w:lastRenderedPageBreak/>
        <w:t xml:space="preserve">Απόφαση της 14ης Απριλίου 2011, Vlaamse Dierenartsenvereniging VZW και Janssens, συνεκδικασθείσες υποθέσεις C-42/10, C-45/10 και C-57/10, EU:C:2011:253, σκέψεις 69, 70 </w:t>
      </w:r>
    </w:p>
    <w:p w:rsidR="00295CA4" w:rsidRPr="00287FFE" w:rsidRDefault="00295CA4" w:rsidP="00176B6B">
      <w:pPr>
        <w:keepNext/>
        <w:keepLines/>
        <w:jc w:val="both"/>
        <w:rPr>
          <w:rFonts w:eastAsia="Calibri"/>
        </w:rPr>
      </w:pPr>
    </w:p>
    <w:p w:rsidR="00295CA4" w:rsidRPr="00287FFE" w:rsidRDefault="00160B40" w:rsidP="00295CA4">
      <w:pPr>
        <w:jc w:val="both"/>
        <w:rPr>
          <w:rFonts w:eastAsia="Calibri"/>
        </w:rPr>
      </w:pPr>
      <w:r>
        <w:t>- Η οδηγία 98/34 δεν ισχύει για τα διαβατήρια ζώων συντροφιάς τα οποία δεν μπορούν να χαρακτηριστούν ως «εμπόρευμα» (δεν μπορούν να γίνουν το αντικείμενο εμπορικών συναλλαγών).</w:t>
      </w:r>
    </w:p>
    <w:p w:rsidR="00295CA4" w:rsidRPr="00287FFE" w:rsidRDefault="00160B40" w:rsidP="00295CA4">
      <w:pPr>
        <w:jc w:val="both"/>
        <w:rPr>
          <w:rFonts w:eastAsia="Calibri"/>
        </w:rPr>
      </w:pPr>
      <w:r>
        <w:t>- Οι εθνικές διατάξεις σχετικά με το διαβατήριο ζώου συντροφιάς και τη χρησιμοποίησή του ως αποδείξεως ταυτοποιήσεως και καταχωρίσεως των σκύλων, καθώς και τη χρήση αυτοκόλλητων ετικετών για να γίνουν οι μεταβολές σχετικά με την ταυτοποίηση του κυρίου και του ζώου, και, αφετέρου, εκείνες που αφορούν τον καθορισμό ενός μοναδικού αριθμού για τις γάτες και τα κουνάβια, δεν αποτελούν τεχνικούς κανόνες υπό την έννοια του άρθρου 1 της οδηγίας 98/34, οι οποίοι, κατά το άρθρο 8 της οδηγίας αυτής, πρέπει προηγουμένως να γνωστοποιηθούν στην Επιτροπή.</w:t>
      </w:r>
    </w:p>
    <w:p w:rsidR="00295CA4" w:rsidRPr="00287FFE" w:rsidRDefault="00295CA4" w:rsidP="00295CA4">
      <w:pPr>
        <w:jc w:val="both"/>
      </w:pPr>
    </w:p>
    <w:p w:rsidR="00295CA4" w:rsidRPr="00287FFE" w:rsidRDefault="00295CA4" w:rsidP="00295CA4">
      <w:pPr>
        <w:jc w:val="both"/>
        <w:rPr>
          <w:rFonts w:eastAsia="Calibri"/>
          <w:b/>
          <w:i/>
        </w:rPr>
      </w:pPr>
      <w:r>
        <w:rPr>
          <w:b/>
          <w:i/>
        </w:rPr>
        <w:t xml:space="preserve">Απόφαση της 8ης Νοεμβρίου 2007, Schwibbert, Υπόθεση C-20/05, EU:C:2007:652, σκέψη 45 </w:t>
      </w:r>
    </w:p>
    <w:p w:rsidR="00295CA4" w:rsidRPr="00287FFE" w:rsidRDefault="00295CA4" w:rsidP="00295CA4">
      <w:pPr>
        <w:jc w:val="both"/>
      </w:pPr>
    </w:p>
    <w:p w:rsidR="00295CA4" w:rsidRPr="00287FFE" w:rsidRDefault="00160B40" w:rsidP="00295CA4">
      <w:pPr>
        <w:jc w:val="both"/>
      </w:pPr>
      <w:r>
        <w:t>- Οι εθνικές διατάξεις οι οποίες καθιέρωσαν την υποχρέωση επιθέσεως επί των προϊόντων διακριτικού σημείου ενόψει της εμπορίας τους εντός του οικείου κράτους μέλους, συνιστούν τεχνικό κανόνα, η επίκληση του οποίου έναντι ιδιώτη είναι αδύνατη ελλείψει γνωστοποιήσεώς του στην Επιτροπή.</w:t>
      </w:r>
    </w:p>
    <w:p w:rsidR="00295CA4" w:rsidRPr="00287FFE" w:rsidRDefault="00295CA4" w:rsidP="00295CA4">
      <w:pPr>
        <w:jc w:val="center"/>
        <w:rPr>
          <w:rFonts w:eastAsia="Calibri"/>
          <w:b/>
          <w:i/>
        </w:rPr>
      </w:pPr>
    </w:p>
    <w:p w:rsidR="00295CA4" w:rsidRPr="00287FFE" w:rsidRDefault="00295CA4" w:rsidP="00295CA4">
      <w:pPr>
        <w:jc w:val="both"/>
        <w:rPr>
          <w:rFonts w:eastAsia="Calibri"/>
          <w:b/>
          <w:i/>
        </w:rPr>
      </w:pPr>
      <w:r>
        <w:rPr>
          <w:b/>
          <w:i/>
        </w:rPr>
        <w:t>Απόφαση της 26ης Οκτωβρίου 2006, Επιτροπή κατά Ελλάδας, Υπόθεση C-65/05, EU:C:2006:673, σκέψη 11</w:t>
      </w:r>
    </w:p>
    <w:p w:rsidR="00295CA4" w:rsidRPr="00287FFE" w:rsidRDefault="00295CA4" w:rsidP="00295CA4">
      <w:pPr>
        <w:jc w:val="both"/>
      </w:pPr>
    </w:p>
    <w:p w:rsidR="00295CA4" w:rsidRPr="00287FFE" w:rsidRDefault="00160B40" w:rsidP="00295CA4">
      <w:pPr>
        <w:jc w:val="both"/>
      </w:pPr>
      <w:r>
        <w:t>- Διατάξεις που απαγορεύουν την εγκατάσταση όλων των ηλεκτρικών, ηλεκτρομηχανικών και ηλεκτρονικών παιγνίων, συμπεριλαμβανομένων όλων των παιγνίων για ηλεκτρονικούς υπολογιστές, σε κάθε δημόσιο ή ιδιωτικό χώρο, εξαιρουμένων των καζίνων, καθώς και τη χρησιμοποίηση παιγνίων στους ηλεκτρονικούς υπολογιστές που βρίσκονται σε επιχειρήσεις παροχής υπηρεσιών Διαδικτύου, και επιβάλλουν για τη λειτουργία των επιχειρήσεων αυτών την έκδοση ειδικής αδείας πρέπει να χαρακτηρίζονται τεχνικοί κανόνες κατά την έννοια του άρθρου 1 παράγραφος 11 της οδηγίας 98/34.</w:t>
      </w:r>
    </w:p>
    <w:p w:rsidR="00295CA4" w:rsidRPr="00287FFE" w:rsidRDefault="00295CA4" w:rsidP="00295CA4">
      <w:pPr>
        <w:jc w:val="both"/>
        <w:rPr>
          <w:rFonts w:eastAsia="Calibri"/>
          <w:b/>
          <w:i/>
        </w:rPr>
      </w:pPr>
    </w:p>
    <w:p w:rsidR="00295CA4" w:rsidRPr="00287FFE" w:rsidRDefault="00295CA4" w:rsidP="00295CA4">
      <w:pPr>
        <w:jc w:val="both"/>
        <w:rPr>
          <w:rFonts w:eastAsia="Calibri"/>
          <w:b/>
          <w:i/>
        </w:rPr>
      </w:pPr>
      <w:r>
        <w:rPr>
          <w:b/>
          <w:i/>
        </w:rPr>
        <w:t>Απόφαση της 8ης Σεπτεμβρίου 2005, Lidl Italia, Υπόθεση C-303/04, EU:C:2005:528, σκέψη 14</w:t>
      </w:r>
    </w:p>
    <w:p w:rsidR="00295CA4" w:rsidRPr="00287FFE" w:rsidRDefault="00295CA4" w:rsidP="00295CA4"/>
    <w:p w:rsidR="00295CA4" w:rsidRPr="00287FFE" w:rsidRDefault="00160B40" w:rsidP="00295CA4">
      <w:r>
        <w:t>- Μια εθνική νομοθετική διάταξη η οποία απαγορεύει την εμπορία προϊόντων που δεν έχουν κατασκευαστεί από συγκεκριμένα υλικά αποτελεί τεχνικό κανόνα.</w:t>
      </w:r>
    </w:p>
    <w:p w:rsidR="00CE6151" w:rsidRPr="00287FFE" w:rsidRDefault="00CE6151" w:rsidP="00295CA4"/>
    <w:p w:rsidR="00B15802" w:rsidRPr="00287FFE" w:rsidRDefault="00B15802" w:rsidP="00B15802">
      <w:pPr>
        <w:jc w:val="both"/>
        <w:rPr>
          <w:rFonts w:eastAsia="Calibri"/>
          <w:b/>
          <w:i/>
        </w:rPr>
      </w:pPr>
      <w:r>
        <w:rPr>
          <w:b/>
          <w:i/>
        </w:rPr>
        <w:t>Απόφαση της 21ης Απριλίου 2005, Lindberg, Υπόθεση C</w:t>
      </w:r>
      <w:r>
        <w:noBreakHyphen/>
      </w:r>
      <w:r>
        <w:rPr>
          <w:b/>
          <w:i/>
        </w:rPr>
        <w:t>267/03, EU:C:2005:246, σκέψεις 80, 85, 95</w:t>
      </w:r>
    </w:p>
    <w:p w:rsidR="00B15802" w:rsidRPr="00287FFE" w:rsidRDefault="00B15802" w:rsidP="00B15802">
      <w:pPr>
        <w:jc w:val="both"/>
      </w:pPr>
    </w:p>
    <w:p w:rsidR="00B15802" w:rsidRPr="00287FFE" w:rsidRDefault="00DB04B3" w:rsidP="00DB04B3">
      <w:pPr>
        <w:ind w:left="142" w:hanging="142"/>
        <w:jc w:val="both"/>
      </w:pPr>
      <w:r>
        <w:t>- Ο νέος ορισμός, στο πλαίσιο εθνικής νομοθεσίας, μιας υπηρεσίας σχετικής με τον σχεδιασμό προϊόντος μπορεί να αποτελέσει τεχνικό κανόνα ο οποίος χρήζει κοινοποιήσεως, αν αυτή η νέα ρύθμιση δεν περιορίζεται στο να αναπαραγάγει ή να αντικαταστήσει, χωρίς την προσθήκη νέων ή συμπληρωματικών απαιτήσεων, υφιστάμενους τεχνικούς κανόνες κοινοποιηθέντες προσηκόντως στην Επιτροπή, εφόσον οι κανόνες αυτοί θεσπίστηκαν πριν από τη θέση σε ισχύ, στο οικείο κράτος μέλος, της οδηγίας 83/189.</w:t>
      </w:r>
    </w:p>
    <w:p w:rsidR="00B15802" w:rsidRPr="00287FFE" w:rsidRDefault="00DB04B3" w:rsidP="00DB04B3">
      <w:pPr>
        <w:ind w:left="142" w:hanging="142"/>
        <w:jc w:val="both"/>
      </w:pPr>
      <w:r>
        <w:t>- Η μετάβαση, στο πλαίσιο της εθνικής κανονιστικής ρυθμίσεως, από μια απαίτηση αδείας σε ένα καθεστώς απαγορεύσεως μπορεί να αποτελέσει κρίσιμο στοιχείο από απόψεως της υποχρεώσεως κοινοποιήσεως.</w:t>
      </w:r>
    </w:p>
    <w:p w:rsidR="00B15802" w:rsidRPr="00287FFE" w:rsidRDefault="00DB04B3" w:rsidP="00DB04B3">
      <w:pPr>
        <w:ind w:left="142" w:hanging="142"/>
        <w:jc w:val="both"/>
        <w:rPr>
          <w:rFonts w:eastAsia="Calibri"/>
          <w:b/>
          <w:i/>
        </w:rPr>
      </w:pPr>
      <w:r>
        <w:lastRenderedPageBreak/>
        <w:t>- Η αξία του προϊόντος ή της υπηρεσίας ή οι διαστάσεις της αγοράς του προϊόντος ή της υπηρεσίας αποτελούν περιστάσεις οι οποίες δεν ασκούν επιρροή από απόψεως της υποχρεώσεως κοινοποιήσεως που προβλέπει η οδηγία.</w:t>
      </w:r>
      <w:r>
        <w:rPr>
          <w:b/>
          <w:i/>
        </w:rPr>
        <w:t xml:space="preserve"> </w:t>
      </w:r>
    </w:p>
    <w:p w:rsidR="00B15802" w:rsidRPr="00287FFE" w:rsidRDefault="00DB04B3" w:rsidP="00DB04B3">
      <w:pPr>
        <w:ind w:left="142" w:hanging="142"/>
        <w:jc w:val="both"/>
      </w:pPr>
      <w:r>
        <w:t>- Εθνικές διατάξεις που περιλαμβάνουν απαγόρευση διοργανώσεως τυχερών παιγνίων μέσω της εκμεταλλεύσεως ορισμένων αυτόματων μηχανημάτων παιγνίων μπορούν να αποτελέσουν τεχνικό κανόνα κατά την έννοια της οδηγίας 83/189, εφόσον αποδειχθεί ότι το περιεχόμενο της επίδικης απαγορεύσεως δεν αφήνει περιθώριο για καμία άλλη χρήση του προϊόντος, πλην των ευλόγως αναμενόμενων για το οικείο προϊόν αμιγώς περιθωριακών χρήσεων, ή, αν δεν συντρέχει αυτή η προϋπόθεση, εφόσον αποδειχθεί ότι η εν λόγω απαγόρευση μπορεί να επηρεάσει σημαντικά τη σύνθεση, τη φύση ή την εμπορία του εν λόγω προϊόντος.</w:t>
      </w:r>
    </w:p>
    <w:p w:rsidR="00CE6151" w:rsidRPr="00287FFE" w:rsidRDefault="00CE6151" w:rsidP="00295CA4"/>
    <w:p w:rsidR="00CE6151" w:rsidRPr="00287FFE" w:rsidRDefault="00CE6151" w:rsidP="00CE6151">
      <w:pPr>
        <w:rPr>
          <w:rFonts w:eastAsia="Calibri"/>
          <w:b/>
          <w:i/>
        </w:rPr>
      </w:pPr>
      <w:r>
        <w:rPr>
          <w:b/>
          <w:i/>
        </w:rPr>
        <w:t>Απόφαση της 6ης Ιουνίου 2002, Sapod Audic, Υπόθεση C-159/00, EU:C:2002:343, σκέψεις 30, 39</w:t>
      </w:r>
    </w:p>
    <w:p w:rsidR="00CE6151" w:rsidRPr="00287FFE" w:rsidRDefault="00CE6151" w:rsidP="00CE6151">
      <w:pPr>
        <w:jc w:val="both"/>
      </w:pPr>
    </w:p>
    <w:p w:rsidR="00CE6151" w:rsidRPr="00B010E1" w:rsidRDefault="00160B40" w:rsidP="00B010E1">
      <w:pPr>
        <w:jc w:val="both"/>
      </w:pPr>
      <w:r>
        <w:t>- Μια εθνική διάταξη που θεσπίζει την υποχρέωση προσδιορισμού της ταυτότητας των συσκευασιών αποτελεί τεχνικό κανόνα που πρέπει να κοινοποιείται στο μέτρο που συνεπάγεται υποχρέωση μαρκαρίσματος ή επισημάνσεως των συσκευασιών αυτών.</w:t>
      </w:r>
    </w:p>
    <w:p w:rsidR="00CE6151" w:rsidRPr="00287FFE" w:rsidRDefault="00CE6151" w:rsidP="00295CA4"/>
    <w:p w:rsidR="00B15802" w:rsidRPr="00287FFE" w:rsidRDefault="00B15802" w:rsidP="00B15802">
      <w:pPr>
        <w:rPr>
          <w:rFonts w:eastAsia="Calibri"/>
          <w:b/>
          <w:i/>
        </w:rPr>
      </w:pPr>
      <w:r>
        <w:rPr>
          <w:b/>
          <w:i/>
        </w:rPr>
        <w:t>Απόφαση της 8ης Μαρτίου 2001, Van der Burg, Υπόθεση C-278/99, EU:C:2001:143, σκέψη 20</w:t>
      </w:r>
    </w:p>
    <w:p w:rsidR="00B15802" w:rsidRPr="00287FFE" w:rsidRDefault="00B15802" w:rsidP="00B15802"/>
    <w:p w:rsidR="00B15802" w:rsidRPr="00287FFE" w:rsidRDefault="00160B40" w:rsidP="00B15802">
      <w:pPr>
        <w:jc w:val="both"/>
      </w:pPr>
      <w:r>
        <w:t xml:space="preserve">- Μια ρύθμιση η οποία απαγορεύει την εμπορική διαφήμιση και δεν καθορίζει τα απαιτούμενα χαρακτηριστικά ενός προϊόντος δεν αποτελεί τεχνικό κανόνα υπό την έννοια της οδηγίας 83/189 και ως εκ τούτου δεν μπορεί να θεωρείται ως τεχνικός κανόνας που εμπίπτει στο πεδίο εφαρμογής της εν λόγω οδηγίας. </w:t>
      </w:r>
    </w:p>
    <w:p w:rsidR="00B15802" w:rsidRPr="00287FFE" w:rsidRDefault="00B15802" w:rsidP="00CE6151">
      <w:pPr>
        <w:jc w:val="both"/>
        <w:rPr>
          <w:b/>
          <w:i/>
          <w:highlight w:val="green"/>
        </w:rPr>
      </w:pPr>
    </w:p>
    <w:p w:rsidR="00B15802" w:rsidRPr="00287FFE" w:rsidRDefault="00B15802" w:rsidP="00B15802">
      <w:pPr>
        <w:jc w:val="both"/>
        <w:rPr>
          <w:rFonts w:eastAsia="Calibri"/>
          <w:b/>
          <w:i/>
        </w:rPr>
      </w:pPr>
      <w:r>
        <w:rPr>
          <w:b/>
          <w:i/>
        </w:rPr>
        <w:t>Απόφαση της 22ας Ιανουαρίου 2001, Canal Satélite Digital, Υπόθεση C-390/99, EU:C:2002:34, σκέψεις 47, 48</w:t>
      </w:r>
    </w:p>
    <w:p w:rsidR="00B15802" w:rsidRPr="00287FFE" w:rsidRDefault="00B15802" w:rsidP="00B15802">
      <w:pPr>
        <w:jc w:val="both"/>
        <w:rPr>
          <w:rFonts w:ascii="Helvetica" w:hAnsi="Helvetica" w:cs="Helvetica"/>
          <w:sz w:val="21"/>
          <w:szCs w:val="21"/>
        </w:rPr>
      </w:pPr>
    </w:p>
    <w:p w:rsidR="00B15802" w:rsidRPr="00287FFE" w:rsidRDefault="00DB04B3" w:rsidP="00DB04B3">
      <w:pPr>
        <w:ind w:left="142" w:hanging="142"/>
        <w:jc w:val="both"/>
      </w:pPr>
      <w:r>
        <w:t>- Μια εθνική κανονιστική ρύθμιση που επιβάλλει στους φορείς παροχής υπηρεσιών προσβάσεως υπό όρους την υποχρέωση εγγραφής σε μητρώο των συσκευών, εξοπλισμών, αποκωδικοποιητών ή συστημάτων ψηφιακής εκπομπής και λήψεως τηλεοπτικών σημάτων μέσω δορυφόρου, τις οποίες προτίθενται να θέσουν σε εμπορία, και τη χορήγηση προηγουμένης εγκρίσεως για τα προϊόντα αυτά, προτού να είναι σε θέση να τα θέσουν σε εμπορία, αποτελεί τεχνικό κανόνα.</w:t>
      </w:r>
    </w:p>
    <w:p w:rsidR="00B15802" w:rsidRDefault="00DB04B3" w:rsidP="00DB04B3">
      <w:pPr>
        <w:ind w:left="142" w:hanging="142"/>
        <w:jc w:val="both"/>
      </w:pPr>
      <w:r>
        <w:t>- Οι εθνικές κανονιστικές ρυθμίσεις με τις οποίες τα κράτη μέλη συμμορφώνονται με κοινοτική πράξη αναγκαστικού χαρακτήρα που έχει ως αποτέλεσμα την έκδοση τεχνικών προδιαγραφών υφίσταται υποχρέωση κοινοποιήσεως βάσει της οδηγίας 83/189, στο μέτρο που η εθνική κανονιστική ρύθμιση μεταφέρει στο εσωτερικό δίκαιο πράξη της Ένωσης.</w:t>
      </w:r>
    </w:p>
    <w:p w:rsidR="00403A6E" w:rsidRDefault="00403A6E" w:rsidP="00DB04B3">
      <w:pPr>
        <w:ind w:left="142" w:hanging="142"/>
        <w:jc w:val="both"/>
      </w:pPr>
    </w:p>
    <w:p w:rsidR="0017652C" w:rsidRPr="0017652C" w:rsidRDefault="0017652C" w:rsidP="0017652C">
      <w:pPr>
        <w:jc w:val="both"/>
        <w:rPr>
          <w:rFonts w:eastAsia="Calibri"/>
          <w:b/>
          <w:i/>
        </w:rPr>
      </w:pPr>
      <w:r>
        <w:rPr>
          <w:b/>
          <w:i/>
        </w:rPr>
        <w:t>Απόφαση της 16ης Νοεμβρίου 2000, Donkersteeg, Υπόθεση C-37/99, EU:C:2000:636, σκέψεις 21, 30 έως 34</w:t>
      </w:r>
    </w:p>
    <w:p w:rsidR="0017652C" w:rsidRPr="0017652C" w:rsidRDefault="0017652C" w:rsidP="0017652C">
      <w:pPr>
        <w:jc w:val="both"/>
      </w:pPr>
    </w:p>
    <w:p w:rsidR="0017652C" w:rsidRPr="0017652C" w:rsidRDefault="0017652C" w:rsidP="0017652C">
      <w:pPr>
        <w:ind w:left="142" w:hanging="142"/>
        <w:jc w:val="both"/>
      </w:pPr>
      <w:r>
        <w:t>- Όσον αφορά τα γεωργικά προϊόντα, η τεχνική προδιαγραφή είναι η προδιαγραφή που περιλαμβάνεται σε έγγραφο με το οποίο ορίζονται τα απαιτούμενα χαρακτηριστικά του προϊόντος ή οι μέθοδοι και διαδικασίες παραγωγής του.</w:t>
      </w:r>
    </w:p>
    <w:p w:rsidR="0017652C" w:rsidRPr="0017652C" w:rsidRDefault="0017652C" w:rsidP="0017652C">
      <w:pPr>
        <w:ind w:left="142" w:hanging="142"/>
        <w:jc w:val="both"/>
      </w:pPr>
      <w:r>
        <w:t>- Μια εθνική διάταξη η οποία δεν θεσπίζει κανόνα που ορίζει κάποιο «απαιτούμενο χαρακτηριστικό» των σχετικών προϊόντων ούτε μια μέθοδο ή διαδικασία παραγωγής αυτών των γεωργικών προϊόντων δεν αποτελεί τεχνική προδιαγραφή υπό την έννοια της οδηγίας 83/189 και δεν μπορεί να αποτελεί τεχνικό κανόνα υπό την έννοια της οδηγίας αυτής.</w:t>
      </w:r>
    </w:p>
    <w:p w:rsidR="0017652C" w:rsidRPr="0017652C" w:rsidRDefault="0017652C" w:rsidP="0017652C">
      <w:pPr>
        <w:ind w:left="142" w:hanging="142"/>
        <w:jc w:val="both"/>
      </w:pPr>
      <w:r>
        <w:lastRenderedPageBreak/>
        <w:t>- Μια εθνική διάταξη, απαιτώντας μόνο να υπάρχουν στο χοιροτροφείο κάδοι απολυμάνσεως ή είδη καθαρισμού που ενδείκνυνται για την απολύμανση των υποδημάτων δεν έχει σχέση με αυτή καθαυτή την παραγωγή του σχετικού γεωργικού προϊόντος και δεν αποτελεί τεχνικό κανόνα.</w:t>
      </w:r>
    </w:p>
    <w:p w:rsidR="0017652C" w:rsidRDefault="0017652C" w:rsidP="0017652C">
      <w:pPr>
        <w:ind w:left="142" w:hanging="142"/>
        <w:jc w:val="both"/>
      </w:pPr>
      <w:r>
        <w:t>- Η διάταξη που επιβάλλει ακριβείς και λεπτομερείς κανόνες περί εμβολιασμού αποτελεί τεχνική προδιαγραφή, εφόσον οι κανόνες περί εμβολιασμού συνδέονται με αυτή καθαυτή την παραγωγή του σχετικού γεωργικού προϊόντος. Ωστόσο, εάν η διάταξη δεν επιβάλλει περιορισμούς για την εμπορία ή για τη χρησιμοποίηση των προϊόντων που δεν συμμορφώνονται με τους κανόνες εμβολιασμού, δεν αποτελεί τεχνικό κανόνα που πρέπει να ανακοινωθεί στην Επιτροπή πριν από τη θέσπισή του.</w:t>
      </w:r>
    </w:p>
    <w:p w:rsidR="0017652C" w:rsidRDefault="0017652C" w:rsidP="0017652C">
      <w:pPr>
        <w:ind w:left="142" w:hanging="142"/>
        <w:jc w:val="both"/>
      </w:pPr>
    </w:p>
    <w:p w:rsidR="0017652C" w:rsidRPr="00287FFE" w:rsidRDefault="0017652C" w:rsidP="0017652C">
      <w:pPr>
        <w:rPr>
          <w:rFonts w:eastAsia="Calibri"/>
          <w:b/>
          <w:i/>
        </w:rPr>
      </w:pPr>
      <w:r>
        <w:rPr>
          <w:b/>
          <w:i/>
        </w:rPr>
        <w:t>Απόφαση της 12ης Οκτωβρίου 2000, Snellers, Υπόθεση C-314/98, EU:C:2000:557, σκέψεις 37 έως 40</w:t>
      </w:r>
    </w:p>
    <w:p w:rsidR="0017652C" w:rsidRPr="00287FFE" w:rsidRDefault="0017652C" w:rsidP="0017652C">
      <w:pPr>
        <w:rPr>
          <w:rFonts w:ascii="Helvetica" w:hAnsi="Helvetica" w:cs="Helvetica"/>
          <w:sz w:val="21"/>
          <w:szCs w:val="21"/>
          <w:highlight w:val="yellow"/>
        </w:rPr>
      </w:pPr>
    </w:p>
    <w:p w:rsidR="0017652C" w:rsidRPr="00287FFE" w:rsidRDefault="0017652C" w:rsidP="0017652C">
      <w:pPr>
        <w:jc w:val="both"/>
      </w:pPr>
      <w:r>
        <w:t>- Οι τεχνικές προδιαγραφές υπό την έννοια της οδηγίας 83/189 πρέπει να αναφέρονται στο προϊόν ως τέτοιο. Μια κανονιστική απόφαση που προβλέπει κριτήρια για τον καθορισμό της ημερομηνίας κατά την οποία ένα όχημα θεωρείται ότι έλαβε για πρώτη φορά έγκριση για τη θέση του σε κυκλοφορία στη δημόσια οδό, προκειμένου να καταρτιστεί πιστοποιητικό ταξινομήσεως δεν ορίζει κανένα απαιτούμενο χαρακτηριστικό του προϊόντος ως τέτοιου και επομένως δεν μπορεί να χαρακτηριστεί ως τεχνικός κανόνας που εμπίπτει στο πεδίο εφαρμογής της οδηγίας αυτής και δεν πρέπει να κοινοποιείται.</w:t>
      </w:r>
    </w:p>
    <w:p w:rsidR="0017652C" w:rsidRPr="00287FFE" w:rsidRDefault="0017652C" w:rsidP="0017652C">
      <w:pPr>
        <w:jc w:val="both"/>
      </w:pPr>
    </w:p>
    <w:p w:rsidR="0017652C" w:rsidRPr="00287FFE" w:rsidRDefault="0017652C" w:rsidP="0017652C">
      <w:pPr>
        <w:rPr>
          <w:rFonts w:eastAsia="Calibri"/>
          <w:b/>
          <w:i/>
        </w:rPr>
      </w:pPr>
      <w:r>
        <w:rPr>
          <w:b/>
          <w:i/>
        </w:rPr>
        <w:t>Απόφαση της 26ης Σεπτεμβρίου 2000, Unilever, Υπόθεση C-443/98, EU:C:2000:496, σκέψεις 26-30</w:t>
      </w:r>
    </w:p>
    <w:p w:rsidR="0017652C" w:rsidRPr="00287FFE" w:rsidRDefault="0017652C" w:rsidP="0017652C">
      <w:pPr>
        <w:rPr>
          <w:rFonts w:ascii="Helvetica" w:hAnsi="Helvetica" w:cs="Helvetica"/>
          <w:sz w:val="21"/>
          <w:szCs w:val="21"/>
        </w:rPr>
      </w:pPr>
    </w:p>
    <w:p w:rsidR="0017652C" w:rsidRPr="00287FFE" w:rsidRDefault="0017652C" w:rsidP="0017652C">
      <w:pPr>
        <w:ind w:left="142" w:hanging="142"/>
        <w:jc w:val="both"/>
      </w:pPr>
      <w:r>
        <w:t xml:space="preserve">- Μια διάταξη που διέπει την επισήμανση η οποία αναγράφει την προέλευση του ελαιόλαδου περιέχει κανόνες που πρέπει να ταξινομούνται ως «τεχνικές προδιαγραφές» κατά την έννοια της οδηγίας 98/34. </w:t>
      </w:r>
    </w:p>
    <w:p w:rsidR="0017652C" w:rsidRPr="00287FFE" w:rsidRDefault="0017652C" w:rsidP="0017652C">
      <w:pPr>
        <w:ind w:left="142" w:hanging="142"/>
        <w:jc w:val="both"/>
      </w:pPr>
      <w:r>
        <w:t xml:space="preserve">- Όταν η οδηγία της ΕΕ αφήνει στα κράτη μέλη ένα περιθώριο κινήσεων, τα εθνικά μέτρα που εγκρίνονται με βάση μια τέτοια οδηγία δεν μπορούν να θεωρούνται ως εθνικές διατάξεις που συμμορφώνονται με πράξη αναγκαστικού χαρακτήρα της Ένωσης, κατά την έννοια του άρθρου 10, παράγραφος 1, πρώτη περίπτωση, της οδηγίας 83/189. </w:t>
      </w:r>
    </w:p>
    <w:p w:rsidR="0017652C" w:rsidRPr="00287FFE" w:rsidRDefault="0017652C" w:rsidP="0017652C">
      <w:pPr>
        <w:jc w:val="both"/>
      </w:pPr>
    </w:p>
    <w:p w:rsidR="0017652C" w:rsidRPr="00287FFE" w:rsidRDefault="0017652C" w:rsidP="0017652C">
      <w:pPr>
        <w:ind w:right="-86"/>
        <w:rPr>
          <w:rFonts w:eastAsia="Calibri"/>
          <w:b/>
          <w:i/>
        </w:rPr>
      </w:pPr>
      <w:r>
        <w:rPr>
          <w:b/>
          <w:i/>
        </w:rPr>
        <w:t>Απόφαση της 3ης Ιουνίου 1999, Colim, Υπόθεση C-33/97, EU:C:1999:274, σκέψεις 22, 27 έως 30, 36</w:t>
      </w:r>
    </w:p>
    <w:p w:rsidR="0017652C" w:rsidRPr="00287FFE" w:rsidRDefault="0017652C" w:rsidP="0017652C">
      <w:pPr>
        <w:jc w:val="both"/>
        <w:rPr>
          <w:highlight w:val="yellow"/>
        </w:rPr>
      </w:pPr>
    </w:p>
    <w:p w:rsidR="0017652C" w:rsidRPr="00287FFE" w:rsidRDefault="0017652C" w:rsidP="0017652C">
      <w:pPr>
        <w:ind w:left="142" w:hanging="142"/>
        <w:jc w:val="both"/>
      </w:pPr>
      <w:r>
        <w:t>- Δεν μπορεί να θεωρηθεί ως «σχέδιο» τεχνικού κανόνα ούτε, κατά συνέπεια, να καλύπτεται από την υποχρέωση κοινοποιήσεως ένα εθνικό μέτρο το οποίο, χωρίς να προσθέτει νέες ή συμπληρωματικές διατάξεις, επαναλαμβάνει ή αντικαθιστά ήδη υφιστάμενους τεχνικούς κανόνες, οι οποίοι, εφόσον θεσπίστηκαν μετά την έναρξη της ισχύος της οδηγίας 83/189, έχουν δεόντως κοινοποιηθεί στην Επιτροπή.</w:t>
      </w:r>
    </w:p>
    <w:p w:rsidR="0017652C" w:rsidRPr="00287FFE" w:rsidRDefault="0017652C" w:rsidP="0017652C">
      <w:pPr>
        <w:ind w:left="142" w:hanging="142"/>
        <w:jc w:val="both"/>
      </w:pPr>
      <w:r>
        <w:t xml:space="preserve">- Η κανονιστική ρύθμιση κράτους μέλους η οποία εξαρτά την εντός του εν λόγω κράτους διάθεση στο εμπόριο προϊόντων από τη χρήση μιας ή περισσοτέρων συγκεκριμένων γλωσσών για τις ενδείξεις που αποτελούν υποχρεωτικά το αντικείμενο της επισημάνσεως, των οδηγιών χρήσεως ή και του εγγράφου της εγγυήσεως μπορεί να θεωρηθεί ως «προδιαγραφή που ισχύει για το προϊόν όσον αφορά την ορολογία, τα σύμβολα ... τη συσκευασία, το μαρκάρισμα και το ετικετάρισμα» υπό την έννοια του άρθρου 1, παράγραφος 1 της οδηγίας 83/189 και, κατά συνέπεια, να συνιστά τεχνικό κανόνα υπό την έννοια της οδηγίας αυτής. Εντούτοις, πρέπει να γίνει διάκριση της υποχρεώσεως παροχής στον καταναλωτή ορισμένων πληροφοριών για κάποιο προϊόν, η οποία εκτελείται με παράθεση σχετικών ενδείξεων επί του οικείου προϊόντος </w:t>
      </w:r>
      <w:r>
        <w:lastRenderedPageBreak/>
        <w:t xml:space="preserve">ή με έγγραφα που δίδονται μαζί με το προϊόν, όπως οι οδηγίες χρήσεως και η εγγύηση, από την υποχρέωση να παρέχονται οι πληροφορίες αυτές σε συγκεκριμένη γλώσσα. Σε αντίθεση προς την πρώτη υποχρέωση, η οποία αφορά άμεσα το προϊόν, η δεύτερη αφορά μόνον τον προσδιορισμό της γλώσσας στην οποία πρέπει να εκπληρώνεται η πρώτη. Η υποχρέωση παροχής πληροφοριών τις οποίες οι επιχειρηματίες πρέπει να παρέχουν στον αγοραστή ή στον τελικό καταναλωτή σε συγκεκριμένη γλώσσα, επομένως, δεν αποτελεί αυτή καθαυτή «τεχνικό κανόνα» κατά την έννοια της οδηγίας 83/189, αλλά παρακολουθηματικού χαρακτήρα κανόνα ο οποίος είναι απαραίτητος για να μπορούν οι ενδιαφερόμενοι να αντιλαμβάνονται αποτελεσματικά τις σχετικές πληροφορίες. </w:t>
      </w:r>
    </w:p>
    <w:p w:rsidR="0017652C" w:rsidRPr="00287FFE" w:rsidRDefault="0017652C" w:rsidP="0017652C">
      <w:pPr>
        <w:ind w:left="142" w:hanging="142"/>
        <w:jc w:val="both"/>
      </w:pPr>
      <w:r>
        <w:t>- Γλωσσικοί κανόνες όπως προβλέπονται για την επισήμανση, τις οδηγίες χρήσης ή έγγραφα εγγύησης, έστω και αν δεν είναι τεχνικοί κανόνες κατά την έννοια της οδηγίας, αποτελούν εμπόδιο του ενδοκοινοτικού εμπορίου, καθόσον τα προερχόμενα από άλλα κράτη μέλη προϊόντα πρέπει να φέρουν διαφορετικές ετικέτες, πράγμα που συνεπάγεται πρόσθετα έξοδα συσκευασίας.</w:t>
      </w:r>
    </w:p>
    <w:p w:rsidR="0017652C" w:rsidRPr="00287FFE" w:rsidRDefault="0017652C" w:rsidP="0017652C">
      <w:pPr>
        <w:jc w:val="both"/>
      </w:pPr>
    </w:p>
    <w:p w:rsidR="0017652C" w:rsidRPr="00287FFE" w:rsidRDefault="0017652C" w:rsidP="0017652C">
      <w:pPr>
        <w:jc w:val="both"/>
        <w:rPr>
          <w:rFonts w:eastAsia="Calibri"/>
          <w:b/>
          <w:i/>
        </w:rPr>
      </w:pPr>
      <w:r>
        <w:rPr>
          <w:b/>
          <w:i/>
        </w:rPr>
        <w:t>Απόφαση της 11ης Μαΐου 1999, Albers, Συνεκδικαζόμενες υποθέσεις C-425/97 έως 427/97, EU:C:1999:243, σκέψεις 16 έως 24</w:t>
      </w:r>
    </w:p>
    <w:p w:rsidR="0017652C" w:rsidRPr="00287FFE" w:rsidRDefault="0017652C" w:rsidP="0017652C">
      <w:pPr>
        <w:jc w:val="both"/>
      </w:pPr>
    </w:p>
    <w:p w:rsidR="0017652C" w:rsidRPr="00287FFE" w:rsidRDefault="0017652C" w:rsidP="0017652C">
      <w:pPr>
        <w:jc w:val="both"/>
      </w:pPr>
      <w:r>
        <w:t>- Οι κανόνες που σκοπό έχουν να αποτρέψουν τη χορήγηση στα εκτρεφόμενα για πάχυνση βοοειδή συνιστούν τεχνικές προδιαγραφές υπό την έννοια της οδηγίας 83/189. Εφόσον οι κανόνες αυτοί θεσπίστηκαν από εθνικές διοικητικές αρχές, έχουν εφαρμογή σε ολόκληρη την εθνική επικράτεια και είναι υποχρεωτικοί για εκείνους στους οποίους απευθύνονται, πρόκειται περί τεχνικών κανόνων υπό την έννοια της οδηγίας 83/189.</w:t>
      </w:r>
    </w:p>
    <w:p w:rsidR="0017652C" w:rsidRPr="00287FFE" w:rsidRDefault="0017652C" w:rsidP="0017652C"/>
    <w:p w:rsidR="0017652C" w:rsidRPr="00287FFE" w:rsidRDefault="0017652C" w:rsidP="0017652C">
      <w:r>
        <w:rPr>
          <w:b/>
          <w:i/>
        </w:rPr>
        <w:t>Απόφαση της 16ης Ιουνίου 1998, Lemmens, Υπόθεση C-226/97, EU:C:1998:296, σκέψεις 19-21, 24-26</w:t>
      </w:r>
    </w:p>
    <w:p w:rsidR="0017652C" w:rsidRPr="00287FFE" w:rsidRDefault="0017652C" w:rsidP="0017652C"/>
    <w:p w:rsidR="0017652C" w:rsidRPr="00287FFE" w:rsidRDefault="0017652C" w:rsidP="0017652C">
      <w:pPr>
        <w:ind w:left="142" w:hanging="142"/>
        <w:jc w:val="both"/>
      </w:pPr>
      <w:r>
        <w:t xml:space="preserve">- Η οδηγία 83/189 ισχύει για τους τεχνικούς κανόνες ανεξαρτήτως των λόγων που δικαιολόγησαν τη θέσπισή τους. Καίτοι, κατ' αρχήν, η ποινική νομοθεσία και οι κανόνες της ποινικής δικονομίας εμπίπτουν στην αρμοδιότητα των κρατών μελών, δεν μπορεί να συναχθεί από αυτό ότι οι τεχνικοί κανόνες κατά την έννοια του άρθρου 1 αυτής εξαιρούνται, συνεπεία του γεγονότος ότι περιλαμβάνονται στον τομέα του ποινικού δικαίου, της υποχρεώσεως κοινοποιήσεως και ότι το πεδίο της εφαρμογής περιορίζεται στα προϊόντα που προορίζονται για χρήσεις που δεν ανάγονται στις προνομίες της δημόσιας εξουσίας. </w:t>
      </w:r>
    </w:p>
    <w:p w:rsidR="0017652C" w:rsidRPr="00287FFE" w:rsidRDefault="0017652C" w:rsidP="0017652C">
      <w:pPr>
        <w:ind w:left="142" w:hanging="142"/>
        <w:jc w:val="both"/>
      </w:pPr>
      <w:r>
        <w:t xml:space="preserve">- Οι εθνικές διατάξεις σχετικά με τις συσκευές ελέγχου της αναπνοής που χρησιμοποιούνται από την αστυνομία στο πλαίσιο των εξετάσεων παρουσίας οινοπνεύματος στο αίμα, συνιστούν τεχνικό κανονισμό που πρέπει, πριν από τη θέσπισή τους, να κοινοποιηθεί στην Επιτροπή σύμφωνα με το άρθρο 8 της οδηγίας. </w:t>
      </w:r>
    </w:p>
    <w:p w:rsidR="0017652C" w:rsidRPr="00287FFE" w:rsidRDefault="0017652C" w:rsidP="0017652C">
      <w:pPr>
        <w:rPr>
          <w:highlight w:val="yellow"/>
        </w:rPr>
      </w:pPr>
    </w:p>
    <w:p w:rsidR="0017652C" w:rsidRPr="00287FFE" w:rsidRDefault="0017652C" w:rsidP="0017652C">
      <w:pPr>
        <w:ind w:right="56"/>
        <w:jc w:val="both"/>
      </w:pPr>
      <w:r>
        <w:rPr>
          <w:b/>
          <w:i/>
        </w:rPr>
        <w:t>Απόφαση της 7ης Μαΐου 1998, Επιτροπή κατά Βελγίου, Υπόθεση C-145/97, EU:C:1998:212, σκέψη 12</w:t>
      </w:r>
    </w:p>
    <w:p w:rsidR="0017652C" w:rsidRPr="00287FFE" w:rsidRDefault="0017652C" w:rsidP="0017652C">
      <w:pPr>
        <w:jc w:val="both"/>
      </w:pPr>
    </w:p>
    <w:p w:rsidR="0017652C" w:rsidRDefault="0017652C" w:rsidP="0017652C">
      <w:pPr>
        <w:jc w:val="both"/>
      </w:pPr>
      <w:r>
        <w:t>- Σύμφωνα με το άρθρο 8 της οδηγίας, τα κράτη μέλη πρέπει να κοινοποιούν όχι μόνο το σχέδιο κειμένου που περιέχει τους τεχνικούς κανόνες, αλλά και το κείμενο των βασικών νομοθετικών ή κανονιστικών διατάξεων κατά κύριο και άμεσο τρόπο. Ο σκοπός της διάταξης αυτής συνίσταται στο να παρέχεται στην Επιτροπή η πληρέστερη δυνατή πληροφόρηση, προκειμένου να μπορεί να ασκήσει, όσο το δυνατόν πιο αποτελεσματικά, τις εξουσίες που της απονέμει η οδηγία.</w:t>
      </w:r>
    </w:p>
    <w:p w:rsidR="00CE6151" w:rsidRPr="00287FFE" w:rsidRDefault="00CE6151" w:rsidP="00176B6B">
      <w:pPr>
        <w:pStyle w:val="NormalWeb"/>
        <w:keepNext/>
        <w:keepLines/>
        <w:jc w:val="both"/>
      </w:pPr>
      <w:r>
        <w:rPr>
          <w:b/>
          <w:i/>
        </w:rPr>
        <w:lastRenderedPageBreak/>
        <w:t>Απόφαση της 20ής Μαρτίου 1997, Bic Benelux, Υπόθεση C-13/96, EU:C:1997:173, σκέψεις 20 έως 26</w:t>
      </w:r>
    </w:p>
    <w:p w:rsidR="00CE6151" w:rsidRPr="00287FFE" w:rsidRDefault="00DB04B3" w:rsidP="00DB04B3">
      <w:pPr>
        <w:autoSpaceDE w:val="0"/>
        <w:autoSpaceDN w:val="0"/>
        <w:adjustRightInd w:val="0"/>
        <w:ind w:left="142" w:hanging="142"/>
        <w:jc w:val="both"/>
      </w:pPr>
      <w:r>
        <w:t xml:space="preserve">- Η υποχρέωση επιθέσεως συγκεκριμένων διακριτικών σημείων επί των προϊόντων που υπόκεινται σε φόρο λόγω των οικολογικών βλαβών που τεκμαίρεται ότι προκαλούν συνιστά τεχνική προδιαγραφή υπό την έννοια της οδηγίας 83/189 και ο εθνικός κανόνας που επιβάλλει την υποχρέωση αυτή αποτελεί τεχνικό κανόνα υπό την έννοια της ανωτέρω οδηγίας. </w:t>
      </w:r>
    </w:p>
    <w:p w:rsidR="00CE6151" w:rsidRPr="00287FFE" w:rsidRDefault="00DB04B3" w:rsidP="00DB04B3">
      <w:pPr>
        <w:autoSpaceDE w:val="0"/>
        <w:autoSpaceDN w:val="0"/>
        <w:adjustRightInd w:val="0"/>
        <w:ind w:left="142" w:hanging="142"/>
        <w:jc w:val="both"/>
      </w:pPr>
      <w:r>
        <w:t>- Το γεγονός ότι ένα εθνικό μέτρο θεσπίστηκε για την προστασία του περιβάλλοντος ή το γεγονός ότι το μέτρο αυτό δεν θέτει σε εφαρμογή τεχνικό πρότυπο που το ίδιο είναι ικανό να εμποδίσει την ελεύθερη κυκλοφορία δεν αποκλείουν το ενδεχόμενο να αποτελεί το μέτρο αυτό τεχνικό κανόνα υπό την έννοια της οδηγίας 83/189.</w:t>
      </w:r>
    </w:p>
    <w:p w:rsidR="00CE6151" w:rsidRPr="00287FFE" w:rsidRDefault="00DB04B3" w:rsidP="00DB04B3">
      <w:pPr>
        <w:autoSpaceDE w:val="0"/>
        <w:autoSpaceDN w:val="0"/>
        <w:adjustRightInd w:val="0"/>
        <w:ind w:left="142" w:hanging="142"/>
        <w:jc w:val="both"/>
      </w:pPr>
      <w:r>
        <w:t>- Εφόσον η επίμαχη υποχρέωση σημάνσεως ουδαμώς μπορεί να θεωρηθεί ότι αποτελεί αποκλειστικώς μέτρο που στηρίζει φορολογικά μέτρα, δεν συνιστά συνδεόμενη με φορολογικό μέτρο απαίτηση υπό την έννοια του άρθρου 1, παράγραφος 9, δεύτερο εδάφιο, τρίτη περίπτωση, της οδηγίας 83/189, όπως τροποποιήθηκε από την οδηγία 94/10.</w:t>
      </w:r>
    </w:p>
    <w:p w:rsidR="00295CA4" w:rsidRPr="00287FFE" w:rsidRDefault="00295CA4" w:rsidP="00295CA4">
      <w:pPr>
        <w:jc w:val="both"/>
        <w:rPr>
          <w:rFonts w:eastAsia="Calibri"/>
          <w:b/>
          <w:i/>
        </w:rPr>
      </w:pPr>
    </w:p>
    <w:p w:rsidR="00295CA4" w:rsidRPr="00287FFE" w:rsidRDefault="00295CA4" w:rsidP="00295CA4">
      <w:pPr>
        <w:jc w:val="both"/>
        <w:rPr>
          <w:rFonts w:eastAsia="Calibri"/>
          <w:b/>
          <w:i/>
        </w:rPr>
      </w:pPr>
      <w:r>
        <w:rPr>
          <w:b/>
          <w:i/>
        </w:rPr>
        <w:t>Απόφαση της 17ης Σεπτεμβρίου 1996, Επιτροπή κατά Ιταλίας, Υπόθεση C-289/94, EU:C:1996:330, σκέψεις 32, 36, 43-44, 51</w:t>
      </w:r>
    </w:p>
    <w:p w:rsidR="00295CA4" w:rsidRPr="00287FFE" w:rsidRDefault="00295CA4" w:rsidP="00295CA4">
      <w:pPr>
        <w:jc w:val="both"/>
      </w:pPr>
    </w:p>
    <w:p w:rsidR="00295CA4" w:rsidRPr="00287FFE" w:rsidRDefault="00356040" w:rsidP="00356040">
      <w:pPr>
        <w:ind w:left="142" w:hanging="142"/>
        <w:jc w:val="both"/>
      </w:pPr>
      <w:r>
        <w:t>- Η έννοια της τεχνικής προδιαγραφής καλύπτει και τις μεθόδους και διαδικασίες παραγωγής φαρμακευτικών προϊόντων, όπως αυτά ορίζονται στο άρθρο 1 της οδηγίας 65/65, κατόπιν της διεύρυνσης του πεδίου εφαρμογής της οδηγίας 83/189 από την οδηγία 88/182.</w:t>
      </w:r>
    </w:p>
    <w:p w:rsidR="00295CA4" w:rsidRPr="00287FFE" w:rsidRDefault="00356040" w:rsidP="00356040">
      <w:pPr>
        <w:ind w:left="142" w:hanging="142"/>
        <w:jc w:val="both"/>
      </w:pPr>
      <w:r>
        <w:t>- Η υπουργική απόφαση που αφορά την ποιότητα των υδάτων που προορίζονται για την καλλιέργεια βρωσίμων ελασματοβραγχίων μαλακίων πρέπει να θεωρηθεί ως τεχνικός κανόνας για τον οποίο ισχύει η υποχρέωση κοινοποιήσεως, δεδομένης της πολύ στενής συσχέτισης της ποιότητας των υδάτων για τέτοιου είδους καλλιέργεια προς την εμπορία των σχετικών προϊόντων, και δεδομένου ότι η τήρησή τους επηρεάζει άμεσα την εμπορία των προϊόντων, κατά την έννοια ότι μόνο τα προϊόντα που παράγονται σύμφωνα με τους εν λόγω τεχνικούς κανόνες θα επιτρέπεται να διατίθενται στο εμπόριο.</w:t>
      </w:r>
    </w:p>
    <w:p w:rsidR="00295CA4" w:rsidRPr="00287FFE" w:rsidRDefault="00356040" w:rsidP="00356040">
      <w:pPr>
        <w:ind w:left="142" w:hanging="142"/>
        <w:jc w:val="both"/>
      </w:pPr>
      <w:r>
        <w:t xml:space="preserve">- Πρέπει να υπάρχει άμεση σχέση μεταξύ μιας δεσμευτικής πράξης της Ένωσης και ενός εθνικού μέτρου με σκοπό να χαρακτηριστεί ως εκτελεστικό μέτρο που απαλλάσσεται από την απαίτηση κοινοποίησης σύμφωνα με την πρώτη περίπτωση του άρθρου 10 παράγραφος 1. </w:t>
      </w:r>
    </w:p>
    <w:p w:rsidR="00295CA4" w:rsidRPr="00287FFE" w:rsidRDefault="00295CA4" w:rsidP="00295CA4">
      <w:pPr>
        <w:rPr>
          <w:rFonts w:eastAsia="Calibri"/>
          <w:b/>
          <w:i/>
          <w:highlight w:val="green"/>
        </w:rPr>
      </w:pPr>
    </w:p>
    <w:p w:rsidR="00295CA4" w:rsidRPr="00287FFE" w:rsidRDefault="00295CA4" w:rsidP="00295CA4">
      <w:pPr>
        <w:jc w:val="both"/>
        <w:rPr>
          <w:rFonts w:eastAsia="Calibri"/>
          <w:b/>
          <w:i/>
        </w:rPr>
      </w:pPr>
      <w:r>
        <w:rPr>
          <w:b/>
          <w:i/>
        </w:rPr>
        <w:t>Απόφαση της 16ης Σεπτεμβρίου 1997, Επιτροπή κατά Ιταλίας, Υπόθεση C-279/94, EU:C:1997:396, σκέψεις 30, 34, 38-42</w:t>
      </w:r>
    </w:p>
    <w:p w:rsidR="00295CA4" w:rsidRPr="00287FFE" w:rsidRDefault="00295CA4" w:rsidP="00295CA4">
      <w:pPr>
        <w:jc w:val="both"/>
      </w:pPr>
    </w:p>
    <w:p w:rsidR="00295CA4" w:rsidRPr="00287FFE" w:rsidRDefault="00356040" w:rsidP="00B010E1">
      <w:pPr>
        <w:ind w:left="142" w:hanging="142"/>
        <w:jc w:val="both"/>
      </w:pPr>
      <w:r>
        <w:t>- Ένας νέος τεχνικός κανόνας πρέπει να παράγει διαφορετικά έννομα αποτελέσματα σε σχέση με τους ισχύοντες κανόνες.</w:t>
      </w:r>
    </w:p>
    <w:p w:rsidR="00295CA4" w:rsidRPr="00287FFE" w:rsidRDefault="00356040" w:rsidP="00356040">
      <w:pPr>
        <w:ind w:left="142" w:hanging="142"/>
        <w:jc w:val="both"/>
      </w:pPr>
      <w:r>
        <w:t>- Λαμβάνοντας υπόψη τον σκοπό του άρθρου 8 της οδηγίας, που συνίσταται στο να καθιστά δυνατό στην Επιτροπή να έχει την πληρέστερη δυνατή πληροφόρηση σχετικά με το περιεχόμενο, το πεδίο εφαρμογής και το γενικό πλαίσιο στο οποίο εντάσσεται κάθε σχέδιο τεχνικού κανονισμού, αποτελεί υποχρέωση των κρατών μελών να κοινοποιήσουν το πλήρες κείμενο που περιέχει τους τεχνικούς κανονισμούς· συνεπώς, το πλήρες κείμενο πρέπει να κοινοποιείται, αλλά μόνο οι τεχνικοί κανονισμοί τους οποίους περιέχει υπόκεινται σε υποχρέωση αναστολής.</w:t>
      </w:r>
    </w:p>
    <w:p w:rsidR="00295CA4" w:rsidRPr="00287FFE" w:rsidRDefault="00356040" w:rsidP="00356040">
      <w:pPr>
        <w:ind w:left="142" w:hanging="142"/>
        <w:jc w:val="both"/>
      </w:pPr>
      <w:r>
        <w:t>- Η διάταξη που απαγορεύει την εμπορία και τη χρησιμοποίηση του αμιάντου, συνιστά τεχνικό κανονισμό που πρέπει να κοινοποιείται υπό τη μορφή σχεδίου.</w:t>
      </w:r>
    </w:p>
    <w:p w:rsidR="00295CA4" w:rsidRPr="00287FFE" w:rsidRDefault="00356040" w:rsidP="00356040">
      <w:pPr>
        <w:ind w:left="142" w:hanging="142"/>
        <w:jc w:val="both"/>
      </w:pPr>
      <w:r>
        <w:t xml:space="preserve">- Η διάταξη που καθορίζει τις οριακές τιμές συγκεντρώσεως εισπνεύσιμων ινών αμιάντου στους χώρους εργασίας, εφόσον δεν καθορίζει ένα απαιτούμενο χαρακτηριστικό προϊόντος, δεν εμπίπτει a priori στον ορισμό των τεχνικών προδιαγραφών και δεν μπορεί, επομένως, να </w:t>
      </w:r>
      <w:r>
        <w:lastRenderedPageBreak/>
        <w:t>θεωρηθεί ως τεχνικός κανονισμός ο οποίος πρέπει να κοινοποιηθεί στην Επιτροπή, εκτός εάν τα όρια έχουν συνέπειες για τα χαρακτηριστικά του οικείου προϊόντος.</w:t>
      </w:r>
    </w:p>
    <w:p w:rsidR="00295CA4" w:rsidRPr="00287FFE" w:rsidRDefault="00356040" w:rsidP="00356040">
      <w:pPr>
        <w:ind w:left="142" w:hanging="142"/>
        <w:jc w:val="both"/>
      </w:pPr>
      <w:r>
        <w:t>- Τα κράτη μέλη υποχρεούνται να κοινοποιούν το πλήρες κείμενο του σχεδίου νόμου, συμπεριλαμβανομένων των διατάξεων που δεν συνιστούν τεχνικούς κανονισμούς, προκειμένου η Επιτροπή να έχει την πληρέστερη δυνατή πληροφόρηση σχετικά με κάθε σχέδιο τεχνικού κανονισμού, όσον αφορά το περιεχόμενό του, το πεδίο του και το γενικό πλαίσιο στο οποίο εντάσσεται.</w:t>
      </w:r>
    </w:p>
    <w:p w:rsidR="00B15802" w:rsidRPr="00287FFE" w:rsidRDefault="00B15802" w:rsidP="00B15802">
      <w:pPr>
        <w:autoSpaceDE w:val="0"/>
        <w:autoSpaceDN w:val="0"/>
        <w:adjustRightInd w:val="0"/>
        <w:jc w:val="both"/>
      </w:pPr>
    </w:p>
    <w:p w:rsidR="00A83DB2" w:rsidRPr="00287FFE" w:rsidRDefault="00B15802" w:rsidP="00A83DB2">
      <w:pPr>
        <w:pStyle w:val="NormalWeb"/>
        <w:spacing w:before="0" w:beforeAutospacing="0" w:after="0" w:afterAutospacing="0"/>
        <w:jc w:val="both"/>
        <w:rPr>
          <w:rFonts w:eastAsia="Calibri"/>
          <w:b/>
          <w:i/>
        </w:rPr>
      </w:pPr>
      <w:r>
        <w:rPr>
          <w:b/>
          <w:i/>
        </w:rPr>
        <w:t>Απόφαση της 30ής Απριλίου 1996</w:t>
      </w:r>
      <w:r w:rsidR="00A83DB2">
        <w:rPr>
          <w:b/>
          <w:i/>
        </w:rPr>
        <w:t>, CIA Security International SA, Υπόθεση C-194/94, EU:C:1996:172, σκέψεις 30, 54 και 55</w:t>
      </w:r>
    </w:p>
    <w:p w:rsidR="00B15802" w:rsidRPr="00287FFE" w:rsidRDefault="00B15802" w:rsidP="00B15802">
      <w:pPr>
        <w:autoSpaceDE w:val="0"/>
        <w:autoSpaceDN w:val="0"/>
        <w:adjustRightInd w:val="0"/>
        <w:jc w:val="both"/>
      </w:pPr>
    </w:p>
    <w:p w:rsidR="00B15802" w:rsidRPr="00287FFE" w:rsidRDefault="00160B40" w:rsidP="00B15802">
      <w:pPr>
        <w:autoSpaceDE w:val="0"/>
        <w:autoSpaceDN w:val="0"/>
        <w:adjustRightInd w:val="0"/>
        <w:jc w:val="both"/>
      </w:pPr>
      <w:r>
        <w:t>- Ένας κανόνας πρέπει να χαρακτηρίζεται ως τεχνικός κανόνας κατά την έννοια της οδηγίας 83/189 εφόσον</w:t>
      </w:r>
      <w:r w:rsidR="00BD39BD">
        <w:t xml:space="preserve"> </w:t>
      </w:r>
      <w:r w:rsidR="00B15802">
        <w:t>υποχρεώνει τις ενδιαφερόμενες επιχειρήσεις να ζητούν προηγούμενη έγκριση για το υλικό τους, ακόμη και αν δεν έχουν θεσπισθεί οι προβλεπόμενοι διοικητικοί κανόνες.</w:t>
      </w:r>
    </w:p>
    <w:p w:rsidR="00B15802" w:rsidRPr="00287FFE" w:rsidRDefault="00B15802" w:rsidP="00B15802">
      <w:pPr>
        <w:autoSpaceDE w:val="0"/>
        <w:autoSpaceDN w:val="0"/>
        <w:adjustRightInd w:val="0"/>
        <w:jc w:val="both"/>
      </w:pPr>
    </w:p>
    <w:p w:rsidR="00E91B63" w:rsidRPr="00287FFE" w:rsidRDefault="00E91B63" w:rsidP="00E91B63">
      <w:pPr>
        <w:jc w:val="both"/>
        <w:rPr>
          <w:rFonts w:eastAsia="Calibri"/>
          <w:b/>
          <w:i/>
        </w:rPr>
      </w:pPr>
      <w:r>
        <w:rPr>
          <w:b/>
          <w:i/>
        </w:rPr>
        <w:t>Απόφαση της 11ης Ιανουαρίου 1996, Επιτροπή κατά Κάτω Χωρών, Υπόθεση C-273/94, EU:C:1996:4, σκέψεις 13 έως 15</w:t>
      </w:r>
    </w:p>
    <w:p w:rsidR="00E91B63" w:rsidRPr="00287FFE" w:rsidRDefault="00E91B63" w:rsidP="00E91B63">
      <w:pPr>
        <w:autoSpaceDE w:val="0"/>
        <w:autoSpaceDN w:val="0"/>
        <w:adjustRightInd w:val="0"/>
        <w:jc w:val="both"/>
        <w:rPr>
          <w:rFonts w:eastAsia="Calibri"/>
        </w:rPr>
      </w:pPr>
    </w:p>
    <w:p w:rsidR="00E91B63" w:rsidRPr="00287FFE" w:rsidRDefault="00356040" w:rsidP="00356040">
      <w:pPr>
        <w:autoSpaceDE w:val="0"/>
        <w:autoSpaceDN w:val="0"/>
        <w:adjustRightInd w:val="0"/>
        <w:ind w:left="142" w:hanging="142"/>
        <w:jc w:val="both"/>
        <w:rPr>
          <w:rFonts w:eastAsia="Calibri"/>
        </w:rPr>
      </w:pPr>
      <w:r>
        <w:t>- Ο εθνικός νόμος για την εφαρμογή επί συγκεκριμένου προϊόντος μιας παρέκκλισης από άλλον υφιστάμενο τεχνικό κανόνα που αφορά το ίδιο αυτό προϊόν συνιστά τεχνικό κανόνα υπό την έννοια της οδηγίας 83/189 εφόσον θέτει εναλλακτικές τεχνικές προδιαγραφές των οποίων η τήρηση είναι υποχρεωτική, de jure ή de facto, για την εμπορία ή τη χρησιμοποίηση του προϊόντος αυτού. Όποιος επιθυμεί να παρεκκλίνει από τον υφιστάμενο κανόνα υπόκειται στην υποχρέωση συμμόρφωσης με τις εναλλακτικές προδιαγραφές προκειμένου να παράγει ή να διαθέτει στην αγορά το εν λόγω προϊόν</w:t>
      </w:r>
    </w:p>
    <w:p w:rsidR="00E91B63" w:rsidRPr="00287FFE" w:rsidRDefault="00356040" w:rsidP="00356040">
      <w:pPr>
        <w:ind w:left="142" w:hanging="142"/>
        <w:jc w:val="both"/>
      </w:pPr>
      <w:r>
        <w:t>- Η υποχρέωση κοινοποίησης δεν εξαρτάται από τις εικαζόμενες επιπτώσεις του εν λόγω τεχνικού κανόνα στο εμπόριο μεταξύ των κρατών μελών. Αντ' αυτού, ο στόχος της διαδικασίας είναι να καθορίσει κατά πόσο υπάρχει κίνδυνος δημιουργίας τυχόν εμποδίων και κατά πόσο θα μπορούσε να δικαιολογηθεί βάσει της νομοθεσίας της ΕΕ. Συνεπώς, πρέπει να κοινοποιούνται ακόμα και οι κανόνες για την απελευθέρωση των διακανονισμών για τα θιγόμενα προϊόντα.</w:t>
      </w:r>
    </w:p>
    <w:p w:rsidR="00E91B63" w:rsidRDefault="00E91B63" w:rsidP="00E91B63">
      <w:pPr>
        <w:jc w:val="both"/>
        <w:rPr>
          <w:rFonts w:eastAsia="Calibri"/>
          <w:b/>
          <w:i/>
        </w:rPr>
      </w:pPr>
    </w:p>
    <w:p w:rsidR="00295CA4" w:rsidRPr="00287FFE" w:rsidRDefault="00295CA4" w:rsidP="00295CA4">
      <w:pPr>
        <w:jc w:val="both"/>
        <w:rPr>
          <w:rFonts w:eastAsia="Calibri"/>
          <w:b/>
          <w:i/>
        </w:rPr>
      </w:pPr>
      <w:r>
        <w:rPr>
          <w:b/>
          <w:i/>
        </w:rPr>
        <w:t>Απόφαση της 1ης Ιουνίου 1994, Επιτροπή κατά Γερμανίας, Υπόθεση C-317/92, EU:C:1994:212, σκέψεις 25 και 26</w:t>
      </w:r>
    </w:p>
    <w:p w:rsidR="00295CA4" w:rsidRPr="00287FFE" w:rsidRDefault="00295CA4" w:rsidP="00295CA4">
      <w:pPr>
        <w:autoSpaceDE w:val="0"/>
        <w:autoSpaceDN w:val="0"/>
        <w:adjustRightInd w:val="0"/>
        <w:jc w:val="both"/>
      </w:pPr>
    </w:p>
    <w:p w:rsidR="00295CA4" w:rsidRPr="00287FFE" w:rsidRDefault="00356040" w:rsidP="00356040">
      <w:pPr>
        <w:autoSpaceDE w:val="0"/>
        <w:autoSpaceDN w:val="0"/>
        <w:adjustRightInd w:val="0"/>
        <w:ind w:left="142" w:hanging="142"/>
        <w:jc w:val="both"/>
        <w:rPr>
          <w:rFonts w:ascii="Helvetica" w:hAnsi="Helvetica" w:cs="Helvetica"/>
          <w:sz w:val="21"/>
          <w:szCs w:val="21"/>
        </w:rPr>
      </w:pPr>
      <w:r>
        <w:t>- Ένας κανόνας χαρακτηρίζεται ως τεχνικός κανόνας για τους σκοπούς της οδηγίας 83/189 εφόσον παράγει αυτοτελείς έννομες συνέπειες. Εάν, κατά το εθνικό δίκαιο, ο κανόνας περιορίζεται στην παροχή νομοθετικής εξουσιοδοτήσεως για την έκδοση διοικητικών κανονιστικών αποφάσεων που περιέχουν κανόνες δεσμευτικούς για τους ενδιαφερομένους και, ως εκ τούτου, δεν έχει αφ' εαυτού καμιά έννομη συνέπεια για τους ιδιώτες, ο κανόνας αυτός δεν συνιστά τεχνικό κανόνα υπό την έννοια της οδηγίας. Το γεγονός ότι η εξουσιοδοτική διάταξη έχει ήδη κοινοποιηθεί στην Επιτροπή δεν αποτελεί απαλλαγή από την υποχρέωση κοινοποίησης των διατάξεων εφαρμογής της. Η τεχνική προδιαγραφή δεν περιλαμβάνεται στην εξουσιοδοτική διάταξη αλλά, ενδεχομένως, στα εκτελεστικά μέτρα.</w:t>
      </w:r>
    </w:p>
    <w:p w:rsidR="00295CA4" w:rsidRPr="00287FFE" w:rsidRDefault="00356040" w:rsidP="00356040">
      <w:pPr>
        <w:autoSpaceDE w:val="0"/>
        <w:autoSpaceDN w:val="0"/>
        <w:adjustRightInd w:val="0"/>
        <w:ind w:left="142" w:hanging="142"/>
        <w:jc w:val="both"/>
      </w:pPr>
      <w:r>
        <w:t>- Η εφαρμογή σε συγκεκριμένα προϊόντα ενός τεχνικού κανονισμού που προηγουμένως αφορούσε άλλα προϊόντα αποτελεί τεχνικό κανονισμό και πρέπει να κοινοποιείται.</w:t>
      </w:r>
    </w:p>
    <w:p w:rsidR="00295CA4" w:rsidRPr="00287FFE" w:rsidRDefault="00356040" w:rsidP="00356040">
      <w:pPr>
        <w:ind w:left="142" w:hanging="142"/>
        <w:jc w:val="both"/>
      </w:pPr>
      <w:r>
        <w:t xml:space="preserve">- Ένα μέτρο που περιορίζει τις ημερομηνίες λήξης που επιτρέπεται να αναγράφονται επί της συσκευασίας προϊόντων αποτελεί τεχνικό κανονισμό κατά την έννοια της οδηγίας 83/189. </w:t>
      </w:r>
    </w:p>
    <w:p w:rsidR="00B010E1" w:rsidRDefault="00B010E1" w:rsidP="00B010E1">
      <w:pPr>
        <w:jc w:val="both"/>
        <w:rPr>
          <w:rFonts w:eastAsia="Calibri"/>
          <w:b/>
        </w:rPr>
      </w:pPr>
    </w:p>
    <w:p w:rsidR="00160B40" w:rsidRDefault="00160B40" w:rsidP="00B010E1">
      <w:pPr>
        <w:jc w:val="both"/>
        <w:rPr>
          <w:rFonts w:eastAsia="Calibri"/>
          <w:b/>
        </w:rPr>
      </w:pPr>
    </w:p>
    <w:p w:rsidR="00B010E1" w:rsidRPr="00160B40" w:rsidRDefault="00160B40" w:rsidP="00BD39BD">
      <w:pPr>
        <w:keepNext/>
        <w:keepLines/>
        <w:jc w:val="both"/>
        <w:rPr>
          <w:rFonts w:eastAsia="Calibri"/>
          <w:b/>
          <w:u w:val="single"/>
        </w:rPr>
      </w:pPr>
      <w:bookmarkStart w:id="2" w:name="b_heading"/>
      <w:r>
        <w:rPr>
          <w:b/>
          <w:u w:val="single"/>
        </w:rPr>
        <w:lastRenderedPageBreak/>
        <w:t>β. Υπηρεσίες της κοινωνίας των πληροφοριών</w:t>
      </w:r>
    </w:p>
    <w:bookmarkEnd w:id="2"/>
    <w:p w:rsidR="00B010E1" w:rsidRPr="00287FFE" w:rsidRDefault="00B010E1" w:rsidP="00BD39BD">
      <w:pPr>
        <w:keepNext/>
        <w:keepLines/>
        <w:jc w:val="both"/>
        <w:rPr>
          <w:rFonts w:eastAsia="Calibri"/>
          <w:b/>
          <w:i/>
        </w:rPr>
      </w:pPr>
    </w:p>
    <w:p w:rsidR="00B010E1" w:rsidRPr="00287FFE" w:rsidRDefault="00B010E1" w:rsidP="00BD39BD">
      <w:pPr>
        <w:keepNext/>
        <w:keepLines/>
        <w:jc w:val="both"/>
        <w:rPr>
          <w:rFonts w:eastAsia="Calibri"/>
          <w:b/>
          <w:i/>
        </w:rPr>
      </w:pPr>
      <w:r>
        <w:rPr>
          <w:b/>
          <w:i/>
        </w:rPr>
        <w:t>Απόφαση της 10ης Απριλίου 2018, Uber France, Υπόθεση C</w:t>
      </w:r>
      <w:r>
        <w:noBreakHyphen/>
      </w:r>
      <w:r>
        <w:rPr>
          <w:b/>
          <w:i/>
        </w:rPr>
        <w:t>320/16, EU:C:2018:221, σκέψεις 18 έως 28</w:t>
      </w:r>
    </w:p>
    <w:p w:rsidR="00B010E1" w:rsidRPr="00287FFE" w:rsidRDefault="00B010E1" w:rsidP="00BD39BD">
      <w:pPr>
        <w:keepNext/>
        <w:keepLines/>
        <w:jc w:val="both"/>
      </w:pPr>
      <w:bookmarkStart w:id="3" w:name="_GoBack"/>
      <w:bookmarkEnd w:id="3"/>
    </w:p>
    <w:p w:rsidR="00B010E1" w:rsidRPr="00287FFE" w:rsidRDefault="00160B40" w:rsidP="00B010E1">
      <w:pPr>
        <w:jc w:val="both"/>
      </w:pPr>
      <w:r>
        <w:t>- H εθνική ρύθμιση που προβλέπει ποινικές κυρώσεις για την οργάνωση συστήματος προς διευκόλυνση της επαφής πελατών και ατόμων τα οποία παρέχουν, χωρίς να έχουν άδεια προς τούτο, επ’ αμοιβή υπηρεσίες οδικής μεταφοράς με οχήματα που έχουν λιγότερες από 10 θέσεις αφορά «υπηρεσία στον τομέα των μεταφορών», στον βαθμό που εφαρμόζεται επί υπηρεσίας διαμεσολάβησης η οποία παρέχεται μέσω εφαρμογής για έξυπνα τηλέφωνα και αποτελεί αναπόσπαστο μέρος μιας συνολικής υπηρεσίας της οποίας κύριο στοιχείο είναι η υπηρεσία μεταφοράς. Τέτοιου είδους υπηρεσία αποκλείεται από το πεδίο εφαρμογής της οδηγίας 2015/1535.</w:t>
      </w:r>
    </w:p>
    <w:p w:rsidR="00B010E1" w:rsidRPr="00287FFE" w:rsidRDefault="00B010E1" w:rsidP="00B010E1">
      <w:pPr>
        <w:jc w:val="both"/>
        <w:rPr>
          <w:rFonts w:eastAsia="Calibri"/>
          <w:b/>
          <w:i/>
        </w:rPr>
      </w:pPr>
    </w:p>
    <w:p w:rsidR="00B010E1" w:rsidRPr="00287FFE" w:rsidRDefault="00B010E1" w:rsidP="00B010E1">
      <w:pPr>
        <w:jc w:val="both"/>
        <w:rPr>
          <w:rFonts w:eastAsia="Calibri"/>
          <w:b/>
          <w:i/>
        </w:rPr>
      </w:pPr>
      <w:r>
        <w:rPr>
          <w:b/>
          <w:i/>
        </w:rPr>
        <w:t>Απόφαση της 20ής Δεκεμβρίου 2017, Asociación Profesional Elite Taxi, Υπόθεση C</w:t>
      </w:r>
      <w:r>
        <w:noBreakHyphen/>
      </w:r>
      <w:r>
        <w:rPr>
          <w:b/>
          <w:i/>
        </w:rPr>
        <w:t>434/15, EU:C:2017:981, σκέψη 48</w:t>
      </w:r>
    </w:p>
    <w:p w:rsidR="00B010E1" w:rsidRPr="00287FFE" w:rsidRDefault="00B010E1" w:rsidP="00B010E1">
      <w:pPr>
        <w:jc w:val="both"/>
      </w:pPr>
    </w:p>
    <w:p w:rsidR="00B010E1" w:rsidRPr="00287FFE" w:rsidRDefault="00160B40" w:rsidP="00B010E1">
      <w:pPr>
        <w:jc w:val="both"/>
      </w:pPr>
      <w:r>
        <w:t>- Μια υπηρεσία διαμεσολάβησης στο πλαίσιο της οποίας, μέσω μιας εφαρμογής για έξυπνα τηλέφωνα, διευκολύνεται έναντι αμοιβής η επικοινωνία μεταξύ μη επαγγελματιών οδηγών που χρησιμοποιούν δικό τους όχημα και ατόμων που επιθυμούν να μετακινηθούν εντός πόλης, πρέπει να θεωρηθεί ότι είναι άρρηκτα συνδεδεμένη με υπηρεσία μεταφοράς και, κατ’ επέκταση, να χαρακτηριστεί «υπηρεσία στον τομέα των μεταφορών» (και όχι υπηρεσία της κοινωνίας των πληροφοριών).</w:t>
      </w:r>
    </w:p>
    <w:p w:rsidR="00B010E1" w:rsidRPr="00287FFE" w:rsidRDefault="00B010E1" w:rsidP="00B010E1">
      <w:pPr>
        <w:jc w:val="both"/>
      </w:pPr>
    </w:p>
    <w:p w:rsidR="00B010E1" w:rsidRPr="00287FFE" w:rsidRDefault="00B010E1" w:rsidP="00B010E1">
      <w:pPr>
        <w:jc w:val="both"/>
        <w:rPr>
          <w:rFonts w:eastAsia="Calibri"/>
          <w:b/>
          <w:i/>
        </w:rPr>
      </w:pPr>
      <w:r>
        <w:rPr>
          <w:b/>
          <w:i/>
        </w:rPr>
        <w:t>Απόφαση της 20ής Δεκεμβρίου 2017,</w:t>
      </w:r>
      <w:r>
        <w:t xml:space="preserve"> </w:t>
      </w:r>
      <w:r>
        <w:rPr>
          <w:b/>
          <w:i/>
        </w:rPr>
        <w:t>Falbert κ.λπ., Υπόθεση C-255/16, EU:C:2017:983,</w:t>
      </w:r>
      <w:r>
        <w:rPr>
          <w:rStyle w:val="outputecliaff"/>
        </w:rPr>
        <w:t xml:space="preserve"> </w:t>
      </w:r>
      <w:r>
        <w:rPr>
          <w:b/>
          <w:i/>
        </w:rPr>
        <w:t>σκέψεις 27 έως 30</w:t>
      </w:r>
    </w:p>
    <w:p w:rsidR="00B010E1" w:rsidRPr="00287FFE" w:rsidRDefault="00B010E1" w:rsidP="00B010E1">
      <w:pPr>
        <w:jc w:val="both"/>
      </w:pPr>
    </w:p>
    <w:p w:rsidR="00B010E1" w:rsidRPr="00287FFE" w:rsidRDefault="00160B40" w:rsidP="00B010E1">
      <w:pPr>
        <w:jc w:val="both"/>
      </w:pPr>
      <w:r>
        <w:t xml:space="preserve">- Μια εθνική διάταξη η οποία τιμωρεί ποινικώς την χωρίς άδεια διοργάνωση παιγνίων, λαχείων ή στοιχημάτων στην ημεδαπή δεν αποτελεί τεχνικό κανόνα κατά το άρθρο αυτό, ως προς τον οποίο ισχύει υποχρέωση γνωστοποιήσεως δυνάμει του άρθρου 8, παράγραφος 1, της οδηγίας 2015/1535. </w:t>
      </w:r>
    </w:p>
    <w:p w:rsidR="00B010E1" w:rsidRPr="00287FFE" w:rsidRDefault="00160B40" w:rsidP="00B010E1">
      <w:pPr>
        <w:jc w:val="both"/>
      </w:pPr>
      <w:r>
        <w:t>- Αντιθέτως, εθνική διάταξη η οποία τιμωρεί ποινικώς τη διαφήμιση μη αδειοδοτημένων παιγνίων, λαχείων ή στοιχημάτων αποτελεί τεχνικό κανόνα, κατά την έννοια της οδηγίας 2015/1535, ως προς τον οποίο ισχύει υποχρέωση γνωστοποιήσεως δυνάμει του άρθρου 8, παράγραφος 1, της εν λόγω οδηγίας, εφόσον από τις προπαρασκευαστικές της εργασίες προκύπτει σαφώς ότι είχε ως αντικείμενο και σκοπό να επεκτείνει και στις υπηρεσίες παιγνίων μέσω του διαδικτύου προϋφιστάμενη απαγόρευση διαφημίσεως, όπερ εναπόκειται στο εθνικό δικαστήριο να εξακριβώσει.</w:t>
      </w:r>
    </w:p>
    <w:p w:rsidR="00B010E1" w:rsidRPr="00287FFE" w:rsidRDefault="00B010E1" w:rsidP="00B010E1">
      <w:pPr>
        <w:jc w:val="both"/>
      </w:pPr>
    </w:p>
    <w:p w:rsidR="00B010E1" w:rsidRPr="00287FFE" w:rsidRDefault="00B010E1" w:rsidP="00B010E1">
      <w:pPr>
        <w:jc w:val="both"/>
        <w:rPr>
          <w:rFonts w:eastAsia="Calibri"/>
          <w:b/>
          <w:i/>
        </w:rPr>
      </w:pPr>
      <w:r>
        <w:rPr>
          <w:b/>
          <w:i/>
        </w:rPr>
        <w:t>Απόφαση της 2ας Φεβρουαρίου 2016, Ince, Υπόθεση C-336/14, EU:C:2016:72, σκέψεις 75-76, 79, 84</w:t>
      </w:r>
    </w:p>
    <w:p w:rsidR="00B010E1" w:rsidRPr="00287FFE" w:rsidRDefault="00B010E1" w:rsidP="00B010E1">
      <w:pPr>
        <w:jc w:val="both"/>
      </w:pPr>
    </w:p>
    <w:p w:rsidR="00B010E1" w:rsidRPr="00287FFE" w:rsidRDefault="00B010E1" w:rsidP="00B010E1">
      <w:pPr>
        <w:ind w:left="142" w:hanging="142"/>
        <w:jc w:val="both"/>
      </w:pPr>
      <w:r>
        <w:t xml:space="preserve">- Οι εθνικές διατάξεις που περιλαμβάνουν την απαγόρευση προσφοράς τυχερών παιγνίων στο διαδίκτυο, τις εξαιρέσεις από την απαγόρευση αυτή, τους περιορισμούς που επιβάλλονται στη δυνατότητα προσφοράς αθλητικών στοιχημάτων με τη χρήση τηλεπικοινωνιακού εξοπλισμού καθώς και την απαγόρευση διαφημίσεως των τυχερών παιγνίων στο διαδίκτυο ή με τη χρήση τηλεπικοινωνιακού εξοπλισμού μπορούν να χαρακτηριστούν ως «κανόνες σχετικά με τις υπηρεσίες» κατά την έννοια του άρθρου 1 παράγραφος 5 της οδηγίας 98/34, στο μέτρο που αφορούν «υπηρεσία της κοινωνίας των πληροφοριών» κατά την έννοια του άρθρου 1 παράγραφος 2 της εν λόγω οδηγίας. </w:t>
      </w:r>
    </w:p>
    <w:p w:rsidR="00B010E1" w:rsidRPr="00287FFE" w:rsidRDefault="00B010E1" w:rsidP="00B010E1">
      <w:pPr>
        <w:ind w:left="142" w:hanging="142"/>
        <w:jc w:val="both"/>
      </w:pPr>
      <w:r>
        <w:lastRenderedPageBreak/>
        <w:t xml:space="preserve">- Οι εθνικές διατάξεις που περιορίζονται στην πρόβλεψη των προϋποθέσεων για την εγκατάσταση των επιχειρήσεων ή την παροχή υπηρεσιών εκ μέρους αυτών, όπως διατάξεις εξαρτώσες την άσκηση επαγγελματικής δραστηριότητας από προηγούμενη έγκριση, δεν συνιστούν τεχνικούς κανόνες κατά την έννοια της οδηγίας 98/34. </w:t>
      </w:r>
    </w:p>
    <w:p w:rsidR="00B010E1" w:rsidRPr="00287FFE" w:rsidRDefault="00B010E1" w:rsidP="00B010E1">
      <w:pPr>
        <w:ind w:left="142" w:hanging="142"/>
        <w:jc w:val="both"/>
      </w:pPr>
      <w:r>
        <w:t xml:space="preserve">- Το σχέδιο νομοθετικής ρύθμισης μιας περιφέρειας το οποίο διατηρεί σε ισχύ, στο επίπεδο της περιφέρειας αυτής, τις διατάξεις μη ισχύουσας πλέον νομοθεσίας, κοινής στις διάφορες περιφέρειες ενός κράτους μέλους, υπόκειται σε υποχρέωση γνωστοποίησης που προβλέπει το άρθρο 8 παράγραφος 1 της οδηγίας 98/34, στο μέτρο που το σχέδιο αυτό περιέχει τεχνικούς κανόνες κατά την έννοια του άρθρου 1 της εν λόγω οδηγίας. </w:t>
      </w:r>
    </w:p>
    <w:p w:rsidR="00B010E1" w:rsidRPr="00287FFE" w:rsidRDefault="00B010E1" w:rsidP="00B010E1">
      <w:pPr>
        <w:ind w:left="142" w:hanging="142"/>
        <w:jc w:val="both"/>
      </w:pPr>
      <w:r>
        <w:t>- Η υποχρέωση αυτή δεν αναιρείται από το γεγονός ότι η εν λόγω κοινή νομοθεσία είχε προηγουμένως κοινοποιηθεί στην Επιτροπή, υπό μορφή σχεδίου, σύμφωνα με το άρθρο 8, παράγραφος 1, της οδηγίας 98/34 και οι κανόνες που προβλέπονται στο σχέδιο μιας περιφέρειας είναι πανομοιότυποι κατά το περιεχόμενό τους με τους κανόνες που προβλέπονται στην εθνική νομοθεσία, δεδομένου ότι διαφέρουν από αυτούς ως προς το χρονικό και το εδαφικό πεδίο εφαρμογής τους.</w:t>
      </w:r>
    </w:p>
    <w:p w:rsidR="00B010E1" w:rsidRPr="00287FFE" w:rsidRDefault="00B010E1" w:rsidP="00B010E1">
      <w:pPr>
        <w:ind w:left="142" w:hanging="142"/>
        <w:jc w:val="both"/>
      </w:pPr>
      <w:r>
        <w:t>- Η υποχρέωση που προβλέπεται στο άρθρο 8, παράγραφος 1, τρίτο εδάφιο, της οδηγίας 98/34 η οποία επιβάλλει στα κράτη μέλη να προβαίνουν σε «νέα γνωστοποίηση» των σημαντικών τροποποιήσεων που επιφέρουν σε σχέδιο τεχνικού κανόνα, αφορά μόνον την περίπτωση, στην οποία επέρχονται σημαντικές τροποποιήσεις, κατά τη διάρκεια της εθνικής νομοθετικής διαδικασίας, μετά από την κοινοποίηση του σχεδίου αυτού στην Επιτροπή.</w:t>
      </w:r>
    </w:p>
    <w:p w:rsidR="00B010E1" w:rsidRPr="00287FFE" w:rsidRDefault="00B010E1" w:rsidP="00B010E1">
      <w:pPr>
        <w:ind w:left="142" w:hanging="142"/>
        <w:jc w:val="both"/>
      </w:pPr>
      <w:r>
        <w:t>- Οι διατάξεις που θεσπίζουν την υποχρέωση λήψεως άδειας για τη διοργάνωση ή τη συγκέντρωση αθλητικών στοιχημάτων καθώς και την απαγόρευση χορηγήσεως άδειας σε ιδιωτικούς φορείς, δεν συνιστούν «τεχνικούς κανόνες» κατά την έννοια του άρθρου 1 παράγραφος 11 της εν λόγω οδηγίας. Οι εθνικές διατάξεις που περιορίζονται στην πρόβλεψη των προϋποθέσεων για την εγκατάσταση των επιχειρήσεων ή την παροχή υπηρεσιών εκ μέρους αυτών, όπως διατάξεις που εξαρτούν την άσκηση επαγγελματικής δραστηριότητας από προηγούμενη έγκριση, δεν συνιστούν τεχνικούς κανόνες κατά την έννοια της διατάξεως αυτής.</w:t>
      </w:r>
    </w:p>
    <w:p w:rsidR="00B010E1" w:rsidRDefault="00B010E1" w:rsidP="00B010E1">
      <w:pPr>
        <w:pStyle w:val="NormalWeb"/>
        <w:spacing w:before="0" w:beforeAutospacing="0" w:after="0" w:afterAutospacing="0"/>
        <w:jc w:val="both"/>
      </w:pPr>
    </w:p>
    <w:p w:rsidR="00160B40" w:rsidRPr="00287FFE" w:rsidRDefault="00160B40" w:rsidP="00B010E1">
      <w:pPr>
        <w:pStyle w:val="NormalWeb"/>
        <w:spacing w:before="0" w:beforeAutospacing="0" w:after="0" w:afterAutospacing="0"/>
        <w:jc w:val="both"/>
      </w:pPr>
    </w:p>
    <w:p w:rsidR="00B010E1" w:rsidRPr="00160B40" w:rsidRDefault="00160B40" w:rsidP="00B010E1">
      <w:pPr>
        <w:jc w:val="both"/>
        <w:rPr>
          <w:rFonts w:eastAsia="Calibri"/>
          <w:b/>
          <w:u w:val="single"/>
        </w:rPr>
      </w:pPr>
      <w:bookmarkStart w:id="4" w:name="c_heading"/>
      <w:r>
        <w:rPr>
          <w:b/>
          <w:u w:val="single"/>
        </w:rPr>
        <w:t>γ. Φορολογικά μέτρα</w:t>
      </w:r>
    </w:p>
    <w:bookmarkEnd w:id="4"/>
    <w:p w:rsidR="00B010E1" w:rsidRPr="00287FFE" w:rsidRDefault="00B010E1" w:rsidP="00B010E1">
      <w:pPr>
        <w:jc w:val="both"/>
        <w:rPr>
          <w:rFonts w:eastAsia="Calibri"/>
          <w:b/>
          <w:i/>
        </w:rPr>
      </w:pPr>
    </w:p>
    <w:p w:rsidR="00B010E1" w:rsidRPr="00287FFE" w:rsidRDefault="00B010E1" w:rsidP="00B010E1">
      <w:pPr>
        <w:jc w:val="both"/>
        <w:rPr>
          <w:rFonts w:eastAsia="Calibri"/>
          <w:b/>
          <w:i/>
        </w:rPr>
      </w:pPr>
      <w:r>
        <w:rPr>
          <w:b/>
          <w:i/>
        </w:rPr>
        <w:t>Απόφαση της 20ής Μαρτίου 1997, Bic Benelux, Υπόθεση C-13/96, EU:C:1997:173, σκέψεις 20 έως 26</w:t>
      </w:r>
    </w:p>
    <w:p w:rsidR="00B010E1" w:rsidRPr="00287FFE" w:rsidRDefault="00B010E1" w:rsidP="00B010E1">
      <w:pPr>
        <w:autoSpaceDE w:val="0"/>
        <w:autoSpaceDN w:val="0"/>
        <w:adjustRightInd w:val="0"/>
        <w:jc w:val="both"/>
      </w:pPr>
    </w:p>
    <w:p w:rsidR="00B010E1" w:rsidRPr="00287FFE" w:rsidRDefault="00B010E1" w:rsidP="00B010E1">
      <w:pPr>
        <w:autoSpaceDE w:val="0"/>
        <w:autoSpaceDN w:val="0"/>
        <w:adjustRightInd w:val="0"/>
        <w:jc w:val="both"/>
      </w:pPr>
      <w:r>
        <w:t xml:space="preserve">- Η υποχρέωση επιθέσεως συγκεκριμένων διακριτικών σημείων επί των προϊόντων που υπόκεινται σε φόρο λόγω των οικολογικών βλαβών που τεκμαίρεται ότι προκαλούν συνιστά τεχνική προδιαγραφή υπό την έννοια της οδηγίας 83/189 και ο εθνικός κανόνας που επιβάλλει την υποχρέωση αυτή αποτελεί τεχνικό κανόνα υπό την έννοια της ανωτέρω οδηγίας. </w:t>
      </w:r>
    </w:p>
    <w:p w:rsidR="00B010E1" w:rsidRPr="00287FFE" w:rsidRDefault="00160B40" w:rsidP="00B010E1">
      <w:pPr>
        <w:autoSpaceDE w:val="0"/>
        <w:autoSpaceDN w:val="0"/>
        <w:adjustRightInd w:val="0"/>
        <w:jc w:val="both"/>
      </w:pPr>
      <w:r>
        <w:t>- Το γεγονός ότι ένα εθνικό μέτρο θεσπίστηκε για την προστασία του περιβάλλοντος ή το γεγονός ότι το μέτρο αυτό δεν θέτει σε εφαρμογή τεχνικό πρότυπο που το ίδιο είναι ικανό να εμποδίσει την ελεύθερη κυκλοφορία δεν αποκλείουν το ενδεχόμενο να αποτελεί το μέτρο αυτό τεχνικό κανόνα υπό την έννοια της οδηγίας 83/189.</w:t>
      </w:r>
    </w:p>
    <w:p w:rsidR="00B010E1" w:rsidRPr="00287FFE" w:rsidRDefault="00160B40" w:rsidP="00B010E1">
      <w:pPr>
        <w:autoSpaceDE w:val="0"/>
        <w:autoSpaceDN w:val="0"/>
        <w:adjustRightInd w:val="0"/>
        <w:jc w:val="both"/>
      </w:pPr>
      <w:r>
        <w:t>- Εφόσον η επίμαχη υποχρέωση σημάνσεως ουδαμώς μπορεί να θεωρηθεί ότι αποτελεί αποκλειστικώς μέτρο που στηρίζει φορολογικά μέτρα, δεν συνιστά συνδεόμενη με φορολογικό μέτρο απαίτηση υπό την έννοια του άρθρου 1, παράγραφος 9, δεύτερο εδάφιο, τρίτη περίπτωση, της οδηγίας 83/189, όπως τροποποιήθηκε από την οδηγία 94/10.</w:t>
      </w:r>
    </w:p>
    <w:p w:rsidR="00600D1E" w:rsidRDefault="00600D1E" w:rsidP="00600D1E">
      <w:pPr>
        <w:jc w:val="both"/>
        <w:rPr>
          <w:rFonts w:eastAsia="Calibri"/>
          <w:b/>
        </w:rPr>
      </w:pPr>
    </w:p>
    <w:p w:rsidR="00B010E1" w:rsidRPr="00287FFE" w:rsidRDefault="00B010E1" w:rsidP="00600D1E">
      <w:pPr>
        <w:jc w:val="both"/>
        <w:rPr>
          <w:rFonts w:eastAsia="Calibri"/>
          <w:b/>
        </w:rPr>
      </w:pPr>
    </w:p>
    <w:p w:rsidR="00600D1E" w:rsidRPr="00160B40" w:rsidRDefault="00160B40" w:rsidP="00176B6B">
      <w:pPr>
        <w:keepNext/>
        <w:keepLines/>
        <w:jc w:val="both"/>
        <w:rPr>
          <w:rFonts w:eastAsia="Calibri"/>
          <w:b/>
          <w:u w:val="single"/>
        </w:rPr>
      </w:pPr>
      <w:bookmarkStart w:id="5" w:name="d_heading"/>
      <w:r>
        <w:rPr>
          <w:b/>
          <w:u w:val="single"/>
        </w:rPr>
        <w:lastRenderedPageBreak/>
        <w:t>δ. Υποχρέωση για γνωστοποίηση</w:t>
      </w:r>
    </w:p>
    <w:bookmarkEnd w:id="5"/>
    <w:p w:rsidR="00295CA4" w:rsidRPr="00287FFE" w:rsidRDefault="00295CA4" w:rsidP="00176B6B">
      <w:pPr>
        <w:keepNext/>
        <w:keepLines/>
        <w:jc w:val="both"/>
        <w:rPr>
          <w:rFonts w:eastAsia="Calibri"/>
          <w:b/>
        </w:rPr>
      </w:pPr>
    </w:p>
    <w:p w:rsidR="00B15802" w:rsidRPr="00287FFE" w:rsidRDefault="00B15802" w:rsidP="00176B6B">
      <w:pPr>
        <w:keepNext/>
        <w:keepLines/>
        <w:jc w:val="both"/>
        <w:rPr>
          <w:rFonts w:eastAsia="Calibri"/>
          <w:b/>
          <w:i/>
        </w:rPr>
      </w:pPr>
      <w:r>
        <w:rPr>
          <w:b/>
          <w:i/>
        </w:rPr>
        <w:t>Απόφαση της 10ης Ιουλίου 2014, Ivansson κ.λπ., Υπόθεση C-307/13, EU:C:2014:2058, σκέψεις 30-31, 46 έως 50</w:t>
      </w:r>
    </w:p>
    <w:p w:rsidR="00B15802" w:rsidRPr="00287FFE" w:rsidRDefault="00B15802" w:rsidP="00176B6B">
      <w:pPr>
        <w:keepNext/>
        <w:keepLines/>
        <w:jc w:val="both"/>
        <w:rPr>
          <w:rFonts w:eastAsia="Calibri"/>
        </w:rPr>
      </w:pPr>
    </w:p>
    <w:p w:rsidR="00B15802" w:rsidRPr="00287FFE" w:rsidRDefault="00356040" w:rsidP="00287FFE">
      <w:pPr>
        <w:ind w:left="142" w:hanging="142"/>
        <w:jc w:val="both"/>
      </w:pPr>
      <w:r>
        <w:t xml:space="preserve">- Η ημερομηνία που επιλέγουν εν τέλει οι εθνικές αρχές για την έναρξη ισχύος εθνικού μέτρου υπόκειται στην υποχρέωση γνωστοποίησης στην Επιτροπή, όπως προβλέπεται στο άρθρο 8 παράγραφος 1 τρίτο εδάφιο της οδηγίας 98/34, εφόσον το χρονοδιάγραμμα εφαρμογής του εν λόγω εθνικού μέτρου έχει όντως τροποποιηθεί και η τροποποίηση αυτή είναι σημαντική, πράγμα που εναπόκειται στο αιτούν δικαστήριο να εξακριβώσει. </w:t>
      </w:r>
    </w:p>
    <w:p w:rsidR="00B15802" w:rsidRPr="00287FFE" w:rsidRDefault="00287FFE" w:rsidP="00287FFE">
      <w:pPr>
        <w:ind w:left="142" w:hanging="142"/>
        <w:jc w:val="both"/>
        <w:rPr>
          <w:rFonts w:eastAsia="Calibri"/>
        </w:rPr>
      </w:pPr>
      <w:r>
        <w:t>- Μια «σημαντική» συντόμευση του χρονοδιαγράμματος που είχε αρχικά επιλεχθεί από τις εθνικές αρχές για την έναρξη ισχύος και την εφαρμογή ενός τεχνικού κανόνα υπόκειται σε υποχρέωση γνωστοποιήσεως στην Επιτροπή, όπως προβλέπει το άρθρο 8 παράγραφος 1 τρίτο εδάφιο της οδηγίας 98/34. Η παράλειψη της γνωστοποιήσεως αυτής συνεπάγεται το ανεφάρμοστο του εν λόγω εθνικού μέτρου, με αποτέλεσμα να μην μπορεί να αντιταχθεί στους ιδιώτες.</w:t>
      </w:r>
    </w:p>
    <w:p w:rsidR="00B15802" w:rsidRPr="00287FFE" w:rsidRDefault="00B15802" w:rsidP="00B15802">
      <w:pPr>
        <w:jc w:val="both"/>
        <w:rPr>
          <w:rFonts w:eastAsia="Calibri"/>
        </w:rPr>
      </w:pPr>
    </w:p>
    <w:p w:rsidR="00295CA4" w:rsidRPr="00287FFE" w:rsidRDefault="00295CA4" w:rsidP="00295CA4">
      <w:pPr>
        <w:jc w:val="both"/>
        <w:rPr>
          <w:rFonts w:eastAsia="Calibri"/>
          <w:b/>
          <w:i/>
        </w:rPr>
      </w:pPr>
      <w:r>
        <w:rPr>
          <w:b/>
          <w:i/>
        </w:rPr>
        <w:t>Απόφαση της 31ης Ιανουαρίου 2013, Belgische Petroleum Unie κ.λπ., Υπόθεση C-26/11, EU:C:2013:44, σκέψη 50</w:t>
      </w:r>
    </w:p>
    <w:p w:rsidR="00295CA4" w:rsidRPr="00287FFE" w:rsidRDefault="00295CA4" w:rsidP="00295CA4">
      <w:pPr>
        <w:jc w:val="both"/>
        <w:rPr>
          <w:rFonts w:eastAsia="Calibri"/>
        </w:rPr>
      </w:pPr>
    </w:p>
    <w:p w:rsidR="00295CA4" w:rsidRPr="00B010E1" w:rsidRDefault="00160B40" w:rsidP="00295CA4">
      <w:pPr>
        <w:jc w:val="both"/>
        <w:rPr>
          <w:rFonts w:eastAsia="Calibri"/>
        </w:rPr>
      </w:pPr>
      <w:r>
        <w:t>- Το άρθρο 8 της οδηγίας 98/34 σε συνδυασμό με το άρθρο 10 παράγραφος 1, δεν επιβάλλει την κοινοποίηση σχεδίου εθνικής ρυθμίσεως, όταν, αφότου είχε κοινοποιηθεί κατ’ εφαρμογήν του εν λόγω άρθρου 8, παράγραφος 1, πρώτο εδάφιο, το σχέδιο αυτό τροποποιήθηκε για να ληφθούν υπόψη οι σχετικές με αυτό παρατηρήσεις της Επιτροπής και, στη συνέχεια, το κατ’ αυτόν τροποποιημένο σχέδιο κοινοποιήθηκε σε αυτήν.</w:t>
      </w:r>
    </w:p>
    <w:p w:rsidR="00600D1E" w:rsidRPr="00287FFE" w:rsidRDefault="00600D1E" w:rsidP="00600D1E">
      <w:pPr>
        <w:jc w:val="both"/>
        <w:rPr>
          <w:rFonts w:eastAsia="Calibri"/>
          <w:b/>
        </w:rPr>
      </w:pPr>
    </w:p>
    <w:p w:rsidR="00295CA4" w:rsidRPr="00287FFE" w:rsidRDefault="00295CA4" w:rsidP="00295CA4">
      <w:pPr>
        <w:jc w:val="both"/>
        <w:rPr>
          <w:rFonts w:eastAsia="Calibri"/>
          <w:b/>
          <w:i/>
        </w:rPr>
      </w:pPr>
      <w:r>
        <w:rPr>
          <w:b/>
          <w:i/>
        </w:rPr>
        <w:t>Απόφαση της 15ης Απριλίου 2010, Sandström, Υπόθεση C-433/05, EU:C:2010:184, σκέψη 47</w:t>
      </w:r>
    </w:p>
    <w:p w:rsidR="00295CA4" w:rsidRPr="00287FFE" w:rsidRDefault="00295CA4" w:rsidP="00295CA4">
      <w:pPr>
        <w:jc w:val="both"/>
        <w:rPr>
          <w:rFonts w:eastAsia="Calibri"/>
          <w:b/>
          <w:i/>
        </w:rPr>
      </w:pPr>
      <w:r>
        <w:rPr>
          <w:b/>
          <w:i/>
        </w:rPr>
        <w:t xml:space="preserve"> </w:t>
      </w:r>
    </w:p>
    <w:p w:rsidR="00EC0275" w:rsidRPr="00B010E1" w:rsidRDefault="00160B40" w:rsidP="004A435C">
      <w:pPr>
        <w:jc w:val="both"/>
      </w:pPr>
      <w:r>
        <w:t>- Τροποποιήσεις οι οποίες επήλθαν σε σχέδιο τεχνικού κανόνα ήδη γνωστοποιηθέν στην Επιτροπή, σύμφωνα με το άρθρο 8, παράγραφος 1, πρώτο εδάφιο της οδηγίας 98/34, οι οποίες συνίστανται, σε σχέση με το γνωστοποιηθέν σχέδιο, απλώς και μόνο στη θέσπιση ελαστικότερων προϋποθέσεων χρήσεως του οικείου προϊόντος και οι οποίες επομένως μειώνουν τον ενδεχόμενο αντίκτυπο του τεχνικού κανόνα στο εμπόριο, δεν αποτελούν σημαντική τροποποίηση του σχεδίου, υπό την έννοια του άρθρου 8, παράγραφος 1, τρίτο εδάφιο, της οδηγίας αυτής. Συνεπώς, για τις τροποποιήσεις αυτές δεν ισχύει η υποχρέωση προηγούμενης γνωστοποιήσεως. </w:t>
      </w:r>
    </w:p>
    <w:p w:rsidR="00CE6151" w:rsidRPr="00287FFE" w:rsidRDefault="00CE6151" w:rsidP="004A435C">
      <w:pPr>
        <w:jc w:val="both"/>
        <w:rPr>
          <w:highlight w:val="yellow"/>
        </w:rPr>
      </w:pPr>
    </w:p>
    <w:p w:rsidR="006255E9" w:rsidRDefault="006255E9" w:rsidP="003C09E5">
      <w:pPr>
        <w:pStyle w:val="Style1"/>
      </w:pPr>
      <w:r>
        <w:br w:type="page"/>
      </w:r>
    </w:p>
    <w:p w:rsidR="00EB4A26" w:rsidRPr="006E49C8" w:rsidRDefault="00E96E31" w:rsidP="003C09E5">
      <w:pPr>
        <w:pStyle w:val="Style1"/>
      </w:pPr>
      <w:r>
        <w:lastRenderedPageBreak/>
        <w:t xml:space="preserve">II. </w:t>
      </w:r>
      <w:bookmarkStart w:id="6" w:name="Second_heading"/>
      <w:r>
        <w:t>Υποθέσεις μη γνωστοποίησης ή έκδοσης πριν από το τέλος της ανασταλτικής περιόδου</w:t>
      </w:r>
      <w:bookmarkEnd w:id="6"/>
      <w:r>
        <w:t xml:space="preserve"> (αδυναμία εφαρμογής)</w:t>
      </w:r>
    </w:p>
    <w:p w:rsidR="00EB4A26" w:rsidRPr="00287FFE" w:rsidRDefault="00EB4A26" w:rsidP="00143415">
      <w:pPr>
        <w:jc w:val="center"/>
        <w:rPr>
          <w:rFonts w:eastAsia="Calibri"/>
          <w:b/>
          <w:u w:val="single"/>
        </w:rPr>
      </w:pPr>
    </w:p>
    <w:p w:rsidR="00143415" w:rsidRPr="00287FFE" w:rsidRDefault="00143415" w:rsidP="00E96E31">
      <w:pPr>
        <w:pStyle w:val="NormalWeb"/>
        <w:spacing w:before="0" w:beforeAutospacing="0" w:after="0" w:afterAutospacing="0"/>
        <w:jc w:val="both"/>
        <w:rPr>
          <w:rFonts w:eastAsia="Calibri"/>
          <w:b/>
          <w:i/>
        </w:rPr>
      </w:pPr>
      <w:r>
        <w:rPr>
          <w:b/>
          <w:i/>
        </w:rPr>
        <w:t>Απόφαση της 30ής Απριλίου 1996, CIA Security International SA, Υπόθεση C-194/94, EU:C:1996:172, σκέψεις 54 και 55</w:t>
      </w:r>
    </w:p>
    <w:p w:rsidR="00143415" w:rsidRPr="00287FFE" w:rsidRDefault="00143415" w:rsidP="00143415">
      <w:pPr>
        <w:autoSpaceDE w:val="0"/>
        <w:autoSpaceDN w:val="0"/>
        <w:adjustRightInd w:val="0"/>
        <w:jc w:val="both"/>
      </w:pPr>
    </w:p>
    <w:p w:rsidR="00143415" w:rsidRPr="00287FFE" w:rsidRDefault="00160B40" w:rsidP="00143415">
      <w:pPr>
        <w:autoSpaceDE w:val="0"/>
        <w:autoSpaceDN w:val="0"/>
        <w:adjustRightInd w:val="0"/>
        <w:jc w:val="both"/>
      </w:pPr>
      <w:r>
        <w:t>- Η οδηγία 83/189 έχει την έννοια ότι η παράβαση της υποχρεώσεως κοινοποιήσεως συνεπάγεται τη μη δυνατότητα εφαρμογής των οικείων τεχνικών κανόνων, ώστε αυτοί να μην είναι αντιτάξιμοι έναντι των ιδιωτών. Οι ιδιώτες μπορούν να τα επικαλούνται τα άρθρα 8 και 9 της οδηγίας 83/189 ενώπιον των εθνικών δικαστηρίων, τα οποία οφείλουν να αρνούνται την εφαρμογή εθνικού τεχνικού κανόνα ο οποίος δεν κοινοποιήθηκε σύμφωνα με την οδηγία.</w:t>
      </w:r>
    </w:p>
    <w:p w:rsidR="00143415" w:rsidRPr="00287FFE" w:rsidRDefault="00143415" w:rsidP="004A435C">
      <w:pPr>
        <w:jc w:val="both"/>
        <w:rPr>
          <w:rFonts w:eastAsia="Calibri"/>
          <w:b/>
          <w:i/>
        </w:rPr>
      </w:pPr>
    </w:p>
    <w:p w:rsidR="00E96E31" w:rsidRPr="00287FFE" w:rsidRDefault="00E96E31" w:rsidP="00E96E31">
      <w:pPr>
        <w:pStyle w:val="NormalWeb"/>
        <w:spacing w:before="0" w:beforeAutospacing="0" w:after="0" w:afterAutospacing="0"/>
        <w:jc w:val="both"/>
        <w:rPr>
          <w:rFonts w:eastAsia="Calibri"/>
          <w:b/>
          <w:i/>
        </w:rPr>
      </w:pPr>
      <w:r>
        <w:rPr>
          <w:b/>
          <w:i/>
        </w:rPr>
        <w:t>Απόφαση της 16ης Σεπτεμβρίου 1997, Επιτροπή κατά Ιταλίας, C</w:t>
      </w:r>
      <w:r>
        <w:noBreakHyphen/>
      </w:r>
      <w:r>
        <w:rPr>
          <w:b/>
          <w:i/>
        </w:rPr>
        <w:t>279/94, EU:C:1997:396, σκέψεις 40 και 41</w:t>
      </w:r>
    </w:p>
    <w:p w:rsidR="00E91B63" w:rsidRPr="00287FFE" w:rsidRDefault="00E91B63" w:rsidP="00E96E31">
      <w:pPr>
        <w:pStyle w:val="NormalWeb"/>
        <w:spacing w:before="0" w:beforeAutospacing="0" w:after="0" w:afterAutospacing="0"/>
        <w:jc w:val="both"/>
        <w:rPr>
          <w:rFonts w:eastAsia="Calibri"/>
          <w:b/>
          <w:i/>
        </w:rPr>
      </w:pPr>
    </w:p>
    <w:p w:rsidR="00E96E31" w:rsidRPr="00287FFE" w:rsidRDefault="00160B40" w:rsidP="00E96E31">
      <w:pPr>
        <w:jc w:val="both"/>
      </w:pPr>
      <w:r>
        <w:t>- Μολονότι το άρθρο 8, παράγραφος 1 της οδηγίας 83/189 απαιτεί την κοινοποίηση στην Επιτροπή του συνόλου ενός σχεδίου νόμου που περιέχει τεχνικούς κανόνες, εντούτοις το ανεφάρμοστο που συνεπάγεται η μη τήρηση της εν λόγω υποχρεώσεως αφορά όχι το σύνολο των διατάξεων του νόμου αλλά μόνον τους τεχνικούς κανόνες που περιλαμβάνονται σε αυτόν.</w:t>
      </w:r>
    </w:p>
    <w:p w:rsidR="00143415" w:rsidRPr="00287FFE" w:rsidRDefault="00143415" w:rsidP="00143415">
      <w:pPr>
        <w:jc w:val="both"/>
        <w:rPr>
          <w:rFonts w:eastAsia="Calibri"/>
          <w:b/>
          <w:i/>
        </w:rPr>
      </w:pPr>
    </w:p>
    <w:p w:rsidR="00E91B63" w:rsidRPr="00287FFE" w:rsidRDefault="00E91B63" w:rsidP="00E91B63">
      <w:pPr>
        <w:pStyle w:val="NormalWeb"/>
        <w:spacing w:before="0" w:beforeAutospacing="0" w:after="0" w:afterAutospacing="0"/>
        <w:rPr>
          <w:rFonts w:eastAsia="Calibri"/>
          <w:b/>
          <w:i/>
        </w:rPr>
      </w:pPr>
      <w:r>
        <w:rPr>
          <w:b/>
          <w:i/>
        </w:rPr>
        <w:t>Απόφαση της 16ης Ιουνίου 1998, Lemmens, Υπόθεση C-226/97, EU:C:1998:296, σκέψεις 34 έως 37</w:t>
      </w:r>
    </w:p>
    <w:p w:rsidR="00E91B63" w:rsidRPr="00287FFE" w:rsidRDefault="00E91B63" w:rsidP="00E91B63">
      <w:pPr>
        <w:jc w:val="both"/>
      </w:pPr>
    </w:p>
    <w:p w:rsidR="00E91B63" w:rsidRPr="00287FFE" w:rsidRDefault="00160B40" w:rsidP="00E91B63">
      <w:pPr>
        <w:jc w:val="both"/>
      </w:pPr>
      <w:r>
        <w:t xml:space="preserve">- Η οδηγία 83/189 του Συμβουλίου πρέπει να ερμηνευθεί κατά την έννοια ότι η μη τήρηση της υποχρεώσεως, που επιβάλλεται από το άρθρο 8 αυτής, κοινοποιήσεως μιας τεχνικής κανονιστικής ρυθμίσεως που αφορά τις συσκευές αναλύσεως της αναπνοής δεν έχει ως αποτέλεσμα να μη μπορεί να αντιταχθεί στον ιδιώτη, στον οποίο καταλογίζεται η οδήγηση σε κατάσταση μέθης, η απόδειξη που επιτυγχάνεται μέσω συσκευής αναλύσεως της αναπνοής εγκεκριμένης σύμφωνα με μη κοινοποιηθέντες κανόνες. Η χρησιμοποίηση ενός προϊόντος από τις δημόσιες αρχές δεν μπορεί να δημιουργήσει εμπόδιο στο εμπόριο που θα μπορούσε να αποφευχθεί αν είχε ακολουθηθεί η διαδικασία της κοινοποιήσεως. </w:t>
      </w:r>
    </w:p>
    <w:p w:rsidR="00E91B63" w:rsidRPr="00287FFE" w:rsidRDefault="00E91B63" w:rsidP="00E96E31">
      <w:pPr>
        <w:rPr>
          <w:rFonts w:eastAsia="Calibri"/>
          <w:b/>
          <w:i/>
        </w:rPr>
      </w:pPr>
    </w:p>
    <w:p w:rsidR="00E96E31" w:rsidRPr="00287FFE" w:rsidRDefault="00E96E31" w:rsidP="00E96E31">
      <w:r>
        <w:rPr>
          <w:b/>
          <w:i/>
        </w:rPr>
        <w:t xml:space="preserve">Απόφαση της 26ης Σεπτεμβρίου 2000, Unilever, Υπόθεση C-443/98, EU:C:2000:496, σκέψεις 44, 49 έως 51 </w:t>
      </w:r>
    </w:p>
    <w:p w:rsidR="00E96E31" w:rsidRPr="00287FFE" w:rsidRDefault="00E96E31" w:rsidP="00E96E31">
      <w:pPr>
        <w:jc w:val="both"/>
        <w:rPr>
          <w:highlight w:val="yellow"/>
        </w:rPr>
      </w:pPr>
    </w:p>
    <w:p w:rsidR="00E96E31" w:rsidRPr="00287FFE" w:rsidRDefault="00160B40" w:rsidP="00E96E31">
      <w:pPr>
        <w:jc w:val="both"/>
      </w:pPr>
      <w:r>
        <w:t xml:space="preserve">- Η παράβαση των υποχρεώσεων αναβολής έγκρισης που προβλέπει το άρθρο 9 της οδηγίας 98/34 συνιστά ουσιώδη διαδικαστική πλημμέλεια ικανή να επιφέρει τη μη εφαρμογή των τεχνικών κανόνων. Στο πλαίσιο αστικής δίκης μεταξύ ιδιωτών με αντικείμενο δικαιώματα και υποχρεώσεις εκ συμβάσεως, η εφαρμογή τεχνικών κανόνων που θεσπίστηκαν κατά παράβαση του άρθρου 9 της οδηγίας μπορεί να έχει ως συνέπεια την παρεμβολή εμποδίων στη χρήση ή τη διάθεση στο εμπόριο ενός προϊόντος που δεν είναι σύμφωνο με τους κανόνες αυτούς. </w:t>
      </w:r>
    </w:p>
    <w:p w:rsidR="00E96E31" w:rsidRPr="00287FFE" w:rsidRDefault="00E96E31" w:rsidP="00E96E31">
      <w:pPr>
        <w:pStyle w:val="NormalWeb"/>
        <w:spacing w:before="0" w:beforeAutospacing="0" w:after="0" w:afterAutospacing="0"/>
        <w:rPr>
          <w:rFonts w:eastAsia="Calibri"/>
          <w:b/>
          <w:i/>
        </w:rPr>
      </w:pPr>
    </w:p>
    <w:p w:rsidR="00E96E31" w:rsidRPr="00287FFE" w:rsidRDefault="00E96E31" w:rsidP="00E96E31">
      <w:pPr>
        <w:pStyle w:val="NormalWeb"/>
        <w:spacing w:before="0" w:beforeAutospacing="0" w:after="0" w:afterAutospacing="0"/>
        <w:jc w:val="both"/>
        <w:rPr>
          <w:rFonts w:eastAsia="Calibri"/>
          <w:b/>
          <w:i/>
        </w:rPr>
      </w:pPr>
      <w:r>
        <w:rPr>
          <w:b/>
          <w:i/>
        </w:rPr>
        <w:t>Απόφαση της 6ης Ιουνίου 2002, Sapod Audic, Υπόθεση C-159/00, EU:C:2002:343, σκέψεις 50, 53</w:t>
      </w:r>
    </w:p>
    <w:p w:rsidR="00E96E31" w:rsidRPr="00287FFE" w:rsidRDefault="00E96E31" w:rsidP="00E96E31">
      <w:pPr>
        <w:jc w:val="both"/>
      </w:pPr>
    </w:p>
    <w:p w:rsidR="00E96E31" w:rsidRPr="00287FFE" w:rsidRDefault="00160B40" w:rsidP="00E96E31">
      <w:pPr>
        <w:jc w:val="both"/>
      </w:pPr>
      <w:r>
        <w:t>- Μπορεί να γίνει επίκληση της μη δυνατότητας εφαρμογής ενός τεχνικού κανόνα ο οποίος δεν κοινοποιήθηκε σύμφωνα με το άρθρο 8 της οδηγίας 98/34 σε νομικές διαδικασίες μεταξύ ιδιωτών σχετικά, μεταξύ άλλων, με συμβατικής φύσε</w:t>
      </w:r>
      <w:r w:rsidR="00176B6B">
        <w:t xml:space="preserve">ως δικαιώματα και υποχρεώσεις. </w:t>
      </w:r>
      <w:r>
        <w:t xml:space="preserve">Στην περίπτωση αυτή, εναπόκειται στο εθνικό δικαστήριο να αρνηθεί την εφαρμογή της διατάξεως αυτής, διευκρινιζομένου ότι το ζήτημα των συμπερασμάτων τα οποία πρέπει να συναχθούν από </w:t>
      </w:r>
      <w:r>
        <w:lastRenderedPageBreak/>
        <w:t>τη μη δυνατότητα εφαρμογής της εν λόγω εθνικής διατάξεως όσον αφορά το εύρος της κυρώσεως που προβλέπει το εφαρμοστέο εθνικό δίκαιο, όπως είναι η ακυρότητα ή η μη δυνατότητα αντιτάξεως μιας συμβάσεως, διέπεται από το εθνικό δίκαιο. Το συμπέρασμα αυτό εξαρτάται ωστόσο από την προϋπόθεση ότι οι εφαρμοστέοι κανόνες του εθνικού δικαίου δεν είναι λιγότερο ευνοϊκοί από εκείνους που εφαρμόζονται σε παρόμοιες αξιώσεις στηριζόμενες στο εσωτερικό δίκαιο και δεν έχουν διαμορφωθεί κατά τρόπο ώστε να καθίσταται πρακτικώς αδύνατη η άσκηση των δικαιωμάτων που αναγνωρίζει η έννομη τάξη της Ένωσης.</w:t>
      </w:r>
    </w:p>
    <w:p w:rsidR="00E96E31" w:rsidRPr="00287FFE" w:rsidRDefault="00E96E31" w:rsidP="00E96E31">
      <w:pPr>
        <w:jc w:val="both"/>
      </w:pPr>
    </w:p>
    <w:p w:rsidR="00143415" w:rsidRPr="00287FFE" w:rsidRDefault="00143415" w:rsidP="00143415">
      <w:pPr>
        <w:jc w:val="both"/>
        <w:rPr>
          <w:rFonts w:eastAsia="Calibri"/>
          <w:b/>
          <w:i/>
        </w:rPr>
      </w:pPr>
      <w:r>
        <w:rPr>
          <w:b/>
          <w:i/>
        </w:rPr>
        <w:t>Απόφαση της 31ης Ιανουαρίου 2013, Belgische Petroleum Unie κ.λπ., Υπόθεση C-26/11, EU:C:2013:44, σκέψη 50</w:t>
      </w:r>
    </w:p>
    <w:p w:rsidR="00143415" w:rsidRPr="00287FFE" w:rsidRDefault="00143415" w:rsidP="00143415">
      <w:pPr>
        <w:jc w:val="both"/>
      </w:pPr>
    </w:p>
    <w:p w:rsidR="00143415" w:rsidRPr="00160B40" w:rsidRDefault="00160B40" w:rsidP="00143415">
      <w:pPr>
        <w:jc w:val="both"/>
      </w:pPr>
      <w:r>
        <w:t>- Η παράβαση της υποχρεώσεως κοινοποιήσεως συνιστά ουσιώδη διαδικαστική πλημμέλεια, ικανή να καταστήσει ανεφάρμοστους τους περί ων πρόκειται τεχνικούς κανόνες, με αποτέλεσμα αυτοί να μη μπορούν να αντιταχθούν στους ιδιώτες.</w:t>
      </w:r>
    </w:p>
    <w:p w:rsidR="00143415" w:rsidRPr="00287FFE" w:rsidRDefault="00143415" w:rsidP="00143415">
      <w:pPr>
        <w:jc w:val="both"/>
        <w:rPr>
          <w:rFonts w:eastAsia="Calibri"/>
          <w:b/>
          <w:i/>
        </w:rPr>
      </w:pPr>
    </w:p>
    <w:p w:rsidR="00B15802" w:rsidRPr="00287FFE" w:rsidRDefault="00B15802" w:rsidP="00B15802">
      <w:pPr>
        <w:jc w:val="both"/>
        <w:rPr>
          <w:rFonts w:eastAsia="Calibri"/>
          <w:b/>
          <w:i/>
        </w:rPr>
      </w:pPr>
      <w:r>
        <w:rPr>
          <w:b/>
          <w:i/>
        </w:rPr>
        <w:t>Απόφαση της 10ης Ιουλίου 2014, Ivansson κ.λπ., Υπόθεση C</w:t>
      </w:r>
      <w:r>
        <w:rPr>
          <w:rFonts w:ascii="MS Gothic" w:hAnsi="MS Gothic"/>
          <w:b/>
          <w:i/>
        </w:rPr>
        <w:t>-</w:t>
      </w:r>
      <w:r>
        <w:rPr>
          <w:b/>
          <w:i/>
        </w:rPr>
        <w:t>307/13, EU:C:2014:2058, σκέψεις 47 έως 50</w:t>
      </w:r>
    </w:p>
    <w:p w:rsidR="00B15802" w:rsidRPr="00287FFE" w:rsidRDefault="00B15802" w:rsidP="00B15802">
      <w:pPr>
        <w:jc w:val="both"/>
        <w:rPr>
          <w:rFonts w:eastAsia="Calibri"/>
        </w:rPr>
      </w:pPr>
    </w:p>
    <w:p w:rsidR="00B15802" w:rsidRPr="00287FFE" w:rsidRDefault="00160B40" w:rsidP="00B15802">
      <w:pPr>
        <w:jc w:val="both"/>
        <w:rPr>
          <w:rFonts w:eastAsia="Calibri"/>
        </w:rPr>
      </w:pPr>
      <w:r>
        <w:t>- Μια «σημαντική» συντόμευση του χρονοδιαγράμματος που είχε αρχικά επιλεχθεί από τις εθνικές αρχές για την έναρξη ισχύος και την εφαρμογή ενός τεχνικού κανόνα υπόκειται σε υποχρέωση γνωστοποιήσεως στην Επιτροπή, όπως προβλέπει το άρθρο 8 παράγραφος 1 τρίτο εδάφιο της οδηγίας 98/34. Η παράλειψη της γνωστοποιήσεως αυτής συνεπάγεται το ανεφάρμοστο του εν λόγω εθνικού μέτρου, με αποτέλεσμα να μην μπορεί να αντιταχθεί στους ιδιώτες.</w:t>
      </w:r>
    </w:p>
    <w:p w:rsidR="00B15802" w:rsidRPr="00287FFE" w:rsidRDefault="00B15802" w:rsidP="00B15802">
      <w:pPr>
        <w:ind w:left="142" w:hanging="142"/>
        <w:jc w:val="both"/>
        <w:rPr>
          <w:rFonts w:eastAsia="Calibri"/>
        </w:rPr>
      </w:pPr>
    </w:p>
    <w:p w:rsidR="00143415" w:rsidRPr="00287FFE" w:rsidRDefault="00143415" w:rsidP="00143415">
      <w:pPr>
        <w:jc w:val="both"/>
        <w:rPr>
          <w:rFonts w:eastAsia="Calibri"/>
          <w:b/>
          <w:i/>
        </w:rPr>
      </w:pPr>
      <w:r>
        <w:rPr>
          <w:b/>
          <w:i/>
        </w:rPr>
        <w:t>Απόφαση της 11ης Ιουνίου 2015, Berlington Hungary κ.λπ., Υπόθεση C-98/14, EU:C:2015:386, σκέψεις 107 έως 110</w:t>
      </w:r>
    </w:p>
    <w:p w:rsidR="00143415" w:rsidRPr="00287FFE" w:rsidRDefault="00143415" w:rsidP="00143415">
      <w:pPr>
        <w:jc w:val="both"/>
      </w:pPr>
    </w:p>
    <w:p w:rsidR="00143415" w:rsidRPr="00287FFE" w:rsidRDefault="00160B40" w:rsidP="00143415">
      <w:pPr>
        <w:jc w:val="both"/>
      </w:pPr>
      <w:r>
        <w:t>- Τα άρθρα 8 και 9 της οδηγίας 98/34 δεν σκοπούν στην απονομή δικαιωμάτων στους ιδιώτες, έτσι ώστε η παράβασή τους από κράτος μέλος να συνεπάγεται δικαίωμα των ιδιωτών για αποκατάσταση από το ως άνω κράτος μέλος της ζημίας την οποία υπέστησαν εξαιτίας της παραβάσεως αυτής με βάση το δίκαιο της Ευρωπαϊκής Ένωσης.</w:t>
      </w:r>
    </w:p>
    <w:p w:rsidR="00143415" w:rsidRPr="00287FFE" w:rsidRDefault="00143415" w:rsidP="00143415">
      <w:pPr>
        <w:jc w:val="both"/>
        <w:rPr>
          <w:rFonts w:eastAsia="Calibri"/>
          <w:b/>
          <w:i/>
        </w:rPr>
      </w:pPr>
    </w:p>
    <w:p w:rsidR="00143415" w:rsidRPr="00287FFE" w:rsidRDefault="00143415" w:rsidP="00143415">
      <w:pPr>
        <w:jc w:val="both"/>
        <w:rPr>
          <w:rFonts w:eastAsia="Calibri"/>
          <w:b/>
          <w:i/>
        </w:rPr>
      </w:pPr>
      <w:r>
        <w:rPr>
          <w:b/>
          <w:i/>
        </w:rPr>
        <w:t xml:space="preserve">Απόφαση της 16ης Ιουλίου 2015, UNIC και Uni.co.pel, Υπόθεση C-95/14, </w:t>
      </w:r>
      <w:r>
        <w:rPr>
          <w:rStyle w:val="outputecliaff"/>
          <w:b/>
          <w:i/>
        </w:rPr>
        <w:t>EU:C:2015:492,</w:t>
      </w:r>
      <w:r>
        <w:rPr>
          <w:rStyle w:val="outputecliaff"/>
          <w:i/>
        </w:rPr>
        <w:t xml:space="preserve"> </w:t>
      </w:r>
      <w:r>
        <w:rPr>
          <w:b/>
          <w:i/>
        </w:rPr>
        <w:t>σκέψεις 29-30</w:t>
      </w:r>
    </w:p>
    <w:p w:rsidR="00143415" w:rsidRPr="00287FFE" w:rsidRDefault="00143415" w:rsidP="00143415">
      <w:pPr>
        <w:jc w:val="both"/>
        <w:rPr>
          <w:rFonts w:eastAsia="Calibri"/>
        </w:rPr>
      </w:pPr>
    </w:p>
    <w:p w:rsidR="00143415" w:rsidRPr="00287FFE" w:rsidRDefault="00160B40" w:rsidP="00143415">
      <w:pPr>
        <w:jc w:val="both"/>
        <w:rPr>
          <w:rFonts w:eastAsia="Calibri"/>
        </w:rPr>
      </w:pPr>
      <w:r>
        <w:t>- Δεν μπορεί να εφαρμοσθεί τεχνικός κανόνας όταν δεν έχει γνωστοποιηθεί σύμφωνα με το άρθρο 8, παράγραφος 1, της οδηγίας 98/34, ή όταν, καίτοι έχει γνωστοποιηθεί, έχει εγκριθεί και εκτελεσθεί προ της παρελεύσεως της περιόδου αναστολής τριών μηνών την οποία προβλέπει το άρθρο 9, παράγραφος 1, της εν λόγω οδηγίας.</w:t>
      </w:r>
    </w:p>
    <w:p w:rsidR="00143415" w:rsidRPr="00287FFE" w:rsidRDefault="00160B40" w:rsidP="00143415">
      <w:pPr>
        <w:jc w:val="both"/>
        <w:rPr>
          <w:rFonts w:eastAsia="Calibri"/>
        </w:rPr>
      </w:pPr>
      <w:r>
        <w:t>- Η μη τήρηση αυτής της ανασταλτικής προθεσμίας συνιστά ουσιώδη διαδικαστική πλημμέλεια ικανή να επιφέρει τη μη εφαρμογή του επίμαχου τεχνικού κανόνα και μη αντιτάξιμο έναντι των ιδιωτών.</w:t>
      </w:r>
    </w:p>
    <w:p w:rsidR="00EB4A26" w:rsidRPr="00287FFE" w:rsidRDefault="00EB4A26" w:rsidP="004A435C">
      <w:pPr>
        <w:jc w:val="both"/>
        <w:rPr>
          <w:rFonts w:ascii="Arial" w:hAnsi="Arial" w:cs="Arial"/>
        </w:rPr>
      </w:pPr>
    </w:p>
    <w:p w:rsidR="00EB4A26" w:rsidRPr="00287FFE" w:rsidRDefault="00EB4A26" w:rsidP="004A435C">
      <w:pPr>
        <w:jc w:val="both"/>
        <w:rPr>
          <w:rFonts w:eastAsia="Calibri"/>
          <w:b/>
          <w:i/>
        </w:rPr>
      </w:pPr>
      <w:r>
        <w:rPr>
          <w:b/>
          <w:i/>
        </w:rPr>
        <w:t>Απόφαση της 2ας Φεβρουαρίου 2016, Ince, Υπόθεση C-336/14, EU:C:2016:72, σκέψεις 67-68</w:t>
      </w:r>
    </w:p>
    <w:p w:rsidR="00B65378" w:rsidRPr="00287FFE" w:rsidRDefault="00B65378" w:rsidP="004A435C">
      <w:pPr>
        <w:jc w:val="both"/>
      </w:pPr>
    </w:p>
    <w:p w:rsidR="00EB4A26" w:rsidRPr="00287FFE" w:rsidRDefault="00160B40" w:rsidP="004A435C">
      <w:pPr>
        <w:jc w:val="both"/>
      </w:pPr>
      <w:r>
        <w:t>- Η μη τήρηση της υποχρεώσεως κοινοποιήσεως που προβλέπεται από το άρθρο 8, παράγραφος 1, της οδηγίας 98/34 συνιστά διαδικαστική πλημμέλεια κατά τη θέσπιση των οικείων τεχνικών κανόνων και συνεπάγεται τη μη δυνατότητα εφαρμογής των ως άνω τεχνικών κανόνων, με αποτέλεσμα να μην είναι αντιτάξιμοι στους ιδιώτες στο πλαίσιο ποινικών διαδικασιών.</w:t>
      </w:r>
    </w:p>
    <w:p w:rsidR="00EB4A26" w:rsidRPr="00287FFE" w:rsidRDefault="00160B40" w:rsidP="004A435C">
      <w:pPr>
        <w:jc w:val="both"/>
        <w:rPr>
          <w:rFonts w:eastAsia="Calibri"/>
        </w:rPr>
      </w:pPr>
      <w:r>
        <w:lastRenderedPageBreak/>
        <w:t>- Μολονότι το άρθρο 8, παράγραφος 1 της οδηγίας 98/34 απαιτεί την κοινοποίηση στην Επιτροπή του συνόλου ενός σχεδίου νόμου που περιέχει τεχνικούς κανόνες, εντούτοις το ανεφάρμοστο που συνεπάγεται η μη τήρηση της εν λόγω υποχρεώσεως αφορά όχι το σύνολο των διατάξεων του νόμου αλλά μόνον τους τεχνικούς κανόνες που περιλαμβάνονται σε αυτόν.</w:t>
      </w:r>
    </w:p>
    <w:p w:rsidR="00160B40" w:rsidRPr="00287FFE" w:rsidRDefault="00160B40" w:rsidP="004A435C">
      <w:pPr>
        <w:jc w:val="both"/>
        <w:rPr>
          <w:rFonts w:eastAsia="Calibri"/>
          <w:b/>
          <w:i/>
        </w:rPr>
      </w:pPr>
    </w:p>
    <w:p w:rsidR="00143415" w:rsidRPr="00287FFE" w:rsidRDefault="00143415" w:rsidP="00143415">
      <w:pPr>
        <w:jc w:val="both"/>
        <w:rPr>
          <w:rFonts w:eastAsia="Calibri"/>
          <w:b/>
          <w:i/>
        </w:rPr>
      </w:pPr>
      <w:r>
        <w:rPr>
          <w:b/>
          <w:i/>
        </w:rPr>
        <w:t>Διάταξη της 21ης Απριλίου 2016, Beca Engineering, Υπόθεση C-285/15, EU:C:2016:295, σκέψη 37</w:t>
      </w:r>
    </w:p>
    <w:p w:rsidR="00143415" w:rsidRPr="00287FFE" w:rsidRDefault="00143415" w:rsidP="00143415">
      <w:pPr>
        <w:jc w:val="both"/>
      </w:pPr>
    </w:p>
    <w:p w:rsidR="00143415" w:rsidRPr="00287FFE" w:rsidRDefault="00CC592B" w:rsidP="00143415">
      <w:pPr>
        <w:jc w:val="both"/>
      </w:pPr>
      <w:r>
        <w:t xml:space="preserve">- Η παράβαση της υποχρέωσης κοινοποίησης των τεχνικών κανόνων που προβλέπεται στο άρθρο 8 της οδηγίας 98/34 καθιστά τους σχετικούς τεχνικούς κανόνες ανεφάρμοστους, με αποτέλεσμα να μην μπορούν να επιβληθούν στους ιδιώτες και οι ιδιώτες να μπορούν να επικαλεστούν το άρθρο 8 της οδηγίας 98/34 ενώπιον των εθνικών δικαστηρίων. Ο εθνικός δικαστής οφείλει να αρνηθεί να εφαρμόσει έναν εθνικό τεχνικό κανόνα που δεν έχει κοινοποιηθεί σύμφωνα με την οδηγία. </w:t>
      </w:r>
    </w:p>
    <w:p w:rsidR="00143415" w:rsidRPr="00287FFE" w:rsidRDefault="00143415" w:rsidP="00143415">
      <w:pPr>
        <w:jc w:val="both"/>
        <w:rPr>
          <w:rFonts w:eastAsia="Calibri"/>
          <w:b/>
          <w:i/>
        </w:rPr>
      </w:pPr>
    </w:p>
    <w:p w:rsidR="00143415" w:rsidRPr="00287FFE" w:rsidRDefault="00143415" w:rsidP="00143415">
      <w:pPr>
        <w:jc w:val="both"/>
        <w:rPr>
          <w:rFonts w:eastAsia="Calibri"/>
          <w:b/>
          <w:i/>
        </w:rPr>
      </w:pPr>
      <w:r>
        <w:rPr>
          <w:b/>
          <w:i/>
        </w:rPr>
        <w:t>Απόφαση της 1ης Φεβρουαρίου 2017, Município de Palmela, Υπόθεση C-144/16, EU:C:2017:76, σκέψεις 35 έως 38</w:t>
      </w:r>
    </w:p>
    <w:p w:rsidR="00143415" w:rsidRPr="00287FFE" w:rsidRDefault="00143415" w:rsidP="00143415">
      <w:pPr>
        <w:jc w:val="both"/>
      </w:pPr>
    </w:p>
    <w:p w:rsidR="00143415" w:rsidRPr="00287FFE" w:rsidRDefault="00CC592B" w:rsidP="00143415">
      <w:pPr>
        <w:jc w:val="both"/>
      </w:pPr>
      <w:r>
        <w:t>- Το άρθρο 8 παράγραφος 1 της οδηγίας 98/34 πρέπει να ερμηνευθεί υπό την έννοια ότι η κύρωση του μη αντιτάξιμου ενός τεχνικού κανόνα ο οποίος δεν κοινοποιήθηκε ισχύει μόνο για τον εν λόγω τεχνικό κανόνα και όχι για ολόκληρο το νομοθετικό κείμενο στο οποίο αυτός περιλαμβάνεται.</w:t>
      </w:r>
    </w:p>
    <w:p w:rsidR="00143415" w:rsidRPr="006255E9" w:rsidRDefault="00143415" w:rsidP="00143415">
      <w:pPr>
        <w:jc w:val="both"/>
        <w:rPr>
          <w:rFonts w:eastAsia="Calibri"/>
        </w:rPr>
      </w:pPr>
    </w:p>
    <w:p w:rsidR="006255E9" w:rsidRDefault="006255E9" w:rsidP="006255E9">
      <w:pPr>
        <w:pStyle w:val="Style1"/>
      </w:pPr>
      <w:r>
        <w:br w:type="page"/>
      </w:r>
    </w:p>
    <w:p w:rsidR="00B65378" w:rsidRPr="006E49C8" w:rsidRDefault="00E96E31" w:rsidP="006255E9">
      <w:pPr>
        <w:pStyle w:val="Style1"/>
      </w:pPr>
      <w:bookmarkStart w:id="7" w:name="Third_heading"/>
      <w:r>
        <w:lastRenderedPageBreak/>
        <w:t>III. Αδυναμία εκπλήρωσης από ένα κράτος μέλος των υποχρεώσεών του</w:t>
      </w:r>
    </w:p>
    <w:bookmarkEnd w:id="7"/>
    <w:p w:rsidR="00143415" w:rsidRPr="00287FFE" w:rsidRDefault="00143415" w:rsidP="004A435C">
      <w:pPr>
        <w:jc w:val="both"/>
        <w:rPr>
          <w:rFonts w:eastAsia="Calibri"/>
          <w:b/>
          <w:i/>
        </w:rPr>
      </w:pPr>
    </w:p>
    <w:p w:rsidR="00EB4A26" w:rsidRPr="00287FFE" w:rsidRDefault="00EB4A26" w:rsidP="004A435C">
      <w:pPr>
        <w:jc w:val="both"/>
        <w:rPr>
          <w:rFonts w:eastAsia="Calibri"/>
          <w:b/>
          <w:i/>
        </w:rPr>
      </w:pPr>
      <w:r>
        <w:rPr>
          <w:b/>
          <w:i/>
        </w:rPr>
        <w:t>Απόφαση της 4ης Ιουνίου 2009, Επιτροπή κατά Ελλάδας, Υπόθεση C-109/08, EU:C:2009:346</w:t>
      </w:r>
    </w:p>
    <w:p w:rsidR="00E91B63" w:rsidRPr="00287FFE" w:rsidRDefault="00E91B63" w:rsidP="004A435C">
      <w:pPr>
        <w:jc w:val="both"/>
      </w:pPr>
    </w:p>
    <w:p w:rsidR="00EB4A26" w:rsidRPr="00287FFE" w:rsidRDefault="00CC592B" w:rsidP="004A435C">
      <w:pPr>
        <w:jc w:val="both"/>
      </w:pPr>
      <w:r>
        <w:t>- Η Ελληνική Δημοκρατία, μη τροποποιώντας τα άρθρα 2, παράγραφος 1, και 3 του νόμου 3037/2002, με τα οποία θεσπίζεται απαγόρευση εγκαταστάσεως και λειτουργίας, σε κάθε δημόσιο ή ιδιωτικό χώρο, εκτός των καζίνων, όλων των ηλεκτρικών, ηλεκτρομηχανικών και ηλεκτρονικών παιγνίων, συμπεριλαμβανομένων όλων των παιγνίων για ηλεκτρονικούς υπολογιστές, επ’ απειλή ποινικών ή διοικητικών κυρώσεων προβλεπομένων στα άρθρα 4 και 5 του ίδιου νόμου, σύμφωνα με τα άρθρα 28 ΕΚ, 43 ΕΚ και 49 ΕΚ και με το άρθρο 8 της οδηγίας 98/34/ΕΚ, δεν έλαβε όλα τα μέτρα που συνεπάγεται η εκτέλεση της αποφάσεως της 26ης Οκτωβρίου 2006 για την υπόθεση C</w:t>
      </w:r>
      <w:r>
        <w:noBreakHyphen/>
        <w:t>65/05, Επιτροπή κατά Ελλάδας, και παρέβη κατά τον τρόπο αυτόν τις υποχρεώσεις που υπέχει από το άρθρο 228 ΕΚ.</w:t>
      </w:r>
    </w:p>
    <w:p w:rsidR="00EB4A26" w:rsidRPr="00287FFE" w:rsidRDefault="00EB4A26" w:rsidP="004A435C">
      <w:pPr>
        <w:jc w:val="both"/>
      </w:pPr>
    </w:p>
    <w:p w:rsidR="00EB4A26" w:rsidRPr="00287FFE" w:rsidRDefault="00EB4A26" w:rsidP="004A435C">
      <w:pPr>
        <w:jc w:val="both"/>
        <w:rPr>
          <w:rFonts w:eastAsia="Calibri"/>
          <w:b/>
          <w:i/>
        </w:rPr>
      </w:pPr>
      <w:r>
        <w:rPr>
          <w:b/>
          <w:i/>
        </w:rPr>
        <w:t>Απόφαση της 8ης Σεπτεμβρίου 2005, Επιτροπή κατά Πορτογαλίας, Υπόθεση C-500/03, EU:C:2005:515</w:t>
      </w:r>
    </w:p>
    <w:p w:rsidR="00E91B63" w:rsidRPr="00287FFE" w:rsidRDefault="00E91B63" w:rsidP="004A435C">
      <w:pPr>
        <w:jc w:val="both"/>
      </w:pPr>
    </w:p>
    <w:p w:rsidR="00EB4A26" w:rsidRPr="00287FFE" w:rsidRDefault="00CC592B" w:rsidP="004A435C">
      <w:pPr>
        <w:jc w:val="both"/>
      </w:pPr>
      <w:r>
        <w:t>- Με την έγκριση της υπουργικής απόφασης αριθ. 783/98 χωρίς την κοινοποίησή της στην Επιτροπή, στο στάδιο του σχεδίου, η Πορτογαλία παρέβη τις υποχρεώσεις που υπέχει από το άρθρο 8 της οδηγίας 98/34/ΕΚ.</w:t>
      </w:r>
    </w:p>
    <w:p w:rsidR="00B65378" w:rsidRPr="00287FFE" w:rsidRDefault="00B65378" w:rsidP="004A435C">
      <w:pPr>
        <w:pStyle w:val="NormalWeb"/>
        <w:spacing w:before="0" w:beforeAutospacing="0" w:after="0" w:afterAutospacing="0"/>
        <w:rPr>
          <w:rFonts w:eastAsia="Calibri"/>
          <w:b/>
          <w:i/>
        </w:rPr>
      </w:pPr>
    </w:p>
    <w:p w:rsidR="00EB4A26" w:rsidRPr="00287FFE" w:rsidRDefault="00EB4A26" w:rsidP="004A435C">
      <w:pPr>
        <w:pStyle w:val="NormalWeb"/>
        <w:spacing w:before="0" w:beforeAutospacing="0" w:after="0" w:afterAutospacing="0"/>
        <w:jc w:val="both"/>
        <w:rPr>
          <w:rFonts w:eastAsia="Calibri"/>
          <w:b/>
          <w:i/>
        </w:rPr>
      </w:pPr>
      <w:r>
        <w:rPr>
          <w:b/>
          <w:i/>
        </w:rPr>
        <w:t>Υπόθεση της 14ης Ιουλίου 1994, Επιτροπή κατά Κάτω Χωρών, Υπόθεση C-52/93, EU:C:1994:301</w:t>
      </w:r>
    </w:p>
    <w:p w:rsidR="00E91B63" w:rsidRPr="00287FFE" w:rsidRDefault="00E91B63" w:rsidP="004A435C">
      <w:pPr>
        <w:jc w:val="both"/>
      </w:pPr>
    </w:p>
    <w:p w:rsidR="00EB4A26" w:rsidRPr="00287FFE" w:rsidRDefault="00CC592B" w:rsidP="004A435C">
      <w:pPr>
        <w:jc w:val="both"/>
      </w:pPr>
      <w:r>
        <w:t>- Προβαίνοντας στην τροποποίηση του κανονισμού PVS περί προδιαγραφών ποιότητας για τους βολβούς ανθέων χωρίς προηγουμένως να την κοινοποιήσει στην Επιτροπή υπό μορφή σχεδίου, οι Κάτω Χώρες παρέβησαν τις υποχρεώσεις που υπέχουν από το άρθρο 8 της οδηγίας.</w:t>
      </w:r>
    </w:p>
    <w:p w:rsidR="00EB4A26" w:rsidRPr="00287FFE" w:rsidRDefault="00EB4A26" w:rsidP="004A435C">
      <w:pPr>
        <w:pStyle w:val="NormalWeb"/>
        <w:spacing w:before="0" w:beforeAutospacing="0" w:after="0" w:afterAutospacing="0"/>
        <w:jc w:val="both"/>
        <w:rPr>
          <w:rFonts w:eastAsia="Calibri"/>
          <w:b/>
          <w:i/>
        </w:rPr>
      </w:pPr>
    </w:p>
    <w:p w:rsidR="00EB4A26" w:rsidRPr="00287FFE" w:rsidRDefault="00EB4A26" w:rsidP="004A435C">
      <w:pPr>
        <w:pStyle w:val="NormalWeb"/>
        <w:spacing w:before="0" w:beforeAutospacing="0" w:after="0" w:afterAutospacing="0"/>
        <w:jc w:val="both"/>
        <w:rPr>
          <w:rFonts w:eastAsia="Calibri"/>
          <w:b/>
          <w:i/>
        </w:rPr>
      </w:pPr>
      <w:r>
        <w:rPr>
          <w:b/>
          <w:i/>
        </w:rPr>
        <w:t>Υπόθεση της 14ης Ιουλίου 1994, Επιτροπή κατά Κάτω Χωρών, Υπόθεση C-61/93, EU:C:1994:302</w:t>
      </w:r>
    </w:p>
    <w:p w:rsidR="00E91B63" w:rsidRPr="00287FFE" w:rsidRDefault="00E91B63" w:rsidP="004A435C">
      <w:pPr>
        <w:jc w:val="both"/>
      </w:pPr>
    </w:p>
    <w:p w:rsidR="00EB4A26" w:rsidRPr="00287FFE" w:rsidRDefault="00CC592B" w:rsidP="004A435C">
      <w:pPr>
        <w:jc w:val="both"/>
      </w:pPr>
      <w:r>
        <w:t>- Εκδίδοντας αποφάσεις περί μετρητών κιλοβατωρών, περί των προδιαγραφών αντοχής φιαλών για αναψυκτικά και περί της συστάσεως, της κατατάξεως, της συσκευασίας και της επιθέσεως ετικετών στα παρασιτοκτόνα, χωρίς προηγουμένως να τις κοινοποιήσει στην Επιτροπή υπό μορφή σχεδίου, οι Κάτω Χώρες παρέβησαν τις υποχρεώσεις που υπέχουν από το άρθρο 8 της οδηγίας.</w:t>
      </w:r>
    </w:p>
    <w:p w:rsidR="00EB4A26" w:rsidRPr="00287FFE" w:rsidRDefault="00EB4A26" w:rsidP="004A435C">
      <w:pPr>
        <w:jc w:val="both"/>
      </w:pPr>
    </w:p>
    <w:p w:rsidR="00EB4A26" w:rsidRPr="00287FFE" w:rsidRDefault="00EB4A26" w:rsidP="004A435C">
      <w:pPr>
        <w:pStyle w:val="NormalWeb"/>
        <w:spacing w:before="0" w:beforeAutospacing="0" w:after="0" w:afterAutospacing="0"/>
        <w:jc w:val="both"/>
        <w:rPr>
          <w:rFonts w:eastAsia="Calibri"/>
          <w:b/>
          <w:i/>
        </w:rPr>
      </w:pPr>
      <w:r>
        <w:rPr>
          <w:b/>
          <w:i/>
        </w:rPr>
        <w:t>Απόφαση της 2ας Αυγούστου 1993, Επιτροπή κατά Ιταλίας, Υπόθεση C-139/92, EU:C:1993:346</w:t>
      </w:r>
    </w:p>
    <w:p w:rsidR="00E91B63" w:rsidRPr="00287FFE" w:rsidRDefault="00E91B63" w:rsidP="004A435C">
      <w:pPr>
        <w:jc w:val="both"/>
      </w:pPr>
    </w:p>
    <w:p w:rsidR="00EB4A26" w:rsidRPr="00287FFE" w:rsidRDefault="00CC592B" w:rsidP="004A435C">
      <w:pPr>
        <w:jc w:val="both"/>
      </w:pPr>
      <w:r>
        <w:t>- Μη ανακοινώνοντας την υπουργική απόφαση αριθ. 514/87, όταν αυτή βρισκόταν στο στάδιο του σχεδίου, για τον καθορισμό και τον έλεγχο της μέγιστης ισχύος λειτουργίας καθώς και με την κατασκευή και την εγκατάσταση, στα σκάφη, κινητήρων σκαφών αναψυχής, η Ιταλία παρέβη τις υποχρεώσεις που υπέχει από την οδηγία.</w:t>
      </w:r>
    </w:p>
    <w:p w:rsidR="00EB4A26" w:rsidRPr="00287FFE" w:rsidRDefault="00EB4A26" w:rsidP="004A435C">
      <w:pPr>
        <w:rPr>
          <w:rFonts w:eastAsia="Calibri"/>
          <w:b/>
          <w:i/>
        </w:rPr>
      </w:pPr>
    </w:p>
    <w:p w:rsidR="009F2ED7" w:rsidRPr="00287FFE" w:rsidRDefault="009F2ED7" w:rsidP="004A435C">
      <w:pPr>
        <w:autoSpaceDE w:val="0"/>
        <w:autoSpaceDN w:val="0"/>
        <w:adjustRightInd w:val="0"/>
        <w:jc w:val="both"/>
      </w:pPr>
    </w:p>
    <w:sectPr w:rsidR="009F2ED7"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10" w:rsidRDefault="00493910" w:rsidP="00EB4A26">
      <w:r>
        <w:separator/>
      </w:r>
    </w:p>
  </w:endnote>
  <w:endnote w:type="continuationSeparator" w:id="0">
    <w:p w:rsidR="00493910" w:rsidRDefault="00493910"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Number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BD39BD">
          <w:rPr>
            <w:noProof/>
          </w:rPr>
          <w:t>7</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10" w:rsidRDefault="00493910" w:rsidP="00EB4A26">
      <w:r>
        <w:separator/>
      </w:r>
    </w:p>
  </w:footnote>
  <w:footnote w:type="continuationSeparator" w:id="0">
    <w:p w:rsidR="00493910" w:rsidRDefault="00493910"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2BE66392"/>
    <w:lvl w:ilvl="0" w:tplc="7D4C6448">
      <w:start w:val="1"/>
      <w:numFmt w:val="upperRoman"/>
      <w:lvlText w:val="%1."/>
      <w:lvlJc w:val="left"/>
      <w:pPr>
        <w:ind w:left="720" w:hanging="360"/>
      </w:pPr>
      <w:rPr>
        <w:rFonts w:ascii="Times New Roman" w:eastAsia="Times New Roman" w:hAnsi="Times New Roman" w:cs="Times New Roman"/>
      </w:rPr>
    </w:lvl>
    <w:lvl w:ilvl="1" w:tplc="23CEED7C">
      <w:start w:val="1"/>
      <w:numFmt w:val="lowerLetter"/>
      <w:lvlText w:val="%2)"/>
      <w:lvlJc w:val="left"/>
      <w:pPr>
        <w:ind w:left="1440" w:hanging="360"/>
      </w:pPr>
      <w:rPr>
        <w:rFonts w:ascii="GreekNumbers" w:hAnsi="GreekNumber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76B6B"/>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3910"/>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3DB2"/>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39BD"/>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5F6E"/>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2963"/>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0DC3"/>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el-GR" w:eastAsia="el-GR"/>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el-GR" w:eastAsia="el-GR"/>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el-GR" w:eastAsia="el-GR"/>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21B8-6A14-4EE3-8AD0-7B2B8F16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6591</Words>
  <Characters>37574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44077</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6</cp:revision>
  <cp:lastPrinted>2019-03-28T10:43:00Z</cp:lastPrinted>
  <dcterms:created xsi:type="dcterms:W3CDTF">2019-05-20T11:26:00Z</dcterms:created>
  <dcterms:modified xsi:type="dcterms:W3CDTF">2019-06-03T06:13:00Z</dcterms:modified>
</cp:coreProperties>
</file>