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6868E" w14:textId="1491DFB4">
      <w:pPr>
        <w:pStyle w:val="P68B1DB1-P68B1DB1-Title11"/>
        <w:spacing w:before="0"/>
        <w:ind w:left="0"/>
        <w:jc w:val="right"/>
        <w:rPr>
          <w:i/>
          <w:iCs/>
          <w:color w:val="FF0000"/>
          <w:sz w:val="24"/>
          <w:szCs w:val="24"/>
          <w:u w:val="none"/>
        </w:rPr>
      </w:pPr>
      <w:r>
        <w:t xml:space="preserve">Πρόκειται για αυτόματη μετάφραση</w:t>
      </w:r>
    </w:p>
    <w:p w14:paraId="48A46481" w14:textId="77777777">
      <w:pPr>
        <w:pStyle w:val="P68B1DB1-Title1"/>
        <w:spacing w:before="0"/>
        <w:ind w:left="0"/>
      </w:pPr>
    </w:p>
    <w:p w14:paraId="5DDBFD33" w14:textId="3AD4A40E">
      <w:pPr>
        <w:pStyle w:val="P68B1DB1-Title1"/>
        <w:spacing w:before="0"/>
        <w:ind w:left="0"/>
      </w:pPr>
      <w:r>
        <w:t xml:space="preserve">Νομολογία σχετικά με την οδηγία (ΕΕ) 2015/1535</w:t>
      </w:r>
    </w:p>
    <w:p w14:paraId="5AFCD03C" w14:textId="77777777">
      <w:pPr>
        <w:pStyle w:val="BodyText"/>
      </w:pPr>
    </w:p>
    <w:p w14:paraId="55805DA1" w14:textId="3A3D4AA9">
      <w:pPr>
        <w:pStyle w:val="BodyText"/>
      </w:pPr>
      <w:r>
        <w:t xml:space="preserve">Το παρόν έγγραφο προσδιορίζει τις κύριες αποφάσεις και διατάξεις του Δικαστηρίου της Ευρωπαϊκής Ένωσης σχετικά με το πεδίο εφαρμογής και την εφαρμογή της οδηγίας (ΕΕ) 2015/1535, η οποία θεσπίζει διαδικασία πληροφόρησης στον τομέα των τεχνικών προδιαγραφών και των κανόνων σχετικά με τις υπηρεσίες της κοινωνίας της πληροφορίας. Στόχος της είναι να χρησιμεύσει ως οδηγός για τις διοικήσεις των κρατών μελών, τη βιομηχανία και τους πολίτες.</w:t>
      </w:r>
    </w:p>
    <w:p w14:paraId="4F3E66AE" w14:textId="77777777">
      <w:pPr>
        <w:pStyle w:val="BodyText"/>
        <w:rPr>
          <w:sz w:val="22"/>
          <w:szCs w:val="18"/>
        </w:rPr>
      </w:pPr>
    </w:p>
    <w:p w14:paraId="53D6EBA0" w14:textId="77777777">
      <w:pPr>
        <w:pStyle w:val="BodyText"/>
      </w:pPr>
      <w:r>
        <w:t xml:space="preserve">Δεδομένου ότι το παρόν έγγραφο δεν είναι εξαντλητικό, ενδέχεται να μην συμπεριληφθούν ορισμένες σχετικές αποφάσεις.</w:t>
      </w:r>
    </w:p>
    <w:p w14:paraId="771A43E5" w14:textId="77777777">
      <w:pPr>
        <w:pStyle w:val="BodyText"/>
      </w:pPr>
    </w:p>
    <w:p w14:paraId="45186CE0" w14:textId="45ABA22D">
      <w:pPr>
        <w:pStyle w:val="BodyText"/>
      </w:pPr>
      <w:r>
        <w:t xml:space="preserve">Οι αποφάσεις παρουσιάζονται με χρονολογική σειρά και το έγγραφο διαρθρώνεται σε τέσσερα μέρη:</w:t>
      </w:r>
    </w:p>
    <w:p w14:paraId="267A7D41" w14:textId="77777777">
      <w:pPr>
        <w:pStyle w:val="P68B1DB1-Normal4"/>
        <w:spacing w:after="0" w:line="278" w:lineRule="auto"/>
        <w:rPr>
          <w:rFonts w:ascii="Times New Roman" w:hAnsi="Times New Roman" w:cs="Times New Roman"/>
        </w:rPr>
      </w:pPr>
      <w:bookmarkStart w:id="0" w:name="_Hlk194503326"/>
    </w:p>
    <w:p w14:paraId="7D859DD3" w14:textId="68537153">
      <w:pPr>
        <w:pStyle w:val="P68B1DB1-TOC12"/>
        <w:tabs>
          <w:tab w:val="left" w:pos="440"/>
          <w:tab w:val="right" w:leader="dot" w:pos="9016"/>
        </w:tabs>
        <w:rPr>
          <w:rFonts w:eastAsiaTheme="minorEastAsia"/>
          <w:b w:val="0"/>
          <w:bCs w:val="0"/>
          <w:caps w:val="0"/>
          <w:kern w:val="2"/>
          <w:sz w:val="24"/>
          <w:szCs w:val="24"/>
          <w14:ligatures w14:val="standardContextual"/>
        </w:rPr>
      </w:pPr>
      <w:r>
        <w:fldChar w:fldCharType="begin"/>
      </w:r>
      <w:r>
        <w:rPr>
          <w:rFonts w:ascii="Times New Roman" w:hAnsi="Times New Roman" w:cs="Times New Roman"/>
        </w:rPr>
        <w:instrText xml:space="preserve"> TOC \o "2-2" \h \z \t "Heading 1,1" </w:instrText>
      </w:r>
      <w:r>
        <w:rPr>
          <w:rFonts w:ascii="Times New Roman" w:hAnsi="Times New Roman" w:cs="Times New Roman"/>
        </w:rPr>
        <w:fldChar w:fldCharType="separate"/>
      </w:r>
      <w:hyperlink w:anchor="_Toc203035665" w:history="1">
        <w:r>
          <w:rPr>
            <w:rStyle w:val="Hyperlink"/>
          </w:rPr>
          <w:t>I.</w:t>
        </w:r>
        <w:r>
          <w:rPr>
            <w:rFonts w:eastAsiaTheme="minorEastAsia"/>
            <w:b w:val="0"/>
            <w:bCs w:val="0"/>
            <w:caps w:val="0"/>
            <w:kern w:val="2"/>
            <w:sz w:val="24"/>
            <w:szCs w:val="24"/>
            <w14:ligatures w14:val="standardContextual"/>
          </w:rPr>
          <w:tab/>
        </w:r>
        <w:r>
          <w:rPr>
            <w:rStyle w:val="Hyperlink"/>
          </w:rPr>
          <w:t>Classification as Technical Regulation</w:t>
        </w:r>
        <w:r>
          <w:rPr>
            <w:webHidden/>
          </w:rPr>
          <w:tab/>
        </w:r>
        <w:r>
          <w:rPr>
            <w:webHidden/>
          </w:rPr>
          <w:fldChar w:fldCharType="begin"/>
        </w:r>
        <w:r>
          <w:rPr>
            <w:webHidden/>
          </w:rPr>
          <w:instrText xml:space="preserve"> PAGEREF _Toc203035665 \h </w:instrText>
        </w:r>
        <w:r>
          <w:rPr>
            <w:webHidden/>
          </w:rPr>
        </w:r>
        <w:r>
          <w:rPr>
            <w:webHidden/>
          </w:rPr>
          <w:fldChar w:fldCharType="separate"/>
        </w:r>
        <w:r>
          <w:rPr>
            <w:webHidden/>
          </w:rPr>
          <w:t>4</w:t>
        </w:r>
        <w:r>
          <w:rPr>
            <w:webHidden/>
          </w:rPr>
          <w:fldChar w:fldCharType="end"/>
        </w:r>
      </w:hyperlink>
    </w:p>
    <w:p w14:paraId="0A04A47D" w14:textId="2BCBBFA9">
      <w:pPr>
        <w:pStyle w:val="TOC2"/>
        <w:tabs>
          <w:tab w:val="left" w:pos="660"/>
          <w:tab w:val="right" w:leader="dot" w:pos="9016"/>
        </w:tabs>
        <w:rPr>
          <w:rFonts w:eastAsiaTheme="minorEastAsia"/>
          <w:smallCaps w:val="0"/>
          <w:kern w:val="2"/>
          <w:sz w:val="24"/>
          <w:szCs w:val="24"/>
          <w14:ligatures w14:val="standardContextual"/>
        </w:rPr>
      </w:pPr>
      <w:hyperlink w:anchor="_Toc203035666" w:history="1">
        <w:r>
          <w:rPr>
            <w:rStyle w:val="Hyperlink"/>
            <w:bCs/>
          </w:rPr>
          <w:t>a.</w:t>
        </w:r>
        <w:r>
          <w:rPr>
            <w:rFonts w:eastAsiaTheme="minorEastAsia"/>
            <w:smallCaps w:val="0"/>
            <w:kern w:val="2"/>
            <w:sz w:val="24"/>
            <w:szCs w:val="24"/>
            <w14:ligatures w14:val="standardContextual"/>
          </w:rPr>
          <w:tab/>
        </w:r>
        <w:r>
          <w:rPr>
            <w:rStyle w:val="Hyperlink"/>
          </w:rPr>
          <w:t>Common Criteria for Technical Regulations</w:t>
        </w:r>
        <w:r>
          <w:rPr>
            <w:webHidden/>
          </w:rPr>
          <w:tab/>
        </w:r>
        <w:r>
          <w:rPr>
            <w:webHidden/>
          </w:rPr>
          <w:fldChar w:fldCharType="begin"/>
        </w:r>
        <w:r>
          <w:rPr>
            <w:webHidden/>
          </w:rPr>
          <w:instrText xml:space="preserve"> PAGEREF _Toc203035666 \h </w:instrText>
        </w:r>
        <w:r>
          <w:rPr>
            <w:webHidden/>
          </w:rPr>
        </w:r>
        <w:r>
          <w:rPr>
            <w:webHidden/>
          </w:rPr>
          <w:fldChar w:fldCharType="separate"/>
        </w:r>
        <w:r>
          <w:rPr>
            <w:webHidden/>
          </w:rPr>
          <w:t>4</w:t>
        </w:r>
        <w:r>
          <w:rPr>
            <w:webHidden/>
          </w:rPr>
          <w:fldChar w:fldCharType="end"/>
        </w:r>
      </w:hyperlink>
    </w:p>
    <w:p w14:paraId="6F26F433" w14:textId="185E7FA5">
      <w:pPr>
        <w:pStyle w:val="TOC2"/>
        <w:tabs>
          <w:tab w:val="left" w:pos="660"/>
          <w:tab w:val="right" w:leader="dot" w:pos="9016"/>
        </w:tabs>
        <w:rPr>
          <w:rFonts w:eastAsiaTheme="minorEastAsia"/>
          <w:smallCaps w:val="0"/>
          <w:kern w:val="2"/>
          <w:sz w:val="24"/>
          <w:szCs w:val="24"/>
          <w14:ligatures w14:val="standardContextual"/>
        </w:rPr>
      </w:pPr>
      <w:hyperlink w:anchor="_Toc203035667" w:history="1">
        <w:r>
          <w:rPr>
            <w:rStyle w:val="Hyperlink"/>
            <w:bCs/>
          </w:rPr>
          <w:t>b.</w:t>
        </w:r>
        <w:r>
          <w:rPr>
            <w:rFonts w:eastAsiaTheme="minorEastAsia"/>
            <w:smallCaps w:val="0"/>
            <w:kern w:val="2"/>
            <w:sz w:val="24"/>
            <w:szCs w:val="24"/>
            <w14:ligatures w14:val="standardContextual"/>
          </w:rPr>
          <w:tab/>
        </w:r>
        <w:r>
          <w:rPr>
            <w:rStyle w:val="Hyperlink"/>
          </w:rPr>
          <w:t>Technical Specifications</w:t>
        </w:r>
        <w:r>
          <w:rPr>
            <w:webHidden/>
          </w:rPr>
          <w:tab/>
        </w:r>
        <w:r>
          <w:rPr>
            <w:webHidden/>
          </w:rPr>
          <w:fldChar w:fldCharType="begin"/>
        </w:r>
        <w:r>
          <w:rPr>
            <w:webHidden/>
          </w:rPr>
          <w:instrText xml:space="preserve"> PAGEREF _Toc203035667 \h </w:instrText>
        </w:r>
        <w:r>
          <w:rPr>
            <w:webHidden/>
          </w:rPr>
        </w:r>
        <w:r>
          <w:rPr>
            <w:webHidden/>
          </w:rPr>
          <w:fldChar w:fldCharType="separate"/>
        </w:r>
        <w:r>
          <w:rPr>
            <w:webHidden/>
          </w:rPr>
          <w:t>6</w:t>
        </w:r>
        <w:r>
          <w:rPr>
            <w:webHidden/>
          </w:rPr>
          <w:fldChar w:fldCharType="end"/>
        </w:r>
      </w:hyperlink>
    </w:p>
    <w:p w14:paraId="4473297C" w14:textId="5097F959">
      <w:pPr>
        <w:pStyle w:val="TOC2"/>
        <w:tabs>
          <w:tab w:val="left" w:pos="660"/>
          <w:tab w:val="right" w:leader="dot" w:pos="9016"/>
        </w:tabs>
        <w:rPr>
          <w:rFonts w:eastAsiaTheme="minorEastAsia"/>
          <w:smallCaps w:val="0"/>
          <w:kern w:val="2"/>
          <w:sz w:val="24"/>
          <w:szCs w:val="24"/>
          <w14:ligatures w14:val="standardContextual"/>
        </w:rPr>
      </w:pPr>
      <w:hyperlink w:anchor="_Toc203035668" w:history="1">
        <w:r>
          <w:rPr>
            <w:rStyle w:val="Hyperlink"/>
            <w:bCs/>
          </w:rPr>
          <w:t>c.</w:t>
        </w:r>
        <w:r>
          <w:rPr>
            <w:rFonts w:eastAsiaTheme="minorEastAsia"/>
            <w:smallCaps w:val="0"/>
            <w:kern w:val="2"/>
            <w:sz w:val="24"/>
            <w:szCs w:val="24"/>
            <w14:ligatures w14:val="standardContextual"/>
          </w:rPr>
          <w:tab/>
        </w:r>
        <w:r>
          <w:rPr>
            <w:rStyle w:val="Hyperlink"/>
          </w:rPr>
          <w:t>Other Requirements</w:t>
        </w:r>
        <w:r>
          <w:rPr>
            <w:webHidden/>
          </w:rPr>
          <w:tab/>
        </w:r>
        <w:r>
          <w:rPr>
            <w:webHidden/>
          </w:rPr>
          <w:fldChar w:fldCharType="begin"/>
        </w:r>
        <w:r>
          <w:rPr>
            <w:webHidden/>
          </w:rPr>
          <w:instrText xml:space="preserve"> PAGEREF _Toc203035668 \h </w:instrText>
        </w:r>
        <w:r>
          <w:rPr>
            <w:webHidden/>
          </w:rPr>
        </w:r>
        <w:r>
          <w:rPr>
            <w:webHidden/>
          </w:rPr>
          <w:fldChar w:fldCharType="separate"/>
        </w:r>
        <w:r>
          <w:rPr>
            <w:webHidden/>
          </w:rPr>
          <w:t>14</w:t>
        </w:r>
        <w:r>
          <w:rPr>
            <w:webHidden/>
          </w:rPr>
          <w:fldChar w:fldCharType="end"/>
        </w:r>
      </w:hyperlink>
    </w:p>
    <w:p w14:paraId="110B55B0" w14:textId="4A4EB9AB">
      <w:pPr>
        <w:pStyle w:val="TOC2"/>
        <w:tabs>
          <w:tab w:val="left" w:pos="660"/>
          <w:tab w:val="right" w:leader="dot" w:pos="9016"/>
        </w:tabs>
        <w:rPr>
          <w:rFonts w:eastAsiaTheme="minorEastAsia"/>
          <w:smallCaps w:val="0"/>
          <w:kern w:val="2"/>
          <w:sz w:val="24"/>
          <w:szCs w:val="24"/>
          <w14:ligatures w14:val="standardContextual"/>
        </w:rPr>
      </w:pPr>
      <w:hyperlink w:anchor="_Toc203035669" w:history="1">
        <w:r>
          <w:rPr>
            <w:rStyle w:val="Hyperlink"/>
            <w:bCs/>
          </w:rPr>
          <w:t>d.</w:t>
        </w:r>
        <w:r>
          <w:rPr>
            <w:rFonts w:eastAsiaTheme="minorEastAsia"/>
            <w:smallCaps w:val="0"/>
            <w:kern w:val="2"/>
            <w:sz w:val="24"/>
            <w:szCs w:val="24"/>
            <w14:ligatures w14:val="standardContextual"/>
          </w:rPr>
          <w:tab/>
        </w:r>
        <w:r>
          <w:rPr>
            <w:rStyle w:val="Hyperlink"/>
          </w:rPr>
          <w:t>Rules on Services</w:t>
        </w:r>
        <w:r>
          <w:rPr>
            <w:webHidden/>
          </w:rPr>
          <w:tab/>
        </w:r>
        <w:r>
          <w:rPr>
            <w:webHidden/>
          </w:rPr>
          <w:fldChar w:fldCharType="begin"/>
        </w:r>
        <w:r>
          <w:rPr>
            <w:webHidden/>
          </w:rPr>
          <w:instrText xml:space="preserve"> PAGEREF _Toc203035669 \h </w:instrText>
        </w:r>
        <w:r>
          <w:rPr>
            <w:webHidden/>
          </w:rPr>
        </w:r>
        <w:r>
          <w:rPr>
            <w:webHidden/>
          </w:rPr>
          <w:fldChar w:fldCharType="separate"/>
        </w:r>
        <w:r>
          <w:rPr>
            <w:webHidden/>
          </w:rPr>
          <w:t>21</w:t>
        </w:r>
        <w:r>
          <w:rPr>
            <w:webHidden/>
          </w:rPr>
          <w:fldChar w:fldCharType="end"/>
        </w:r>
      </w:hyperlink>
    </w:p>
    <w:p w14:paraId="7AE2FA08" w14:textId="1FC0EAA8">
      <w:pPr>
        <w:pStyle w:val="TOC2"/>
        <w:tabs>
          <w:tab w:val="left" w:pos="660"/>
          <w:tab w:val="right" w:leader="dot" w:pos="9016"/>
        </w:tabs>
        <w:rPr>
          <w:rFonts w:eastAsiaTheme="minorEastAsia"/>
          <w:smallCaps w:val="0"/>
          <w:kern w:val="2"/>
          <w:sz w:val="24"/>
          <w:szCs w:val="24"/>
          <w14:ligatures w14:val="standardContextual"/>
        </w:rPr>
      </w:pPr>
      <w:hyperlink w:anchor="_Toc203035670" w:history="1">
        <w:r>
          <w:rPr>
            <w:rStyle w:val="Hyperlink"/>
            <w:bCs/>
          </w:rPr>
          <w:t>e.</w:t>
        </w:r>
        <w:r>
          <w:rPr>
            <w:rFonts w:eastAsiaTheme="minorEastAsia"/>
            <w:smallCaps w:val="0"/>
            <w:kern w:val="2"/>
            <w:sz w:val="24"/>
            <w:szCs w:val="24"/>
            <w14:ligatures w14:val="standardContextual"/>
          </w:rPr>
          <w:tab/>
        </w:r>
        <w:r>
          <w:rPr>
            <w:rStyle w:val="Hyperlink"/>
          </w:rPr>
          <w:t>Prohibition Provisions</w:t>
        </w:r>
        <w:r>
          <w:rPr>
            <w:webHidden/>
          </w:rPr>
          <w:tab/>
        </w:r>
        <w:r>
          <w:rPr>
            <w:webHidden/>
          </w:rPr>
          <w:fldChar w:fldCharType="begin"/>
        </w:r>
        <w:r>
          <w:rPr>
            <w:webHidden/>
          </w:rPr>
          <w:instrText xml:space="preserve"> PAGEREF _Toc203035670 \h </w:instrText>
        </w:r>
        <w:r>
          <w:rPr>
            <w:webHidden/>
          </w:rPr>
        </w:r>
        <w:r>
          <w:rPr>
            <w:webHidden/>
          </w:rPr>
          <w:fldChar w:fldCharType="separate"/>
        </w:r>
        <w:r>
          <w:rPr>
            <w:webHidden/>
          </w:rPr>
          <w:t>31</w:t>
        </w:r>
        <w:r>
          <w:rPr>
            <w:webHidden/>
          </w:rPr>
          <w:fldChar w:fldCharType="end"/>
        </w:r>
      </w:hyperlink>
    </w:p>
    <w:p w14:paraId="709EEE7A" w14:textId="670F7D1D">
      <w:pPr>
        <w:pStyle w:val="TOC2"/>
        <w:tabs>
          <w:tab w:val="left" w:pos="660"/>
          <w:tab w:val="right" w:leader="dot" w:pos="9016"/>
        </w:tabs>
        <w:rPr>
          <w:rFonts w:eastAsiaTheme="minorEastAsia"/>
          <w:smallCaps w:val="0"/>
          <w:kern w:val="2"/>
          <w:sz w:val="24"/>
          <w:szCs w:val="24"/>
          <w14:ligatures w14:val="standardContextual"/>
        </w:rPr>
      </w:pPr>
      <w:hyperlink w:anchor="_Toc203035671" w:history="1">
        <w:r>
          <w:rPr>
            <w:rStyle w:val="Hyperlink"/>
            <w:bCs/>
          </w:rPr>
          <w:t>f.</w:t>
        </w:r>
        <w:r>
          <w:rPr>
            <w:rFonts w:eastAsiaTheme="minorEastAsia"/>
            <w:smallCaps w:val="0"/>
            <w:kern w:val="2"/>
            <w:sz w:val="24"/>
            <w:szCs w:val="24"/>
            <w14:ligatures w14:val="standardContextual"/>
          </w:rPr>
          <w:tab/>
        </w:r>
        <w:r>
          <w:rPr>
            <w:rStyle w:val="Hyperlink"/>
          </w:rPr>
          <w:t>De Facto Technical Regulations</w:t>
        </w:r>
        <w:r>
          <w:rPr>
            <w:webHidden/>
          </w:rPr>
          <w:tab/>
        </w:r>
        <w:r>
          <w:rPr>
            <w:webHidden/>
          </w:rPr>
          <w:fldChar w:fldCharType="begin"/>
        </w:r>
        <w:r>
          <w:rPr>
            <w:webHidden/>
          </w:rPr>
          <w:instrText xml:space="preserve"> PAGEREF _Toc203035671 \h </w:instrText>
        </w:r>
        <w:r>
          <w:rPr>
            <w:webHidden/>
          </w:rPr>
        </w:r>
        <w:r>
          <w:rPr>
            <w:webHidden/>
          </w:rPr>
          <w:fldChar w:fldCharType="separate"/>
        </w:r>
        <w:r>
          <w:rPr>
            <w:webHidden/>
          </w:rPr>
          <w:t>34</w:t>
        </w:r>
        <w:r>
          <w:rPr>
            <w:webHidden/>
          </w:rPr>
          <w:fldChar w:fldCharType="end"/>
        </w:r>
      </w:hyperlink>
    </w:p>
    <w:p w14:paraId="1C2FBBFA" w14:textId="2ED58CFC">
      <w:pPr>
        <w:pStyle w:val="TOC2"/>
        <w:tabs>
          <w:tab w:val="left" w:pos="660"/>
          <w:tab w:val="right" w:leader="dot" w:pos="9016"/>
        </w:tabs>
        <w:rPr>
          <w:rFonts w:eastAsiaTheme="minorEastAsia"/>
          <w:smallCaps w:val="0"/>
          <w:kern w:val="2"/>
          <w:sz w:val="24"/>
          <w:szCs w:val="24"/>
          <w14:ligatures w14:val="standardContextual"/>
        </w:rPr>
      </w:pPr>
      <w:hyperlink w:anchor="_Toc203035672" w:history="1">
        <w:r>
          <w:rPr>
            <w:rStyle w:val="Hyperlink"/>
            <w:bCs/>
          </w:rPr>
          <w:t>g.</w:t>
        </w:r>
        <w:r>
          <w:rPr>
            <w:rFonts w:eastAsiaTheme="minorEastAsia"/>
            <w:smallCaps w:val="0"/>
            <w:kern w:val="2"/>
            <w:sz w:val="24"/>
            <w:szCs w:val="24"/>
            <w14:ligatures w14:val="standardContextual"/>
          </w:rPr>
          <w:tab/>
        </w:r>
        <w:r>
          <w:rPr>
            <w:rStyle w:val="Hyperlink"/>
          </w:rPr>
          <w:t>Excluded Matters</w:t>
        </w:r>
        <w:r>
          <w:rPr>
            <w:webHidden/>
          </w:rPr>
          <w:tab/>
        </w:r>
        <w:r>
          <w:rPr>
            <w:webHidden/>
          </w:rPr>
          <w:fldChar w:fldCharType="begin"/>
        </w:r>
        <w:r>
          <w:rPr>
            <w:webHidden/>
          </w:rPr>
          <w:instrText xml:space="preserve"> PAGEREF _Toc203035672 \h </w:instrText>
        </w:r>
        <w:r>
          <w:rPr>
            <w:webHidden/>
          </w:rPr>
        </w:r>
        <w:r>
          <w:rPr>
            <w:webHidden/>
          </w:rPr>
          <w:fldChar w:fldCharType="separate"/>
        </w:r>
        <w:r>
          <w:rPr>
            <w:webHidden/>
          </w:rPr>
          <w:t>37</w:t>
        </w:r>
        <w:r>
          <w:rPr>
            <w:webHidden/>
          </w:rPr>
          <w:fldChar w:fldCharType="end"/>
        </w:r>
      </w:hyperlink>
    </w:p>
    <w:p w14:paraId="6E4B30D2" w14:textId="492D7E3B">
      <w:pPr>
        <w:pStyle w:val="TOC1"/>
        <w:tabs>
          <w:tab w:val="left" w:pos="440"/>
          <w:tab w:val="right" w:leader="dot" w:pos="9016"/>
        </w:tabs>
        <w:rPr>
          <w:rFonts w:eastAsiaTheme="minorEastAsia"/>
          <w:b w:val="0"/>
          <w:bCs w:val="0"/>
          <w:caps w:val="0"/>
          <w:kern w:val="2"/>
          <w:sz w:val="24"/>
          <w:szCs w:val="24"/>
          <w14:ligatures w14:val="standardContextual"/>
        </w:rPr>
      </w:pPr>
      <w:hyperlink w:anchor="_Toc203035673" w:history="1">
        <w:r>
          <w:rPr>
            <w:rStyle w:val="Hyperlink"/>
          </w:rPr>
          <w:t>II.</w:t>
        </w:r>
        <w:r>
          <w:rPr>
            <w:rFonts w:eastAsiaTheme="minorEastAsia"/>
            <w:b w:val="0"/>
            <w:bCs w:val="0"/>
            <w:caps w:val="0"/>
            <w:kern w:val="2"/>
            <w:sz w:val="24"/>
            <w:szCs w:val="24"/>
            <w14:ligatures w14:val="standardContextual"/>
          </w:rPr>
          <w:tab/>
        </w:r>
        <w:r>
          <w:rPr>
            <w:rStyle w:val="Hyperlink"/>
          </w:rPr>
          <w:t>Notification Obligation</w:t>
        </w:r>
        <w:r>
          <w:rPr>
            <w:webHidden/>
          </w:rPr>
          <w:tab/>
        </w:r>
        <w:r>
          <w:rPr>
            <w:webHidden/>
          </w:rPr>
          <w:fldChar w:fldCharType="begin"/>
        </w:r>
        <w:r>
          <w:rPr>
            <w:webHidden/>
          </w:rPr>
          <w:instrText xml:space="preserve"> PAGEREF _Toc203035673 \h </w:instrText>
        </w:r>
        <w:r>
          <w:rPr>
            <w:webHidden/>
          </w:rPr>
        </w:r>
        <w:r>
          <w:rPr>
            <w:webHidden/>
          </w:rPr>
          <w:fldChar w:fldCharType="separate"/>
        </w:r>
        <w:r>
          <w:rPr>
            <w:webHidden/>
          </w:rPr>
          <w:t>39</w:t>
        </w:r>
        <w:r>
          <w:rPr>
            <w:webHidden/>
          </w:rPr>
          <w:fldChar w:fldCharType="end"/>
        </w:r>
      </w:hyperlink>
    </w:p>
    <w:p w14:paraId="559CE1AC" w14:textId="73AB7DFD">
      <w:pPr>
        <w:pStyle w:val="TOC2"/>
        <w:tabs>
          <w:tab w:val="left" w:pos="660"/>
          <w:tab w:val="right" w:leader="dot" w:pos="9016"/>
        </w:tabs>
        <w:rPr>
          <w:rFonts w:eastAsiaTheme="minorEastAsia"/>
          <w:smallCaps w:val="0"/>
          <w:kern w:val="2"/>
          <w:sz w:val="24"/>
          <w:szCs w:val="24"/>
          <w14:ligatures w14:val="standardContextual"/>
        </w:rPr>
      </w:pPr>
      <w:hyperlink w:anchor="_Toc203035674" w:history="1">
        <w:r>
          <w:rPr>
            <w:rStyle w:val="Hyperlink"/>
            <w:bCs/>
          </w:rPr>
          <w:t>a.</w:t>
        </w:r>
        <w:r>
          <w:rPr>
            <w:rFonts w:eastAsiaTheme="minorEastAsia"/>
            <w:smallCaps w:val="0"/>
            <w:kern w:val="2"/>
            <w:sz w:val="24"/>
            <w:szCs w:val="24"/>
            <w14:ligatures w14:val="standardContextual"/>
          </w:rPr>
          <w:tab/>
        </w:r>
        <w:r>
          <w:rPr>
            <w:rStyle w:val="Hyperlink"/>
          </w:rPr>
          <w:t>Notification at the Draft Stage</w:t>
        </w:r>
        <w:r>
          <w:rPr>
            <w:webHidden/>
          </w:rPr>
          <w:tab/>
        </w:r>
        <w:r>
          <w:rPr>
            <w:webHidden/>
          </w:rPr>
          <w:fldChar w:fldCharType="begin"/>
        </w:r>
        <w:r>
          <w:rPr>
            <w:webHidden/>
          </w:rPr>
          <w:instrText xml:space="preserve"> PAGEREF _Toc203035674 \h </w:instrText>
        </w:r>
        <w:r>
          <w:rPr>
            <w:webHidden/>
          </w:rPr>
        </w:r>
        <w:r>
          <w:rPr>
            <w:webHidden/>
          </w:rPr>
          <w:fldChar w:fldCharType="separate"/>
        </w:r>
        <w:r>
          <w:rPr>
            <w:webHidden/>
          </w:rPr>
          <w:t>39</w:t>
        </w:r>
        <w:r>
          <w:rPr>
            <w:webHidden/>
          </w:rPr>
          <w:fldChar w:fldCharType="end"/>
        </w:r>
      </w:hyperlink>
    </w:p>
    <w:p w14:paraId="7E8A6736" w14:textId="71519B8A">
      <w:pPr>
        <w:pStyle w:val="TOC2"/>
        <w:tabs>
          <w:tab w:val="left" w:pos="660"/>
          <w:tab w:val="right" w:leader="dot" w:pos="9016"/>
        </w:tabs>
        <w:rPr>
          <w:rFonts w:eastAsiaTheme="minorEastAsia"/>
          <w:smallCaps w:val="0"/>
          <w:kern w:val="2"/>
          <w:sz w:val="24"/>
          <w:szCs w:val="24"/>
          <w14:ligatures w14:val="standardContextual"/>
        </w:rPr>
      </w:pPr>
      <w:hyperlink w:anchor="_Toc203035675" w:history="1">
        <w:r>
          <w:rPr>
            <w:rStyle w:val="Hyperlink"/>
            <w:bCs/>
          </w:rPr>
          <w:t>b.</w:t>
        </w:r>
        <w:r>
          <w:rPr>
            <w:rFonts w:eastAsiaTheme="minorEastAsia"/>
            <w:smallCaps w:val="0"/>
            <w:kern w:val="2"/>
            <w:sz w:val="24"/>
            <w:szCs w:val="24"/>
            <w14:ligatures w14:val="standardContextual"/>
          </w:rPr>
          <w:tab/>
        </w:r>
        <w:r>
          <w:rPr>
            <w:rStyle w:val="Hyperlink"/>
          </w:rPr>
          <w:t>Notifications of New Technical Regulations</w:t>
        </w:r>
        <w:r>
          <w:rPr>
            <w:webHidden/>
          </w:rPr>
          <w:tab/>
        </w:r>
        <w:r>
          <w:rPr>
            <w:webHidden/>
          </w:rPr>
          <w:fldChar w:fldCharType="begin"/>
        </w:r>
        <w:r>
          <w:rPr>
            <w:webHidden/>
          </w:rPr>
          <w:instrText xml:space="preserve"> PAGEREF _Toc203035675 \h </w:instrText>
        </w:r>
        <w:r>
          <w:rPr>
            <w:webHidden/>
          </w:rPr>
        </w:r>
        <w:r>
          <w:rPr>
            <w:webHidden/>
          </w:rPr>
          <w:fldChar w:fldCharType="separate"/>
        </w:r>
        <w:r>
          <w:rPr>
            <w:webHidden/>
          </w:rPr>
          <w:t>41</w:t>
        </w:r>
        <w:r>
          <w:rPr>
            <w:webHidden/>
          </w:rPr>
          <w:fldChar w:fldCharType="end"/>
        </w:r>
      </w:hyperlink>
    </w:p>
    <w:p w14:paraId="1EA679C1" w14:textId="584C8B1D">
      <w:pPr>
        <w:pStyle w:val="TOC2"/>
        <w:tabs>
          <w:tab w:val="left" w:pos="660"/>
          <w:tab w:val="right" w:leader="dot" w:pos="9016"/>
        </w:tabs>
        <w:rPr>
          <w:rFonts w:eastAsiaTheme="minorEastAsia"/>
          <w:smallCaps w:val="0"/>
          <w:kern w:val="2"/>
          <w:sz w:val="24"/>
          <w:szCs w:val="24"/>
          <w14:ligatures w14:val="standardContextual"/>
        </w:rPr>
      </w:pPr>
      <w:hyperlink w:anchor="_Toc203035676" w:history="1">
        <w:r>
          <w:rPr>
            <w:rStyle w:val="Hyperlink"/>
            <w:bCs/>
          </w:rPr>
          <w:t>c.</w:t>
        </w:r>
        <w:r>
          <w:rPr>
            <w:rFonts w:eastAsiaTheme="minorEastAsia"/>
            <w:smallCaps w:val="0"/>
            <w:kern w:val="2"/>
            <w:sz w:val="24"/>
            <w:szCs w:val="24"/>
            <w14:ligatures w14:val="standardContextual"/>
          </w:rPr>
          <w:tab/>
        </w:r>
        <w:r>
          <w:rPr>
            <w:rStyle w:val="Hyperlink"/>
          </w:rPr>
          <w:t>Notification of the Full Text</w:t>
        </w:r>
        <w:r>
          <w:rPr>
            <w:webHidden/>
          </w:rPr>
          <w:tab/>
        </w:r>
        <w:r>
          <w:rPr>
            <w:webHidden/>
          </w:rPr>
          <w:fldChar w:fldCharType="begin"/>
        </w:r>
        <w:r>
          <w:rPr>
            <w:webHidden/>
          </w:rPr>
          <w:instrText xml:space="preserve"> PAGEREF _Toc203035676 \h </w:instrText>
        </w:r>
        <w:r>
          <w:rPr>
            <w:webHidden/>
          </w:rPr>
        </w:r>
        <w:r>
          <w:rPr>
            <w:webHidden/>
          </w:rPr>
          <w:fldChar w:fldCharType="separate"/>
        </w:r>
        <w:r>
          <w:rPr>
            <w:webHidden/>
          </w:rPr>
          <w:t>43</w:t>
        </w:r>
        <w:r>
          <w:rPr>
            <w:webHidden/>
          </w:rPr>
          <w:fldChar w:fldCharType="end"/>
        </w:r>
      </w:hyperlink>
    </w:p>
    <w:p w14:paraId="7399B3C2" w14:textId="37BC6B70">
      <w:pPr>
        <w:pStyle w:val="TOC2"/>
        <w:tabs>
          <w:tab w:val="left" w:pos="660"/>
          <w:tab w:val="right" w:leader="dot" w:pos="9016"/>
        </w:tabs>
        <w:rPr>
          <w:rFonts w:eastAsiaTheme="minorEastAsia"/>
          <w:smallCaps w:val="0"/>
          <w:kern w:val="2"/>
          <w:sz w:val="24"/>
          <w:szCs w:val="24"/>
          <w14:ligatures w14:val="standardContextual"/>
        </w:rPr>
      </w:pPr>
      <w:hyperlink w:anchor="_Toc203035677" w:history="1">
        <w:r>
          <w:rPr>
            <w:rStyle w:val="Hyperlink"/>
            <w:bCs/>
          </w:rPr>
          <w:t>d.</w:t>
        </w:r>
        <w:r>
          <w:rPr>
            <w:rFonts w:eastAsiaTheme="minorEastAsia"/>
            <w:smallCaps w:val="0"/>
            <w:kern w:val="2"/>
            <w:sz w:val="24"/>
            <w:szCs w:val="24"/>
            <w14:ligatures w14:val="standardContextual"/>
          </w:rPr>
          <w:tab/>
        </w:r>
        <w:r>
          <w:rPr>
            <w:rStyle w:val="Hyperlink"/>
          </w:rPr>
          <w:t>Notification of Concerned Basic Provisions</w:t>
        </w:r>
        <w:r>
          <w:rPr>
            <w:webHidden/>
          </w:rPr>
          <w:tab/>
        </w:r>
        <w:r>
          <w:rPr>
            <w:webHidden/>
          </w:rPr>
          <w:fldChar w:fldCharType="begin"/>
        </w:r>
        <w:r>
          <w:rPr>
            <w:webHidden/>
          </w:rPr>
          <w:instrText xml:space="preserve"> PAGEREF _Toc203035677 \h </w:instrText>
        </w:r>
        <w:r>
          <w:rPr>
            <w:webHidden/>
          </w:rPr>
        </w:r>
        <w:r>
          <w:rPr>
            <w:webHidden/>
          </w:rPr>
          <w:fldChar w:fldCharType="separate"/>
        </w:r>
        <w:r>
          <w:rPr>
            <w:webHidden/>
          </w:rPr>
          <w:t>44</w:t>
        </w:r>
        <w:r>
          <w:rPr>
            <w:webHidden/>
          </w:rPr>
          <w:fldChar w:fldCharType="end"/>
        </w:r>
      </w:hyperlink>
    </w:p>
    <w:p w14:paraId="6A9200BA" w14:textId="09F270C1">
      <w:pPr>
        <w:pStyle w:val="TOC2"/>
        <w:tabs>
          <w:tab w:val="left" w:pos="660"/>
          <w:tab w:val="right" w:leader="dot" w:pos="9016"/>
        </w:tabs>
        <w:rPr>
          <w:rFonts w:eastAsiaTheme="minorEastAsia"/>
          <w:smallCaps w:val="0"/>
          <w:kern w:val="2"/>
          <w:sz w:val="24"/>
          <w:szCs w:val="24"/>
          <w14:ligatures w14:val="standardContextual"/>
        </w:rPr>
      </w:pPr>
      <w:hyperlink w:anchor="_Toc203035678" w:history="1">
        <w:r>
          <w:rPr>
            <w:rStyle w:val="Hyperlink"/>
            <w:bCs/>
          </w:rPr>
          <w:t>e.</w:t>
        </w:r>
        <w:r>
          <w:rPr>
            <w:rFonts w:eastAsiaTheme="minorEastAsia"/>
            <w:smallCaps w:val="0"/>
            <w:kern w:val="2"/>
            <w:sz w:val="24"/>
            <w:szCs w:val="24"/>
            <w14:ligatures w14:val="standardContextual"/>
          </w:rPr>
          <w:tab/>
        </w:r>
        <w:r>
          <w:rPr>
            <w:rStyle w:val="Hyperlink"/>
          </w:rPr>
          <w:t>Re-Notification During the Standstill Period</w:t>
        </w:r>
        <w:r>
          <w:rPr>
            <w:webHidden/>
          </w:rPr>
          <w:tab/>
        </w:r>
        <w:r>
          <w:rPr>
            <w:webHidden/>
          </w:rPr>
          <w:fldChar w:fldCharType="begin"/>
        </w:r>
        <w:r>
          <w:rPr>
            <w:webHidden/>
          </w:rPr>
          <w:instrText xml:space="preserve"> PAGEREF _Toc203035678 \h </w:instrText>
        </w:r>
        <w:r>
          <w:rPr>
            <w:webHidden/>
          </w:rPr>
        </w:r>
        <w:r>
          <w:rPr>
            <w:webHidden/>
          </w:rPr>
          <w:fldChar w:fldCharType="separate"/>
        </w:r>
        <w:r>
          <w:rPr>
            <w:webHidden/>
          </w:rPr>
          <w:t>45</w:t>
        </w:r>
        <w:r>
          <w:rPr>
            <w:webHidden/>
          </w:rPr>
          <w:fldChar w:fldCharType="end"/>
        </w:r>
      </w:hyperlink>
    </w:p>
    <w:p w14:paraId="7E32C518" w14:textId="7B625DD7">
      <w:pPr>
        <w:pStyle w:val="TOC1"/>
        <w:tabs>
          <w:tab w:val="left" w:pos="660"/>
          <w:tab w:val="right" w:leader="dot" w:pos="9016"/>
        </w:tabs>
        <w:rPr>
          <w:rFonts w:eastAsiaTheme="minorEastAsia"/>
          <w:b w:val="0"/>
          <w:bCs w:val="0"/>
          <w:caps w:val="0"/>
          <w:kern w:val="2"/>
          <w:sz w:val="24"/>
          <w:szCs w:val="24"/>
          <w14:ligatures w14:val="standardContextual"/>
        </w:rPr>
      </w:pPr>
      <w:hyperlink w:anchor="_Toc203035679" w:history="1">
        <w:r>
          <w:rPr>
            <w:rStyle w:val="Hyperlink"/>
          </w:rPr>
          <w:t>III.</w:t>
        </w:r>
        <w:r>
          <w:rPr>
            <w:rFonts w:eastAsiaTheme="minorEastAsia"/>
            <w:b w:val="0"/>
            <w:bCs w:val="0"/>
            <w:caps w:val="0"/>
            <w:kern w:val="2"/>
            <w:sz w:val="24"/>
            <w:szCs w:val="24"/>
            <w14:ligatures w14:val="standardContextual"/>
          </w:rPr>
          <w:tab/>
        </w:r>
        <w:r>
          <w:rPr>
            <w:rStyle w:val="Hyperlink"/>
          </w:rPr>
          <w:t>Exceptions to the Obligation to Notify</w:t>
        </w:r>
        <w:r>
          <w:rPr>
            <w:webHidden/>
          </w:rPr>
          <w:tab/>
        </w:r>
        <w:r>
          <w:rPr>
            <w:webHidden/>
          </w:rPr>
          <w:fldChar w:fldCharType="begin"/>
        </w:r>
        <w:r>
          <w:rPr>
            <w:webHidden/>
          </w:rPr>
          <w:instrText xml:space="preserve"> PAGEREF _Toc203035679 \h </w:instrText>
        </w:r>
        <w:r>
          <w:rPr>
            <w:webHidden/>
          </w:rPr>
        </w:r>
        <w:r>
          <w:rPr>
            <w:webHidden/>
          </w:rPr>
          <w:fldChar w:fldCharType="separate"/>
        </w:r>
        <w:r>
          <w:rPr>
            <w:webHidden/>
          </w:rPr>
          <w:t>47</w:t>
        </w:r>
        <w:r>
          <w:rPr>
            <w:webHidden/>
          </w:rPr>
          <w:fldChar w:fldCharType="end"/>
        </w:r>
      </w:hyperlink>
    </w:p>
    <w:p w14:paraId="7CC02EA3" w14:textId="01C3FBA0">
      <w:pPr>
        <w:pStyle w:val="TOC2"/>
        <w:tabs>
          <w:tab w:val="left" w:pos="660"/>
          <w:tab w:val="right" w:leader="dot" w:pos="9016"/>
        </w:tabs>
        <w:rPr>
          <w:rFonts w:eastAsiaTheme="minorEastAsia"/>
          <w:smallCaps w:val="0"/>
          <w:kern w:val="2"/>
          <w:sz w:val="24"/>
          <w:szCs w:val="24"/>
          <w14:ligatures w14:val="standardContextual"/>
        </w:rPr>
      </w:pPr>
      <w:hyperlink w:anchor="_Toc203035680" w:history="1">
        <w:r>
          <w:rPr>
            <w:rStyle w:val="Hyperlink"/>
            <w:bCs/>
          </w:rPr>
          <w:t>a.</w:t>
        </w:r>
        <w:r>
          <w:rPr>
            <w:rFonts w:eastAsiaTheme="minorEastAsia"/>
            <w:smallCaps w:val="0"/>
            <w:kern w:val="2"/>
            <w:sz w:val="24"/>
            <w:szCs w:val="24"/>
            <w14:ligatures w14:val="standardContextual"/>
          </w:rPr>
          <w:tab/>
        </w:r>
        <w:r>
          <w:rPr>
            <w:rStyle w:val="Hyperlink"/>
          </w:rPr>
          <w:t>Transposition of a European Act</w:t>
        </w:r>
        <w:r>
          <w:rPr>
            <w:webHidden/>
          </w:rPr>
          <w:tab/>
        </w:r>
        <w:r>
          <w:rPr>
            <w:webHidden/>
          </w:rPr>
          <w:fldChar w:fldCharType="begin"/>
        </w:r>
        <w:r>
          <w:rPr>
            <w:webHidden/>
          </w:rPr>
          <w:instrText xml:space="preserve"> PAGEREF _Toc203035680 \h </w:instrText>
        </w:r>
        <w:r>
          <w:rPr>
            <w:webHidden/>
          </w:rPr>
        </w:r>
        <w:r>
          <w:rPr>
            <w:webHidden/>
          </w:rPr>
          <w:fldChar w:fldCharType="separate"/>
        </w:r>
        <w:r>
          <w:rPr>
            <w:webHidden/>
          </w:rPr>
          <w:t>47</w:t>
        </w:r>
        <w:r>
          <w:rPr>
            <w:webHidden/>
          </w:rPr>
          <w:fldChar w:fldCharType="end"/>
        </w:r>
      </w:hyperlink>
    </w:p>
    <w:p w14:paraId="73CA2C68" w14:textId="27F826B4">
      <w:pPr>
        <w:pStyle w:val="TOC2"/>
        <w:tabs>
          <w:tab w:val="left" w:pos="660"/>
          <w:tab w:val="right" w:leader="dot" w:pos="9016"/>
        </w:tabs>
        <w:rPr>
          <w:rFonts w:eastAsiaTheme="minorEastAsia"/>
          <w:smallCaps w:val="0"/>
          <w:kern w:val="2"/>
          <w:sz w:val="24"/>
          <w:szCs w:val="24"/>
          <w14:ligatures w14:val="standardContextual"/>
        </w:rPr>
      </w:pPr>
      <w:hyperlink w:anchor="_Toc203035681" w:history="1">
        <w:r>
          <w:rPr>
            <w:rStyle w:val="Hyperlink"/>
            <w:bCs/>
          </w:rPr>
          <w:t>b.</w:t>
        </w:r>
        <w:r>
          <w:rPr>
            <w:rFonts w:eastAsiaTheme="minorEastAsia"/>
            <w:smallCaps w:val="0"/>
            <w:kern w:val="2"/>
            <w:sz w:val="24"/>
            <w:szCs w:val="24"/>
            <w14:ligatures w14:val="standardContextual"/>
          </w:rPr>
          <w:tab/>
        </w:r>
        <w:r>
          <w:rPr>
            <w:rStyle w:val="Hyperlink"/>
          </w:rPr>
          <w:t>Use of a Safeguard Clause</w:t>
        </w:r>
        <w:r>
          <w:rPr>
            <w:webHidden/>
          </w:rPr>
          <w:tab/>
        </w:r>
        <w:r>
          <w:rPr>
            <w:webHidden/>
          </w:rPr>
          <w:fldChar w:fldCharType="begin"/>
        </w:r>
        <w:r>
          <w:rPr>
            <w:webHidden/>
          </w:rPr>
          <w:instrText xml:space="preserve"> PAGEREF _Toc203035681 \h </w:instrText>
        </w:r>
        <w:r>
          <w:rPr>
            <w:webHidden/>
          </w:rPr>
        </w:r>
        <w:r>
          <w:rPr>
            <w:webHidden/>
          </w:rPr>
          <w:fldChar w:fldCharType="separate"/>
        </w:r>
        <w:r>
          <w:rPr>
            <w:webHidden/>
          </w:rPr>
          <w:t>49</w:t>
        </w:r>
        <w:r>
          <w:rPr>
            <w:webHidden/>
          </w:rPr>
          <w:fldChar w:fldCharType="end"/>
        </w:r>
      </w:hyperlink>
    </w:p>
    <w:p w14:paraId="2E16821A" w14:textId="37A0CCE7">
      <w:pPr>
        <w:pStyle w:val="TOC2"/>
        <w:tabs>
          <w:tab w:val="left" w:pos="660"/>
          <w:tab w:val="right" w:leader="dot" w:pos="9016"/>
        </w:tabs>
        <w:rPr>
          <w:rFonts w:eastAsiaTheme="minorEastAsia"/>
          <w:smallCaps w:val="0"/>
          <w:kern w:val="2"/>
          <w:sz w:val="24"/>
          <w:szCs w:val="24"/>
          <w14:ligatures w14:val="standardContextual"/>
        </w:rPr>
      </w:pPr>
      <w:hyperlink w:anchor="_Toc203035682" w:history="1">
        <w:r>
          <w:rPr>
            <w:rStyle w:val="Hyperlink"/>
            <w:bCs/>
          </w:rPr>
          <w:t>c.</w:t>
        </w:r>
        <w:r>
          <w:rPr>
            <w:rFonts w:eastAsiaTheme="minorEastAsia"/>
            <w:smallCaps w:val="0"/>
            <w:kern w:val="2"/>
            <w:sz w:val="24"/>
            <w:szCs w:val="24"/>
            <w14:ligatures w14:val="standardContextual"/>
          </w:rPr>
          <w:tab/>
        </w:r>
        <w:r>
          <w:rPr>
            <w:rStyle w:val="Hyperlink"/>
          </w:rPr>
          <w:t>Amendment in Accordance with a Commission Request</w:t>
        </w:r>
        <w:r>
          <w:rPr>
            <w:webHidden/>
          </w:rPr>
          <w:tab/>
        </w:r>
        <w:r>
          <w:rPr>
            <w:webHidden/>
          </w:rPr>
          <w:fldChar w:fldCharType="begin"/>
        </w:r>
        <w:r>
          <w:rPr>
            <w:webHidden/>
          </w:rPr>
          <w:instrText xml:space="preserve"> PAGEREF _Toc203035682 \h </w:instrText>
        </w:r>
        <w:r>
          <w:rPr>
            <w:webHidden/>
          </w:rPr>
        </w:r>
        <w:r>
          <w:rPr>
            <w:webHidden/>
          </w:rPr>
          <w:fldChar w:fldCharType="separate"/>
        </w:r>
        <w:r>
          <w:rPr>
            <w:webHidden/>
          </w:rPr>
          <w:t>51</w:t>
        </w:r>
        <w:r>
          <w:rPr>
            <w:webHidden/>
          </w:rPr>
          <w:fldChar w:fldCharType="end"/>
        </w:r>
      </w:hyperlink>
    </w:p>
    <w:p w14:paraId="3089DDB6" w14:textId="5A964DBB">
      <w:pPr>
        <w:pStyle w:val="TOC2"/>
        <w:tabs>
          <w:tab w:val="left" w:pos="660"/>
          <w:tab w:val="right" w:leader="dot" w:pos="9016"/>
        </w:tabs>
        <w:rPr>
          <w:rFonts w:eastAsiaTheme="minorEastAsia"/>
          <w:smallCaps w:val="0"/>
          <w:kern w:val="2"/>
          <w:sz w:val="24"/>
          <w:szCs w:val="24"/>
          <w14:ligatures w14:val="standardContextual"/>
        </w:rPr>
      </w:pPr>
      <w:hyperlink w:anchor="_Toc203035683" w:history="1">
        <w:r>
          <w:rPr>
            <w:rStyle w:val="Hyperlink"/>
          </w:rPr>
          <w:t>a.</w:t>
        </w:r>
        <w:r>
          <w:rPr>
            <w:rFonts w:eastAsiaTheme="minorEastAsia"/>
            <w:smallCaps w:val="0"/>
            <w:kern w:val="2"/>
            <w:sz w:val="24"/>
            <w:szCs w:val="24"/>
            <w14:ligatures w14:val="standardContextual"/>
          </w:rPr>
          <w:tab/>
        </w:r>
        <w:r>
          <w:rPr>
            <w:rStyle w:val="Hyperlink"/>
          </w:rPr>
          <w:t>Circumstances That Do Not Constitute Exceptions</w:t>
        </w:r>
        <w:r>
          <w:rPr>
            <w:webHidden/>
          </w:rPr>
          <w:tab/>
        </w:r>
        <w:r>
          <w:rPr>
            <w:webHidden/>
          </w:rPr>
          <w:fldChar w:fldCharType="begin"/>
        </w:r>
        <w:r>
          <w:rPr>
            <w:webHidden/>
          </w:rPr>
          <w:instrText xml:space="preserve"> PAGEREF _Toc203035683 \h </w:instrText>
        </w:r>
        <w:r>
          <w:rPr>
            <w:webHidden/>
          </w:rPr>
        </w:r>
        <w:r>
          <w:rPr>
            <w:webHidden/>
          </w:rPr>
          <w:fldChar w:fldCharType="separate"/>
        </w:r>
        <w:r>
          <w:rPr>
            <w:webHidden/>
          </w:rPr>
          <w:t>52</w:t>
        </w:r>
        <w:r>
          <w:rPr>
            <w:webHidden/>
          </w:rPr>
          <w:fldChar w:fldCharType="end"/>
        </w:r>
      </w:hyperlink>
    </w:p>
    <w:p w14:paraId="340B66C9" w14:textId="65DEBB09">
      <w:pPr>
        <w:pStyle w:val="TOC1"/>
        <w:tabs>
          <w:tab w:val="left" w:pos="660"/>
          <w:tab w:val="right" w:leader="dot" w:pos="9016"/>
        </w:tabs>
        <w:rPr>
          <w:rFonts w:eastAsiaTheme="minorEastAsia"/>
          <w:b w:val="0"/>
          <w:bCs w:val="0"/>
          <w:caps w:val="0"/>
          <w:kern w:val="2"/>
          <w:sz w:val="24"/>
          <w:szCs w:val="24"/>
          <w14:ligatures w14:val="standardContextual"/>
        </w:rPr>
      </w:pPr>
      <w:hyperlink w:anchor="_Toc203035684" w:history="1">
        <w:r>
          <w:rPr>
            <w:rStyle w:val="Hyperlink"/>
          </w:rPr>
          <w:t>IV.</w:t>
        </w:r>
        <w:r>
          <w:rPr>
            <w:rFonts w:eastAsiaTheme="minorEastAsia"/>
            <w:b w:val="0"/>
            <w:bCs w:val="0"/>
            <w:caps w:val="0"/>
            <w:kern w:val="2"/>
            <w:sz w:val="24"/>
            <w:szCs w:val="24"/>
            <w14:ligatures w14:val="standardContextual"/>
          </w:rPr>
          <w:tab/>
        </w:r>
        <w:r>
          <w:rPr>
            <w:rStyle w:val="Hyperlink"/>
          </w:rPr>
          <w:t>Inapplicability</w:t>
        </w:r>
        <w:r>
          <w:rPr>
            <w:webHidden/>
          </w:rPr>
          <w:tab/>
        </w:r>
        <w:r>
          <w:rPr>
            <w:webHidden/>
          </w:rPr>
          <w:fldChar w:fldCharType="begin"/>
        </w:r>
        <w:r>
          <w:rPr>
            <w:webHidden/>
          </w:rPr>
          <w:instrText xml:space="preserve"> PAGEREF _Toc203035684 \h </w:instrText>
        </w:r>
        <w:r>
          <w:rPr>
            <w:webHidden/>
          </w:rPr>
        </w:r>
        <w:r>
          <w:rPr>
            <w:webHidden/>
          </w:rPr>
          <w:fldChar w:fldCharType="separate"/>
        </w:r>
        <w:r>
          <w:rPr>
            <w:webHidden/>
          </w:rPr>
          <w:t>54</w:t>
        </w:r>
        <w:r>
          <w:rPr>
            <w:webHidden/>
          </w:rPr>
          <w:fldChar w:fldCharType="end"/>
        </w:r>
      </w:hyperlink>
    </w:p>
    <w:p w14:paraId="3472F46D" w14:textId="5B898B42">
      <w:pPr>
        <w:pStyle w:val="TOC2"/>
        <w:tabs>
          <w:tab w:val="left" w:pos="660"/>
          <w:tab w:val="right" w:leader="dot" w:pos="9016"/>
        </w:tabs>
        <w:rPr>
          <w:rFonts w:eastAsiaTheme="minorEastAsia"/>
          <w:smallCaps w:val="0"/>
          <w:kern w:val="2"/>
          <w:sz w:val="24"/>
          <w:szCs w:val="24"/>
          <w14:ligatures w14:val="standardContextual"/>
        </w:rPr>
      </w:pPr>
      <w:hyperlink w:anchor="_Toc203035685" w:history="1">
        <w:r>
          <w:rPr>
            <w:rStyle w:val="Hyperlink"/>
            <w:bCs/>
          </w:rPr>
          <w:t>a.</w:t>
        </w:r>
        <w:r>
          <w:rPr>
            <w:rFonts w:eastAsiaTheme="minorEastAsia"/>
            <w:smallCaps w:val="0"/>
            <w:kern w:val="2"/>
            <w:sz w:val="24"/>
            <w:szCs w:val="24"/>
            <w14:ligatures w14:val="standardContextual"/>
          </w:rPr>
          <w:tab/>
        </w:r>
        <w:r>
          <w:rPr>
            <w:rStyle w:val="Hyperlink"/>
          </w:rPr>
          <w:t>Inapplicability in the Event of Non-Notification</w:t>
        </w:r>
        <w:r>
          <w:rPr>
            <w:webHidden/>
          </w:rPr>
          <w:tab/>
        </w:r>
        <w:r>
          <w:rPr>
            <w:webHidden/>
          </w:rPr>
          <w:fldChar w:fldCharType="begin"/>
        </w:r>
        <w:r>
          <w:rPr>
            <w:webHidden/>
          </w:rPr>
          <w:instrText xml:space="preserve"> PAGEREF _Toc203035685 \h </w:instrText>
        </w:r>
        <w:r>
          <w:rPr>
            <w:webHidden/>
          </w:rPr>
        </w:r>
        <w:r>
          <w:rPr>
            <w:webHidden/>
          </w:rPr>
          <w:fldChar w:fldCharType="separate"/>
        </w:r>
        <w:r>
          <w:rPr>
            <w:webHidden/>
          </w:rPr>
          <w:t>54</w:t>
        </w:r>
        <w:r>
          <w:rPr>
            <w:webHidden/>
          </w:rPr>
          <w:fldChar w:fldCharType="end"/>
        </w:r>
      </w:hyperlink>
    </w:p>
    <w:p w14:paraId="3917D769" w14:textId="59C074AB">
      <w:pPr>
        <w:pStyle w:val="TOC2"/>
        <w:tabs>
          <w:tab w:val="left" w:pos="660"/>
          <w:tab w:val="right" w:leader="dot" w:pos="9016"/>
        </w:tabs>
        <w:rPr>
          <w:rFonts w:eastAsiaTheme="minorEastAsia"/>
          <w:smallCaps w:val="0"/>
          <w:kern w:val="2"/>
          <w:sz w:val="24"/>
          <w:szCs w:val="24"/>
          <w14:ligatures w14:val="standardContextual"/>
        </w:rPr>
      </w:pPr>
      <w:hyperlink w:anchor="_Toc203035686" w:history="1">
        <w:r>
          <w:rPr>
            <w:rStyle w:val="Hyperlink"/>
            <w:bCs/>
          </w:rPr>
          <w:t>b.</w:t>
        </w:r>
        <w:r>
          <w:rPr>
            <w:rFonts w:eastAsiaTheme="minorEastAsia"/>
            <w:smallCaps w:val="0"/>
            <w:kern w:val="2"/>
            <w:sz w:val="24"/>
            <w:szCs w:val="24"/>
            <w14:ligatures w14:val="standardContextual"/>
          </w:rPr>
          <w:tab/>
        </w:r>
        <w:r>
          <w:rPr>
            <w:rStyle w:val="Hyperlink"/>
          </w:rPr>
          <w:t>Inapplicability in the Event of Adoption During the Standstill Period</w:t>
        </w:r>
        <w:r>
          <w:rPr>
            <w:webHidden/>
          </w:rPr>
          <w:tab/>
        </w:r>
        <w:r>
          <w:rPr>
            <w:webHidden/>
          </w:rPr>
          <w:fldChar w:fldCharType="begin"/>
        </w:r>
        <w:r>
          <w:rPr>
            <w:webHidden/>
          </w:rPr>
          <w:instrText xml:space="preserve"> PAGEREF _Toc203035686 \h </w:instrText>
        </w:r>
        <w:r>
          <w:rPr>
            <w:webHidden/>
          </w:rPr>
        </w:r>
        <w:r>
          <w:rPr>
            <w:webHidden/>
          </w:rPr>
          <w:fldChar w:fldCharType="separate"/>
        </w:r>
        <w:r>
          <w:rPr>
            <w:webHidden/>
          </w:rPr>
          <w:t>58</w:t>
        </w:r>
        <w:r>
          <w:rPr>
            <w:webHidden/>
          </w:rPr>
          <w:fldChar w:fldCharType="end"/>
        </w:r>
      </w:hyperlink>
    </w:p>
    <w:p w14:paraId="62AF9A81" w14:textId="5B90334F">
      <w:pPr>
        <w:pStyle w:val="TOC2"/>
        <w:tabs>
          <w:tab w:val="left" w:pos="660"/>
          <w:tab w:val="right" w:leader="dot" w:pos="9016"/>
        </w:tabs>
        <w:rPr>
          <w:rFonts w:eastAsiaTheme="minorEastAsia"/>
          <w:smallCaps w:val="0"/>
          <w:kern w:val="2"/>
          <w:sz w:val="24"/>
          <w:szCs w:val="24"/>
          <w14:ligatures w14:val="standardContextual"/>
        </w:rPr>
      </w:pPr>
      <w:hyperlink w:anchor="_Toc203035687" w:history="1">
        <w:r>
          <w:rPr>
            <w:rStyle w:val="Hyperlink"/>
            <w:bCs/>
          </w:rPr>
          <w:t>c.</w:t>
        </w:r>
        <w:r>
          <w:rPr>
            <w:rFonts w:eastAsiaTheme="minorEastAsia"/>
            <w:smallCaps w:val="0"/>
            <w:kern w:val="2"/>
            <w:sz w:val="24"/>
            <w:szCs w:val="24"/>
            <w14:ligatures w14:val="standardContextual"/>
          </w:rPr>
          <w:tab/>
        </w:r>
        <w:r>
          <w:rPr>
            <w:rStyle w:val="Hyperlink"/>
          </w:rPr>
          <w:t>Clarification as to the Effect of Inapplicability</w:t>
        </w:r>
        <w:r>
          <w:rPr>
            <w:webHidden/>
          </w:rPr>
          <w:tab/>
        </w:r>
        <w:r>
          <w:rPr>
            <w:webHidden/>
          </w:rPr>
          <w:fldChar w:fldCharType="begin"/>
        </w:r>
        <w:r>
          <w:rPr>
            <w:webHidden/>
          </w:rPr>
          <w:instrText xml:space="preserve"> PAGEREF _Toc203035687 \h </w:instrText>
        </w:r>
        <w:r>
          <w:rPr>
            <w:webHidden/>
          </w:rPr>
        </w:r>
        <w:r>
          <w:rPr>
            <w:webHidden/>
          </w:rPr>
          <w:fldChar w:fldCharType="separate"/>
        </w:r>
        <w:r>
          <w:rPr>
            <w:webHidden/>
          </w:rPr>
          <w:t>60</w:t>
        </w:r>
        <w:r>
          <w:rPr>
            <w:webHidden/>
          </w:rPr>
          <w:fldChar w:fldCharType="end"/>
        </w:r>
      </w:hyperlink>
    </w:p>
    <w:p w14:paraId="05C72C05" w14:textId="53813097">
      <w:pPr>
        <w:pStyle w:val="TOC2"/>
        <w:tabs>
          <w:tab w:val="left" w:pos="660"/>
          <w:tab w:val="right" w:leader="dot" w:pos="9016"/>
        </w:tabs>
        <w:rPr>
          <w:rFonts w:eastAsiaTheme="minorEastAsia"/>
          <w:smallCaps w:val="0"/>
          <w:kern w:val="2"/>
          <w:sz w:val="24"/>
          <w:szCs w:val="24"/>
          <w14:ligatures w14:val="standardContextual"/>
        </w:rPr>
      </w:pPr>
      <w:hyperlink w:anchor="_Toc203035688" w:history="1">
        <w:r>
          <w:rPr>
            <w:rStyle w:val="Hyperlink"/>
            <w:bCs/>
          </w:rPr>
          <w:t>d.</w:t>
        </w:r>
        <w:r>
          <w:rPr>
            <w:rFonts w:eastAsiaTheme="minorEastAsia"/>
            <w:smallCaps w:val="0"/>
            <w:kern w:val="2"/>
            <w:sz w:val="24"/>
            <w:szCs w:val="24"/>
            <w14:ligatures w14:val="standardContextual"/>
          </w:rPr>
          <w:tab/>
        </w:r>
        <w:r>
          <w:rPr>
            <w:rStyle w:val="Hyperlink"/>
          </w:rPr>
          <w:t>Infringement Procedure</w:t>
        </w:r>
        <w:r>
          <w:rPr>
            <w:webHidden/>
          </w:rPr>
          <w:tab/>
        </w:r>
        <w:r>
          <w:rPr>
            <w:webHidden/>
          </w:rPr>
          <w:fldChar w:fldCharType="begin"/>
        </w:r>
        <w:r>
          <w:rPr>
            <w:webHidden/>
          </w:rPr>
          <w:instrText xml:space="preserve"> PAGEREF _Toc203035688 \h </w:instrText>
        </w:r>
        <w:r>
          <w:rPr>
            <w:webHidden/>
          </w:rPr>
        </w:r>
        <w:r>
          <w:rPr>
            <w:webHidden/>
          </w:rPr>
          <w:fldChar w:fldCharType="separate"/>
        </w:r>
        <w:r>
          <w:rPr>
            <w:webHidden/>
          </w:rPr>
          <w:t>61</w:t>
        </w:r>
        <w:r>
          <w:rPr>
            <w:webHidden/>
          </w:rPr>
          <w:fldChar w:fldCharType="end"/>
        </w:r>
      </w:hyperlink>
    </w:p>
    <w:p w14:paraId="58AB357B" w14:textId="44F07789">
      <w:pPr>
        <w:pStyle w:val="P68B1DB1-Normal4"/>
        <w:spacing w:line="278" w:lineRule="auto"/>
        <w:rPr>
          <w:rFonts w:ascii="Times New Roman" w:hAnsi="Times New Roman" w:cs="Times New Roman"/>
        </w:rPr>
      </w:pPr>
      <w:r>
        <w:rPr>
          <w:rFonts w:ascii="Times New Roman" w:hAnsi="Times New Roman" w:cs="Times New Roman"/>
        </w:rPr>
        <w:fldChar w:fldCharType="end"/>
      </w:r>
    </w:p>
    <w:p w14:paraId="0EC5AF49" w14:textId="77777777">
      <w:pPr>
        <w:spacing w:line="278" w:lineRule="auto"/>
        <w:rPr>
          <w:sz w:val="20"/>
        </w:rPr>
      </w:pPr>
      <w:r>
        <w:br w:type="page"/>
      </w:r>
    </w:p>
    <w:p w14:paraId="6635D92A" w14:textId="484720D6">
      <w:pPr>
        <w:pStyle w:val="P68B1DB1-Normal4"/>
        <w:spacing w:line="278" w:lineRule="auto"/>
        <w:jc w:val="both"/>
      </w:pPr>
      <w:r>
        <w:rPr>
          <w:rFonts w:ascii="Times New Roman" w:hAnsi="Times New Roman" w:cs="Times New Roman"/>
          <w:sz w:val="24"/>
          <w:szCs w:val="24"/>
        </w:rPr>
        <w:t xml:space="preserve">Οι αποφάσεις από τις οποίες συντάχθηκαν αποσπάσματα στο παρόν έγγραφο αναφέρονται σε διαδοχικές οδηγίες για την καθιέρωση μιας διαδικασίας πληροφόρησης στον τομέα των τεχνικών κανόνων. Ο ακόλουθος πίνακας ισοδυναμίας απεικονίζει τη συνέχεια των βασικών διατάξεών τους</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w:t>
      </w:r>
    </w:p>
    <w:p w14:paraId="7EF257CD" w14:textId="77777777">
      <w:pPr>
        <w:spacing w:after="0" w:line="240" w:lineRule="auto"/>
        <w:jc w:val="both"/>
        <w:rPr>
          <w:rFonts w:ascii="Times New Roman" w:hAnsi="Times New Roman" w:cs="Times New Roman"/>
          <w:sz w:val="24"/>
          <w:szCs w:val="24"/>
        </w:rPr>
      </w:pPr>
    </w:p>
    <w:p w14:paraId="31BFF92A" w14:textId="3BC8AB17">
      <w:pPr>
        <w:pStyle w:val="P68B1DB1-Normal5"/>
        <w:spacing w:after="0" w:line="240" w:lineRule="auto"/>
        <w:jc w:val="center"/>
        <w:rPr>
          <w:bCs/>
        </w:rPr>
      </w:pPr>
      <w:r>
        <w:t xml:space="preserve">ΠΙΝΑΚΑΣ ΙΣΟΔΥΝΑΜΙΑΣ των βασικων ΔΙΑΤΑΞΕΩΝ </w:t>
      </w:r>
    </w:p>
    <w:p w14:paraId="74F41B86" w14:textId="7258661E">
      <w:pPr>
        <w:pStyle w:val="P68B1DB1-Normal5"/>
        <w:spacing w:after="0" w:line="240" w:lineRule="auto"/>
        <w:jc w:val="center"/>
        <w:rPr>
          <w:bCs/>
        </w:rPr>
      </w:pPr>
      <w:r>
        <w:t xml:space="preserve">Οδηγίες (ΕΕ) 2015/1535, 98/34/ΕΚ και 83/189/ΕΟΚ</w:t>
      </w:r>
    </w:p>
    <w:p w14:paraId="3AD91D64" w14:textId="77777777">
      <w:pPr>
        <w:spacing w:after="0" w:line="240" w:lineRule="auto"/>
      </w:pPr>
    </w:p>
    <w:tbl>
      <w:tblPr>
        <w:tblStyle w:val="TableGrid"/>
        <w:tblW w:w="10206" w:type="dxa"/>
        <w:tblInd w:w="-572" w:type="dxa"/>
        <w:tblLook w:val="04A0" w:firstRow="1" w:lastRow="0" w:firstColumn="1" w:lastColumn="0" w:noHBand="0" w:noVBand="1"/>
      </w:tblPr>
      <w:tblGrid>
        <w:gridCol w:w="3119"/>
        <w:gridCol w:w="2457"/>
        <w:gridCol w:w="2315"/>
        <w:gridCol w:w="2315"/>
      </w:tblGrid>
      <w:tr w14:paraId="3A08F315" w14:textId="77777777">
        <w:trPr>
          <w:trHeight w:val="599"/>
        </w:trPr>
        <w:tc>
          <w:tcPr>
            <w:tcW w:w="3119" w:type="dxa"/>
            <w:shd w:val="clear" w:color="auto" w:fill="auto"/>
          </w:tcPr>
          <w:p w14:paraId="364945D8" w14:textId="2E5772D6">
            <w:pPr>
              <w:pStyle w:val="P68B1DB1-Normal6"/>
              <w:spacing w:line="240" w:lineRule="auto"/>
              <w:rPr>
                <w:bCs/>
              </w:rPr>
            </w:pPr>
            <w:r>
              <w:t xml:space="preserve">Περιεχόμενο των διατάξεων</w:t>
            </w:r>
          </w:p>
        </w:tc>
        <w:tc>
          <w:tcPr>
            <w:tcW w:w="2457" w:type="dxa"/>
            <w:shd w:val="clear" w:color="auto" w:fill="auto"/>
          </w:tcPr>
          <w:p w14:paraId="34093202" w14:textId="25E58692">
            <w:pPr>
              <w:spacing w:line="240" w:lineRule="auto"/>
              <w:rPr>
                <w:rFonts w:ascii="Times New Roman" w:hAnsi="Times New Roman" w:cs="Times New Roman"/>
                <w:b/>
                <w:bCs/>
                <w:sz w:val="24"/>
                <w:szCs w:val="24"/>
              </w:rPr>
            </w:pPr>
            <w:hyperlink r:id="rId8" w:history="1">
              <w:r>
                <w:rPr>
                  <w:rStyle w:val="Hyperlink"/>
                  <w:rFonts w:ascii="Times New Roman" w:hAnsi="Times New Roman" w:cs="Times New Roman"/>
                  <w:b/>
                  <w:color w:val="0000FF"/>
                  <w:sz w:val="24"/>
                  <w:szCs w:val="24"/>
                </w:rPr>
                <w:t xml:space="preserve">Οδηγία (ΕΕ) 2015/1535</w:t>
              </w:r>
            </w:hyperlink>
            <w:r>
              <w:rPr>
                <w:rStyle w:val="FootnoteReference"/>
                <w:rFonts w:ascii="Times New Roman" w:hAnsi="Times New Roman" w:cs="Times New Roman"/>
                <w:sz w:val="24"/>
                <w:szCs w:val="24"/>
              </w:rPr>
              <w:footnoteReference w:id="2"/>
            </w:r>
          </w:p>
        </w:tc>
        <w:tc>
          <w:tcPr>
            <w:tcW w:w="2315" w:type="dxa"/>
            <w:shd w:val="clear" w:color="auto" w:fill="auto"/>
          </w:tcPr>
          <w:p w14:paraId="5FD03597" w14:textId="330E7145">
            <w:pPr>
              <w:spacing w:line="240" w:lineRule="auto"/>
              <w:rPr>
                <w:rFonts w:ascii="Times New Roman" w:hAnsi="Times New Roman" w:cs="Times New Roman"/>
                <w:b/>
                <w:bCs/>
                <w:sz w:val="24"/>
                <w:szCs w:val="24"/>
              </w:rPr>
            </w:pPr>
            <w:hyperlink r:id="rId9" w:history="1">
              <w:r>
                <w:rPr>
                  <w:rStyle w:val="Hyperlink"/>
                  <w:rFonts w:ascii="Times New Roman" w:hAnsi="Times New Roman" w:cs="Times New Roman"/>
                  <w:b/>
                  <w:color w:val="0000FF"/>
                  <w:sz w:val="24"/>
                  <w:szCs w:val="24"/>
                </w:rPr>
                <w:t xml:space="preserve">Οδηγία 98/34/ΕΚ</w:t>
              </w:r>
            </w:hyperlink>
            <w:r>
              <w:rPr>
                <w:rStyle w:val="FootnoteReference"/>
                <w:rFonts w:ascii="Times New Roman" w:hAnsi="Times New Roman" w:cs="Times New Roman"/>
                <w:sz w:val="24"/>
                <w:szCs w:val="24"/>
              </w:rPr>
              <w:footnoteReference w:id="3"/>
            </w:r>
          </w:p>
        </w:tc>
        <w:tc>
          <w:tcPr>
            <w:tcW w:w="2315" w:type="dxa"/>
            <w:shd w:val="clear" w:color="auto" w:fill="auto"/>
          </w:tcPr>
          <w:p w14:paraId="51A4CAE7" w14:textId="73C3CCF3">
            <w:pPr>
              <w:spacing w:line="240" w:lineRule="auto"/>
              <w:rPr>
                <w:rFonts w:ascii="Times New Roman" w:hAnsi="Times New Roman" w:cs="Times New Roman"/>
                <w:b/>
                <w:bCs/>
                <w:sz w:val="24"/>
                <w:szCs w:val="24"/>
              </w:rPr>
            </w:pPr>
            <w:hyperlink r:id="rId10" w:history="1">
              <w:r>
                <w:rPr>
                  <w:rStyle w:val="Hyperlink"/>
                  <w:rFonts w:ascii="Times New Roman" w:hAnsi="Times New Roman" w:cs="Times New Roman"/>
                  <w:b/>
                  <w:color w:val="0000FF"/>
                  <w:sz w:val="24"/>
                  <w:szCs w:val="24"/>
                </w:rPr>
                <w:t xml:space="preserve">Οδηγία 83/189/ΕΟΚ</w:t>
              </w:r>
            </w:hyperlink>
            <w:r>
              <w:rPr>
                <w:rStyle w:val="FootnoteReference"/>
                <w:rFonts w:ascii="Times New Roman" w:hAnsi="Times New Roman" w:cs="Times New Roman"/>
                <w:sz w:val="24"/>
                <w:szCs w:val="24"/>
              </w:rPr>
              <w:footnoteReference w:id="4"/>
            </w:r>
          </w:p>
        </w:tc>
      </w:tr>
      <w:tr w14:paraId="72585BFB" w14:textId="77777777">
        <w:trPr>
          <w:trHeight w:val="599"/>
        </w:trPr>
        <w:tc>
          <w:tcPr>
            <w:tcW w:w="3119" w:type="dxa"/>
          </w:tcPr>
          <w:p w14:paraId="04624D71" w14:textId="77777777">
            <w:pPr>
              <w:pStyle w:val="P68B1DB1-Normal7"/>
              <w:spacing w:line="240" w:lineRule="auto"/>
            </w:pPr>
            <w:r>
              <w:t xml:space="preserve">Ορισμός των «προϊόντων»</w:t>
            </w:r>
          </w:p>
        </w:tc>
        <w:tc>
          <w:tcPr>
            <w:tcW w:w="2457" w:type="dxa"/>
          </w:tcPr>
          <w:p w14:paraId="4A418F3D" w14:textId="11CADE6C">
            <w:pPr>
              <w:pStyle w:val="P68B1DB1-Normal7"/>
              <w:spacing w:line="240" w:lineRule="auto"/>
            </w:pPr>
            <w:r>
              <w:t xml:space="preserve">Άρθρο 1 παράγραφος στοιχείο α)</w:t>
            </w:r>
          </w:p>
        </w:tc>
        <w:tc>
          <w:tcPr>
            <w:tcW w:w="2315" w:type="dxa"/>
          </w:tcPr>
          <w:p w14:paraId="5020F0EC" w14:textId="29FBC8B8">
            <w:pPr>
              <w:pStyle w:val="P68B1DB1-Normal7"/>
              <w:spacing w:line="240" w:lineRule="auto"/>
            </w:pPr>
            <w:r>
              <w:t xml:space="preserve">Άρθρο 1 παράγραφος 1</w:t>
            </w:r>
          </w:p>
        </w:tc>
        <w:tc>
          <w:tcPr>
            <w:tcW w:w="2315" w:type="dxa"/>
          </w:tcPr>
          <w:p w14:paraId="1AC77ECE" w14:textId="6BC392C6">
            <w:pPr>
              <w:pStyle w:val="P68B1DB1-Normal7"/>
              <w:spacing w:line="240" w:lineRule="auto"/>
            </w:pPr>
            <w:r>
              <w:t xml:space="preserve">Άρθρο 1 παράγραφος 7</w:t>
            </w:r>
          </w:p>
        </w:tc>
      </w:tr>
      <w:tr w14:paraId="4F3F95AF" w14:textId="77777777">
        <w:trPr>
          <w:trHeight w:val="599"/>
        </w:trPr>
        <w:tc>
          <w:tcPr>
            <w:tcW w:w="3119" w:type="dxa"/>
          </w:tcPr>
          <w:p w14:paraId="42CDA066" w14:textId="77777777">
            <w:pPr>
              <w:pStyle w:val="P68B1DB1-Normal7"/>
              <w:spacing w:line="240" w:lineRule="auto"/>
            </w:pPr>
            <w:r>
              <w:t xml:space="preserve">Ορισμός των «υπηρεσιών»</w:t>
            </w:r>
          </w:p>
        </w:tc>
        <w:tc>
          <w:tcPr>
            <w:tcW w:w="2457" w:type="dxa"/>
          </w:tcPr>
          <w:p w14:paraId="658F3867" w14:textId="6E2F4A98">
            <w:pPr>
              <w:pStyle w:val="P68B1DB1-Normal7"/>
              <w:spacing w:line="240" w:lineRule="auto"/>
            </w:pPr>
            <w:r>
              <w:t xml:space="preserve">Άρθρο 1 παράγραφος στοιχείο β)</w:t>
            </w:r>
          </w:p>
        </w:tc>
        <w:tc>
          <w:tcPr>
            <w:tcW w:w="2315" w:type="dxa"/>
          </w:tcPr>
          <w:p w14:paraId="4273AEF8" w14:textId="51C8B937">
            <w:pPr>
              <w:pStyle w:val="P68B1DB1-Normal7"/>
              <w:spacing w:line="240" w:lineRule="auto"/>
            </w:pPr>
            <w:r>
              <w:t xml:space="preserve">Άρθρο 1 παράγραφος 2</w:t>
            </w:r>
          </w:p>
        </w:tc>
        <w:tc>
          <w:tcPr>
            <w:tcW w:w="2315" w:type="dxa"/>
          </w:tcPr>
          <w:p w14:paraId="6B0C3AFB" w14:textId="2BD4E0BD">
            <w:pPr>
              <w:pStyle w:val="P68B1DB1-Normal7"/>
              <w:spacing w:line="240" w:lineRule="auto"/>
              <w:jc w:val="center"/>
            </w:pPr>
            <w:r>
              <w:t>___</w:t>
            </w:r>
          </w:p>
        </w:tc>
      </w:tr>
      <w:tr w14:paraId="576462BF" w14:textId="77777777">
        <w:trPr>
          <w:trHeight w:val="599"/>
        </w:trPr>
        <w:tc>
          <w:tcPr>
            <w:tcW w:w="3119" w:type="dxa"/>
          </w:tcPr>
          <w:p w14:paraId="555E46FF" w14:textId="77777777">
            <w:pPr>
              <w:pStyle w:val="P68B1DB1-Normal7"/>
              <w:spacing w:line="240" w:lineRule="auto"/>
            </w:pPr>
            <w:r>
              <w:t xml:space="preserve">Ορισμός της «τεχνικής προδιαγραφής»</w:t>
            </w:r>
          </w:p>
        </w:tc>
        <w:tc>
          <w:tcPr>
            <w:tcW w:w="2457" w:type="dxa"/>
          </w:tcPr>
          <w:p w14:paraId="1CD6781C" w14:textId="4816FB95">
            <w:pPr>
              <w:pStyle w:val="P68B1DB1-Normal7"/>
              <w:spacing w:line="240" w:lineRule="auto"/>
            </w:pPr>
            <w:r>
              <w:t xml:space="preserve">Άρθρο 1 παράγραφος στοιχείο γ)</w:t>
            </w:r>
          </w:p>
        </w:tc>
        <w:tc>
          <w:tcPr>
            <w:tcW w:w="2315" w:type="dxa"/>
          </w:tcPr>
          <w:p w14:paraId="6ACA8AFC" w14:textId="5CBBFC47">
            <w:pPr>
              <w:pStyle w:val="P68B1DB1-Normal7"/>
              <w:spacing w:line="240" w:lineRule="auto"/>
            </w:pPr>
            <w:r>
              <w:t xml:space="preserve">Άρθρο 1 παράγραφος 3</w:t>
            </w:r>
          </w:p>
        </w:tc>
        <w:tc>
          <w:tcPr>
            <w:tcW w:w="2315" w:type="dxa"/>
          </w:tcPr>
          <w:p w14:paraId="7742C3F4" w14:textId="668574B6">
            <w:pPr>
              <w:pStyle w:val="P68B1DB1-Normal7"/>
              <w:spacing w:line="240" w:lineRule="auto"/>
            </w:pPr>
            <w:r>
              <w:t xml:space="preserve">Άρθρο 1 παράγραφος 1</w:t>
            </w:r>
          </w:p>
        </w:tc>
      </w:tr>
      <w:tr w14:paraId="39DCA993" w14:textId="77777777">
        <w:trPr>
          <w:trHeight w:val="599"/>
        </w:trPr>
        <w:tc>
          <w:tcPr>
            <w:tcW w:w="3119" w:type="dxa"/>
          </w:tcPr>
          <w:p w14:paraId="412D2403" w14:textId="77777777">
            <w:pPr>
              <w:pStyle w:val="P68B1DB1-Normal7"/>
              <w:spacing w:line="240" w:lineRule="auto"/>
            </w:pPr>
            <w:r>
              <w:t xml:space="preserve">Ορισμός των «άλλων απαιτήσεων»</w:t>
            </w:r>
          </w:p>
        </w:tc>
        <w:tc>
          <w:tcPr>
            <w:tcW w:w="2457" w:type="dxa"/>
          </w:tcPr>
          <w:p w14:paraId="7BCB4CC5" w14:textId="4C804DFA">
            <w:pPr>
              <w:pStyle w:val="P68B1DB1-Normal7"/>
              <w:spacing w:line="240" w:lineRule="auto"/>
            </w:pPr>
            <w:r>
              <w:t xml:space="preserve">Άρθρο 1 παράγραφος στοιχείο δ)</w:t>
            </w:r>
          </w:p>
        </w:tc>
        <w:tc>
          <w:tcPr>
            <w:tcW w:w="2315" w:type="dxa"/>
          </w:tcPr>
          <w:p w14:paraId="414D1EEC" w14:textId="18CAA0FE">
            <w:pPr>
              <w:pStyle w:val="P68B1DB1-Normal7"/>
              <w:spacing w:line="240" w:lineRule="auto"/>
            </w:pPr>
            <w:r>
              <w:t xml:space="preserve">Άρθρο 1 παράγραφος 4</w:t>
            </w:r>
          </w:p>
        </w:tc>
        <w:tc>
          <w:tcPr>
            <w:tcW w:w="2315" w:type="dxa"/>
          </w:tcPr>
          <w:p w14:paraId="46A8193A" w14:textId="477D2F0E">
            <w:pPr>
              <w:pStyle w:val="P68B1DB1-Normal7"/>
              <w:spacing w:line="240" w:lineRule="auto"/>
              <w:jc w:val="center"/>
            </w:pPr>
            <w:r>
              <w:t>___</w:t>
            </w:r>
          </w:p>
        </w:tc>
      </w:tr>
      <w:tr w14:paraId="48F0D2A4" w14:textId="77777777">
        <w:trPr>
          <w:trHeight w:val="599"/>
        </w:trPr>
        <w:tc>
          <w:tcPr>
            <w:tcW w:w="3119" w:type="dxa"/>
          </w:tcPr>
          <w:p w14:paraId="61624EA2" w14:textId="77777777">
            <w:pPr>
              <w:pStyle w:val="P68B1DB1-Normal7"/>
              <w:spacing w:line="240" w:lineRule="auto"/>
            </w:pPr>
            <w:r>
              <w:t xml:space="preserve">Ορισμός του «κανόνα σχετικά με τις υπηρεσίες»</w:t>
            </w:r>
          </w:p>
        </w:tc>
        <w:tc>
          <w:tcPr>
            <w:tcW w:w="2457" w:type="dxa"/>
          </w:tcPr>
          <w:p w14:paraId="136F7BB7" w14:textId="4AA67A90">
            <w:pPr>
              <w:pStyle w:val="P68B1DB1-Normal7"/>
              <w:spacing w:line="240" w:lineRule="auto"/>
            </w:pPr>
            <w:r>
              <w:t xml:space="preserve">Άρθρο 1 παράγραφος στοιχείο ε)</w:t>
            </w:r>
          </w:p>
        </w:tc>
        <w:tc>
          <w:tcPr>
            <w:tcW w:w="2315" w:type="dxa"/>
          </w:tcPr>
          <w:p w14:paraId="36E9CD4F" w14:textId="1B75247A">
            <w:pPr>
              <w:pStyle w:val="P68B1DB1-Normal7"/>
              <w:spacing w:line="240" w:lineRule="auto"/>
            </w:pPr>
            <w:r>
              <w:t xml:space="preserve">Άρθρο 1 παράγραφος 5</w:t>
            </w:r>
          </w:p>
        </w:tc>
        <w:tc>
          <w:tcPr>
            <w:tcW w:w="2315" w:type="dxa"/>
          </w:tcPr>
          <w:p w14:paraId="42762185" w14:textId="37A509CA">
            <w:pPr>
              <w:pStyle w:val="P68B1DB1-Normal7"/>
              <w:spacing w:line="240" w:lineRule="auto"/>
              <w:jc w:val="center"/>
            </w:pPr>
            <w:r>
              <w:t>___</w:t>
            </w:r>
          </w:p>
        </w:tc>
      </w:tr>
      <w:tr w14:paraId="4622E632" w14:textId="77777777">
        <w:trPr>
          <w:trHeight w:val="599"/>
        </w:trPr>
        <w:tc>
          <w:tcPr>
            <w:tcW w:w="3119" w:type="dxa"/>
          </w:tcPr>
          <w:p w14:paraId="59CDC9EC" w14:textId="77777777">
            <w:pPr>
              <w:pStyle w:val="P68B1DB1-Normal7"/>
              <w:spacing w:line="240" w:lineRule="auto"/>
            </w:pPr>
            <w:r>
              <w:t xml:space="preserve">Έννοια του «τεχνικού κανόνα»</w:t>
            </w:r>
          </w:p>
        </w:tc>
        <w:tc>
          <w:tcPr>
            <w:tcW w:w="2457" w:type="dxa"/>
          </w:tcPr>
          <w:p w14:paraId="46C85599" w14:textId="1342B29E">
            <w:pPr>
              <w:pStyle w:val="P68B1DB1-Normal7"/>
              <w:spacing w:line="240" w:lineRule="auto"/>
            </w:pPr>
            <w:r>
              <w:t xml:space="preserve">Άρθρο 1 παράγραφος στοιχείο στ)</w:t>
            </w:r>
          </w:p>
        </w:tc>
        <w:tc>
          <w:tcPr>
            <w:tcW w:w="2315" w:type="dxa"/>
          </w:tcPr>
          <w:p w14:paraId="0E88B9E2" w14:textId="31F951B8">
            <w:pPr>
              <w:pStyle w:val="P68B1DB1-Normal7"/>
              <w:spacing w:line="240" w:lineRule="auto"/>
            </w:pPr>
            <w:r>
              <w:t xml:space="preserve">Άρθρο 1 παράγραφος 11</w:t>
            </w:r>
          </w:p>
        </w:tc>
        <w:tc>
          <w:tcPr>
            <w:tcW w:w="2315" w:type="dxa"/>
          </w:tcPr>
          <w:p w14:paraId="2E4FCAC6" w14:textId="1930FF48">
            <w:pPr>
              <w:pStyle w:val="P68B1DB1-Normal7"/>
              <w:spacing w:line="240" w:lineRule="auto"/>
            </w:pPr>
            <w:r>
              <w:t xml:space="preserve">Άρθρο 1 παράγραφος 5</w:t>
            </w:r>
          </w:p>
        </w:tc>
      </w:tr>
      <w:tr w14:paraId="0C829266" w14:textId="77777777">
        <w:trPr>
          <w:trHeight w:val="599"/>
        </w:trPr>
        <w:tc>
          <w:tcPr>
            <w:tcW w:w="3119" w:type="dxa"/>
          </w:tcPr>
          <w:p w14:paraId="2E36B6FC" w14:textId="77777777">
            <w:pPr>
              <w:pStyle w:val="P68B1DB1-Normal7"/>
              <w:spacing w:line="240" w:lineRule="auto"/>
            </w:pPr>
            <w:r>
              <w:t xml:space="preserve">Υποχρέωση κοινοποίησης</w:t>
            </w:r>
          </w:p>
        </w:tc>
        <w:tc>
          <w:tcPr>
            <w:tcW w:w="2457" w:type="dxa"/>
          </w:tcPr>
          <w:p w14:paraId="04169FF7" w14:textId="77777777">
            <w:pPr>
              <w:pStyle w:val="P68B1DB1-Normal7"/>
              <w:spacing w:line="240" w:lineRule="auto"/>
            </w:pPr>
            <w:r>
              <w:t xml:space="preserve">Άρθρο 5 παράγραφος 1, πρώτη περίοδος</w:t>
            </w:r>
          </w:p>
        </w:tc>
        <w:tc>
          <w:tcPr>
            <w:tcW w:w="2315" w:type="dxa"/>
          </w:tcPr>
          <w:p w14:paraId="730385F8" w14:textId="77777777">
            <w:pPr>
              <w:pStyle w:val="P68B1DB1-Normal7"/>
              <w:spacing w:line="240" w:lineRule="auto"/>
            </w:pPr>
            <w:r>
              <w:t xml:space="preserve">Άρθρο 8 παράγραφος 1, πρώτη περίοδος</w:t>
            </w:r>
          </w:p>
        </w:tc>
        <w:tc>
          <w:tcPr>
            <w:tcW w:w="2315" w:type="dxa"/>
          </w:tcPr>
          <w:p w14:paraId="6937609F" w14:textId="5A2377E0">
            <w:pPr>
              <w:pStyle w:val="P68B1DB1-Normal8"/>
              <w:spacing w:line="240" w:lineRule="auto"/>
            </w:pPr>
            <w:r>
              <w:t xml:space="preserve">Άρθρο 8 παράγραφος 1</w:t>
            </w:r>
          </w:p>
        </w:tc>
      </w:tr>
      <w:tr w14:paraId="4472DE96" w14:textId="77777777">
        <w:trPr>
          <w:trHeight w:val="599"/>
        </w:trPr>
        <w:tc>
          <w:tcPr>
            <w:tcW w:w="3119" w:type="dxa"/>
          </w:tcPr>
          <w:p w14:paraId="08371658" w14:textId="2AE2569B">
            <w:pPr>
              <w:pStyle w:val="P68B1DB1-Normal7"/>
              <w:spacing w:line="240" w:lineRule="auto"/>
            </w:pPr>
            <w:r>
              <w:t xml:space="preserve">Κοινοποίηση βασικών ή σχετικών διατάξεων</w:t>
            </w:r>
          </w:p>
        </w:tc>
        <w:tc>
          <w:tcPr>
            <w:tcW w:w="2457" w:type="dxa"/>
          </w:tcPr>
          <w:p w14:paraId="4460E5CA" w14:textId="77777777">
            <w:pPr>
              <w:pStyle w:val="P68B1DB1-Normal7"/>
              <w:spacing w:line="240" w:lineRule="auto"/>
            </w:pPr>
            <w:r>
              <w:t xml:space="preserve">Άρθρο 5 παράγραφος 1, δεύτερη περίοδος</w:t>
            </w:r>
          </w:p>
        </w:tc>
        <w:tc>
          <w:tcPr>
            <w:tcW w:w="2315" w:type="dxa"/>
          </w:tcPr>
          <w:p w14:paraId="545C5C96" w14:textId="77777777">
            <w:pPr>
              <w:pStyle w:val="P68B1DB1-Normal7"/>
              <w:spacing w:line="240" w:lineRule="auto"/>
            </w:pPr>
            <w:r>
              <w:t xml:space="preserve">Άρθρο 8 παράγραφος 1, δεύτερη περίοδος</w:t>
            </w:r>
          </w:p>
        </w:tc>
        <w:tc>
          <w:tcPr>
            <w:tcW w:w="2315" w:type="dxa"/>
          </w:tcPr>
          <w:p w14:paraId="7658B70A" w14:textId="43A43C7F">
            <w:pPr>
              <w:pStyle w:val="P68B1DB1-Normal7"/>
              <w:spacing w:line="240" w:lineRule="auto"/>
              <w:jc w:val="center"/>
              <w:rPr>
                <w:rFonts w:eastAsia="Times New Roman"/>
              </w:rPr>
            </w:pPr>
            <w:r>
              <w:t>___</w:t>
            </w:r>
          </w:p>
        </w:tc>
      </w:tr>
      <w:tr w14:paraId="6E207C21" w14:textId="77777777">
        <w:trPr>
          <w:trHeight w:val="599"/>
        </w:trPr>
        <w:tc>
          <w:tcPr>
            <w:tcW w:w="3119" w:type="dxa"/>
          </w:tcPr>
          <w:p w14:paraId="05D20653" w14:textId="1C493645">
            <w:pPr>
              <w:pStyle w:val="P68B1DB1-Normal7"/>
              <w:spacing w:line="240" w:lineRule="auto"/>
            </w:pPr>
            <w:r>
              <w:t xml:space="preserve">Εκ νέου κοινοποίηση κατά τη διάρκεια της περιόδου status quo</w:t>
            </w:r>
          </w:p>
        </w:tc>
        <w:tc>
          <w:tcPr>
            <w:tcW w:w="2457" w:type="dxa"/>
          </w:tcPr>
          <w:p w14:paraId="65494BDB" w14:textId="77777777">
            <w:pPr>
              <w:pStyle w:val="P68B1DB1-Normal7"/>
              <w:spacing w:line="240" w:lineRule="auto"/>
            </w:pPr>
            <w:r>
              <w:t xml:space="preserve">Άρθρο 5 παράγραφος 1 τρίτη περίοδος</w:t>
            </w:r>
          </w:p>
        </w:tc>
        <w:tc>
          <w:tcPr>
            <w:tcW w:w="2315" w:type="dxa"/>
          </w:tcPr>
          <w:p w14:paraId="47F0091E" w14:textId="77777777">
            <w:pPr>
              <w:pStyle w:val="P68B1DB1-Normal7"/>
              <w:spacing w:line="240" w:lineRule="auto"/>
            </w:pPr>
            <w:r>
              <w:t xml:space="preserve">Άρθρο 8 παράγραφος 1 τρίτη περίοδος</w:t>
            </w:r>
          </w:p>
        </w:tc>
        <w:tc>
          <w:tcPr>
            <w:tcW w:w="2315" w:type="dxa"/>
          </w:tcPr>
          <w:p w14:paraId="5E9AA7B4" w14:textId="7B61CCCA">
            <w:pPr>
              <w:pStyle w:val="P68B1DB1-Normal7"/>
              <w:spacing w:line="240" w:lineRule="auto"/>
              <w:jc w:val="center"/>
              <w:rPr>
                <w:rFonts w:eastAsia="Times New Roman"/>
              </w:rPr>
            </w:pPr>
            <w:r>
              <w:t>___</w:t>
            </w:r>
          </w:p>
        </w:tc>
      </w:tr>
      <w:tr w14:paraId="7EEDDE8A" w14:textId="77777777">
        <w:trPr>
          <w:trHeight w:val="599"/>
        </w:trPr>
        <w:tc>
          <w:tcPr>
            <w:tcW w:w="3119" w:type="dxa"/>
          </w:tcPr>
          <w:p w14:paraId="6F46F2B9" w14:textId="77777777">
            <w:pPr>
              <w:pStyle w:val="P68B1DB1-Normal7"/>
              <w:spacing w:line="240" w:lineRule="auto"/>
            </w:pPr>
            <w:r>
              <w:t xml:space="preserve">Ανασταλτική προθεσμία</w:t>
            </w:r>
          </w:p>
        </w:tc>
        <w:tc>
          <w:tcPr>
            <w:tcW w:w="2457" w:type="dxa"/>
          </w:tcPr>
          <w:p w14:paraId="0FDAA36A" w14:textId="77777777">
            <w:pPr>
              <w:pStyle w:val="P68B1DB1-Normal7"/>
              <w:spacing w:line="240" w:lineRule="auto"/>
            </w:pPr>
            <w:r>
              <w:t xml:space="preserve">Άρθρο 6</w:t>
            </w:r>
          </w:p>
        </w:tc>
        <w:tc>
          <w:tcPr>
            <w:tcW w:w="2315" w:type="dxa"/>
          </w:tcPr>
          <w:p w14:paraId="51BBC4E4" w14:textId="77777777">
            <w:pPr>
              <w:pStyle w:val="P68B1DB1-Normal7"/>
              <w:spacing w:line="240" w:lineRule="auto"/>
            </w:pPr>
            <w:r>
              <w:t xml:space="preserve">Άρθρο 9</w:t>
            </w:r>
          </w:p>
        </w:tc>
        <w:tc>
          <w:tcPr>
            <w:tcW w:w="2315" w:type="dxa"/>
          </w:tcPr>
          <w:p w14:paraId="2B7D3F30" w14:textId="77777777">
            <w:pPr>
              <w:pStyle w:val="P68B1DB1-Normal8"/>
              <w:spacing w:line="240" w:lineRule="auto"/>
            </w:pPr>
            <w:r>
              <w:t xml:space="preserve">Άρθρο 9</w:t>
            </w:r>
          </w:p>
        </w:tc>
      </w:tr>
      <w:tr w14:paraId="31FCCE62" w14:textId="77777777">
        <w:trPr>
          <w:trHeight w:val="599"/>
        </w:trPr>
        <w:tc>
          <w:tcPr>
            <w:tcW w:w="3119" w:type="dxa"/>
          </w:tcPr>
          <w:p w14:paraId="067F46A1" w14:textId="77777777">
            <w:pPr>
              <w:pStyle w:val="P68B1DB1-Normal7"/>
              <w:spacing w:line="240" w:lineRule="auto"/>
            </w:pPr>
            <w:r>
              <w:t xml:space="preserve">Εξαιρέσεις από τις υποχρεώσεις κοινοποίησης και αναστολής</w:t>
            </w:r>
          </w:p>
        </w:tc>
        <w:tc>
          <w:tcPr>
            <w:tcW w:w="2457" w:type="dxa"/>
          </w:tcPr>
          <w:p w14:paraId="5BC53094" w14:textId="77777777">
            <w:pPr>
              <w:pStyle w:val="P68B1DB1-Normal7"/>
              <w:spacing w:line="240" w:lineRule="auto"/>
            </w:pPr>
            <w:r>
              <w:t xml:space="preserve">Άρθρο 7</w:t>
            </w:r>
          </w:p>
        </w:tc>
        <w:tc>
          <w:tcPr>
            <w:tcW w:w="2315" w:type="dxa"/>
          </w:tcPr>
          <w:p w14:paraId="36E59068" w14:textId="77777777">
            <w:pPr>
              <w:pStyle w:val="P68B1DB1-Normal7"/>
              <w:spacing w:line="240" w:lineRule="auto"/>
            </w:pPr>
            <w:r>
              <w:t xml:space="preserve">Άρθρο 10</w:t>
            </w:r>
          </w:p>
        </w:tc>
        <w:tc>
          <w:tcPr>
            <w:tcW w:w="2315" w:type="dxa"/>
          </w:tcPr>
          <w:p w14:paraId="1FE1BC2D" w14:textId="77777777">
            <w:pPr>
              <w:pStyle w:val="P68B1DB1-Normal8"/>
              <w:spacing w:line="240" w:lineRule="auto"/>
            </w:pPr>
            <w:r>
              <w:t xml:space="preserve">Άρθρο 10</w:t>
            </w:r>
          </w:p>
        </w:tc>
      </w:tr>
    </w:tbl>
    <w:p w14:paraId="4A865CBE" w14:textId="77777777">
      <w:pPr>
        <w:spacing w:after="0" w:line="240" w:lineRule="auto"/>
      </w:pPr>
    </w:p>
    <w:p w14:paraId="08C84FAC" w14:textId="77777777">
      <w:pPr>
        <w:spacing w:line="278" w:lineRule="auto"/>
      </w:pPr>
      <w:r>
        <w:br w:type="page"/>
      </w:r>
    </w:p>
    <w:p w14:paraId="0059B666" w14:textId="32BA8B95">
      <w:pPr>
        <w:jc w:val="both"/>
        <w:rPr>
          <w:rFonts w:ascii="Times New Roman" w:hAnsi="Times New Roman" w:cs="Times New Roman"/>
          <w:b/>
          <w:bCs/>
          <w:sz w:val="24"/>
          <w:szCs w:val="24"/>
          <w:u w:val="single"/>
        </w:rPr>
        <w:pStyle w:val="P68B1DB1-Normal5"/>
      </w:pPr>
      <w:r>
        <w:t xml:space="preserve">Αποποίηση ευθύνης</w:t>
      </w:r>
    </w:p>
    <w:p w14:paraId="0CB71D4E" w14:textId="7BF1CD8D">
      <w:pPr>
        <w:jc w:val="both"/>
        <w:rPr>
          <w:rFonts w:ascii="Times New Roman" w:hAnsi="Times New Roman" w:cs="Times New Roman"/>
          <w:sz w:val="24"/>
          <w:szCs w:val="24"/>
        </w:rPr>
        <w:pStyle w:val="P68B1DB1-Normal7"/>
      </w:pPr>
      <w:r>
        <w:t xml:space="preserve">Οι πληροφορίες και οι οδηγίες που περιέχονται στο παρόν έγγραφο έχουν ως στόχο να συμβάλουν στην καλύτερη κατανόηση των κανόνων κοινοποίησης της οδηγίας (ΕΕ) 2015/1535.</w:t>
      </w:r>
    </w:p>
    <w:p w14:paraId="67EC004B" w14:textId="434F8650">
      <w:pPr>
        <w:jc w:val="both"/>
        <w:rPr>
          <w:rFonts w:ascii="Times New Roman" w:hAnsi="Times New Roman" w:cs="Times New Roman"/>
          <w:sz w:val="24"/>
          <w:szCs w:val="24"/>
        </w:rPr>
        <w:pStyle w:val="P68B1DB1-Normal7"/>
      </w:pPr>
      <w:r>
        <w:t xml:space="preserve">Αυτό προορίζεται αποκλειστικά ως εργαλείο καθοδήγησης. Μόνο το κείμενο της οδηγίας έχει νομική ισχύ και ενδέχεται να δημιουργήσει δικαιώματα και υποχρεώσεις για τους ιδιώτες και τα κράτη μέλη. Το παρόν έγγραφο δεν δημιουργεί κανένα εκτελεστό δικαίωμα ή προσδοκία.</w:t>
      </w:r>
    </w:p>
    <w:p w14:paraId="63D425FC" w14:textId="2836B58B">
      <w:pPr>
        <w:jc w:val="both"/>
        <w:rPr>
          <w:rFonts w:ascii="Times New Roman" w:hAnsi="Times New Roman" w:cs="Times New Roman"/>
          <w:sz w:val="24"/>
          <w:szCs w:val="24"/>
        </w:rPr>
        <w:pStyle w:val="P68B1DB1-Normal7"/>
      </w:pPr>
      <w:r>
        <w:t xml:space="preserve">Η δεσμευτική ερμηνεία της νομοθεσίας της Ευρωπαϊκής Ένωσης εμπίπτει στην αποκλειστική αρμοδιότητα του Δικαστηρίου της Ευρωπαϊκής Ένωσης. Οι απόψεις που διατυπώνονται στο παρόν έγγραφο δεν προδικάζουν τη θέση που ενδέχεται να λάβει η Επιτροπή ενώπιον του Δικαστηρίου.</w:t>
      </w:r>
    </w:p>
    <w:p w14:paraId="5CC222EA" w14:textId="4A13BEE2">
      <w:pPr>
        <w:jc w:val="both"/>
        <w:rPr>
          <w:rFonts w:ascii="Times New Roman" w:hAnsi="Times New Roman" w:cs="Times New Roman"/>
          <w:sz w:val="24"/>
          <w:szCs w:val="24"/>
        </w:rPr>
        <w:pStyle w:val="P68B1DB1-Normal7"/>
      </w:pPr>
      <w:r>
        <w:t xml:space="preserve">Δεδομένου ότι το παρόν έγγραφο αντικατοπτρίζει την κατάσταση της νομολογίας κατά τον χρόνο κατάρτισής του, θα πρέπει να θεωρηθεί ως «ζωντανό εργαλείο» που επιδέχεται βελτίωση και το περιεχόμενό του μπορεί να τροποποιηθεί χωρίς προειδοποίηση.</w:t>
      </w:r>
    </w:p>
    <w:p w14:paraId="00285176" w14:textId="09C940D1">
      <w:pPr>
        <w:spacing w:after="0" w:line="240" w:lineRule="auto"/>
      </w:pPr>
      <w:r>
        <w:br w:type="page"/>
      </w:r>
    </w:p>
    <w:p w14:paraId="16528720" w14:textId="3D5EAE69">
      <w:pPr>
        <w:pStyle w:val="P68B1DB1-Heading13"/>
        <w:numPr>
          <w:ilvl w:val="0"/>
          <w:numId w:val="34"/>
        </w:numPr>
        <w:spacing w:before="0" w:after="0"/>
        <w:jc w:val="center"/>
        <w:rPr>
          <w:color w:val="auto"/>
        </w:rPr>
      </w:pPr>
      <w:bookmarkStart w:id="1" w:name="_Ref194485731"/>
      <w:bookmarkStart w:id="2" w:name="_Toc198043782"/>
      <w:bookmarkStart w:id="3" w:name="_Toc198044080"/>
      <w:bookmarkStart w:id="4" w:name="_Toc203035665"/>
      <w:bookmarkStart w:id="5" w:name="_Ref194484508"/>
      <w:bookmarkEnd w:id="0"/>
      <w:r>
        <w:t xml:space="preserve">Ταξινόμηση ως τεχνικός κανονισμός</w:t>
      </w:r>
      <w:bookmarkEnd w:id="1"/>
      <w:bookmarkEnd w:id="2"/>
      <w:bookmarkEnd w:id="3"/>
      <w:bookmarkEnd w:id="4"/>
    </w:p>
    <w:p w14:paraId="771697CF" w14:textId="77777777">
      <w:pPr>
        <w:pStyle w:val="BodyText"/>
        <w:jc w:val="left"/>
      </w:pPr>
    </w:p>
    <w:p w14:paraId="0A4D39B5" w14:textId="5B89CEFC">
      <w:pPr>
        <w:pStyle w:val="P68B1DB1-Normal12"/>
        <w:spacing w:after="0" w:line="240" w:lineRule="auto"/>
        <w:ind w:left="567"/>
        <w:jc w:val="both"/>
        <w:rPr>
          <w:iCs/>
        </w:rPr>
      </w:pPr>
      <w:r>
        <w:t xml:space="preserve">«[...] η έννοια του “τεχνικού κανόνα” περιλαμβάνει τέσσερις κατηγορίες μέτρων, ήτοι, πρώτον, τις «τεχνικές προδιαγραφές» κατά το άρθρο 1, σημείο 3, της οδηγίας 98/34, δεύτερον, τις «άλλες απαιτήσεις», όπως ορίζονται στο άρθρο 1, σημείο 4, της οδηγίας αυτής, τρίτον, τους «κανόνες σχετικά με τις υπηρεσίες» του άρθρου 1, σημείο 5, της οδηγίας αυτής και, τέταρτον, τις «νομοθετικές, κανονιστικές ή διοικητικές διατάξεις των κρατών μελών [...] που απαγορεύουν την κατασκευή, την εισαγωγή, την εμπορία ή τη χρήση ενός προϊόντος ή την παροχή ή χρήση μιας υπηρεσίας ή την εγκατάσταση για την παροχή υπηρεσιών».»</w:t>
      </w:r>
    </w:p>
    <w:p w14:paraId="4FAB98F0" w14:textId="77777777">
      <w:pPr>
        <w:spacing w:after="0" w:line="240" w:lineRule="auto"/>
        <w:ind w:left="567"/>
        <w:jc w:val="both"/>
        <w:rPr>
          <w:rFonts w:ascii="Times New Roman" w:hAnsi="Times New Roman" w:cs="Times New Roman"/>
          <w:i/>
          <w:iCs/>
          <w:sz w:val="24"/>
          <w:szCs w:val="24"/>
        </w:rPr>
      </w:pPr>
    </w:p>
    <w:p w14:paraId="52EA0CC8" w14:textId="61714FD0">
      <w:pPr>
        <w:pStyle w:val="P68B1DB1-Normal7"/>
        <w:spacing w:after="0" w:line="240" w:lineRule="auto"/>
        <w:ind w:left="567"/>
        <w:jc w:val="right"/>
      </w:pPr>
      <w:r>
        <w:t>(</w:t>
      </w:r>
      <w:hyperlink r:id="rId11" w:history="1">
        <w:r>
          <w:rPr>
            <w:rStyle w:val="Hyperlink"/>
            <w:color w:val="0000FF"/>
          </w:rPr>
          <w:t xml:space="preserve">Απόφαση της 2 Φεβρουαρίου 2016</w:t>
        </w:r>
      </w:hyperlink>
      <w:r>
        <w:t xml:space="preserve">, </w:t>
      </w:r>
      <w:r>
        <w:rPr>
          <w:i/>
        </w:rPr>
        <w:t>Ince</w:t>
      </w:r>
      <w:r>
        <w:t xml:space="preserve">, C-336/14, σκέψη 70)</w:t>
      </w:r>
    </w:p>
    <w:p w14:paraId="39D1F0E4" w14:textId="77777777">
      <w:pPr>
        <w:pStyle w:val="BodyText"/>
        <w:jc w:val="left"/>
      </w:pPr>
    </w:p>
    <w:p w14:paraId="38CAE174" w14:textId="44091B45">
      <w:pPr>
        <w:pStyle w:val="P68B1DB1-Heading24"/>
        <w:numPr>
          <w:ilvl w:val="0"/>
          <w:numId w:val="35"/>
        </w:numPr>
        <w:spacing w:before="0" w:after="0"/>
        <w:jc w:val="center"/>
        <w:rPr>
          <w:bCs/>
          <w:color w:val="auto"/>
        </w:rPr>
      </w:pPr>
      <w:bookmarkStart w:id="6" w:name="_Ref194479747"/>
      <w:bookmarkStart w:id="7" w:name="_Ref196314191"/>
      <w:bookmarkStart w:id="8" w:name="_Toc198043783"/>
      <w:bookmarkStart w:id="9" w:name="_Toc198044081"/>
      <w:bookmarkStart w:id="10" w:name="_Toc203035666"/>
      <w:r>
        <w:t xml:space="preserve">Κοινά κριτήρια για τους τεχνικούς </w:t>
      </w:r>
      <w:bookmarkEnd w:id="6"/>
      <w:r>
        <w:t>κανονισμούς</w:t>
      </w:r>
      <w:bookmarkEnd w:id="7"/>
      <w:bookmarkEnd w:id="8"/>
      <w:bookmarkEnd w:id="9"/>
      <w:bookmarkEnd w:id="10"/>
    </w:p>
    <w:p w14:paraId="5A37DF5A" w14:textId="77777777">
      <w:pPr>
        <w:pStyle w:val="BodyText"/>
      </w:pPr>
    </w:p>
    <w:p w14:paraId="2C807316" w14:textId="77777777">
      <w:pPr>
        <w:pStyle w:val="P68B1DB1-BodyText11"/>
        <w:ind w:left="567"/>
        <w:rPr>
          <w:iCs/>
        </w:rPr>
      </w:pPr>
      <w:r>
        <w:t xml:space="preserve">«Τεχνικός κανόνας»: τεχνική προδιαγραφή ή άλλη απαίτηση ή κανόνας σχετικά με τις υπηρεσίες, συμπεριλαμβανομένων των οικείων διοικητικών διατάξεων των οποίων η τήρηση είναι υποχρεωτική, de jure ή de facto, για την εμπορία, την παροχή υπηρεσιών, την εγκατάσταση ενός φορέα παροχής υπηρεσιών ή τη χρήση σε κράτος μέλος ή σε σημαντικό τμήμα του κράτους αυτού, καθώς και οι νομοθετικές, κανονιστικές ή διοικητικές διατάξεις των κρατών μελών, με την επιφύλαξη των διατάξεων του άρθρου 7, οι οποίες απαγορεύουν την κατασκευή, εισαγωγή, εμπορία ή χρήση ενός προϊόντος και την παροχή ή χρήση μιας υπηρεσίας ή την εγκατάσταση για την παροχή υπηρεσιών.»</w:t>
      </w:r>
    </w:p>
    <w:p w14:paraId="56CBE257" w14:textId="77777777">
      <w:pPr>
        <w:pStyle w:val="BodyText"/>
      </w:pPr>
    </w:p>
    <w:p w14:paraId="66B70B28" w14:textId="1278CE54">
      <w:pPr>
        <w:pStyle w:val="P68B1DB1-Normal7"/>
        <w:spacing w:after="0" w:line="240" w:lineRule="auto"/>
        <w:jc w:val="right"/>
      </w:pPr>
      <w:r>
        <w:t xml:space="preserve">[άρθρο 1 παράγραφος στοιχείο στ) πρώτη περίοδος της οδηγίας (ΕΕ) 2015/1535]</w:t>
      </w:r>
    </w:p>
    <w:p w14:paraId="4D7A236C" w14:textId="77777777">
      <w:pPr>
        <w:spacing w:after="0" w:line="240" w:lineRule="auto"/>
        <w:rPr>
          <w:sz w:val="24"/>
          <w:szCs w:val="24"/>
        </w:rPr>
      </w:pPr>
    </w:p>
    <w:p w14:paraId="61ADC4B8" w14:textId="2F4C951B">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2" w:history="1">
        <w:r>
          <w:rPr>
            <w:rStyle w:val="Hyperlink"/>
            <w:rFonts w:ascii="Times New Roman" w:hAnsi="Times New Roman" w:cs="Times New Roman" w:eastAsia="Times New Roman"/>
            <w:b/>
            <w:i/>
            <w:color w:val="0000FF"/>
            <w:szCs w:val="20"/>
          </w:rPr>
          <w:t xml:space="preserve">Απόφαση της 30 Απριλίου 1996</w:t>
        </w:r>
      </w:hyperlink>
      <w:r>
        <w:rPr>
          <w:rFonts w:ascii="Times New Roman" w:hAnsi="Times New Roman" w:cs="Times New Roman" w:eastAsia="Times New Roman"/>
          <w:b/>
          <w:i/>
          <w:szCs w:val="20"/>
        </w:rPr>
        <w:t xml:space="preserve"> στην υπόθεση C-194/94, CIA Security International SA, σκέψη 29.</w:t>
      </w:r>
      <w:bookmarkEnd w:id="11"/>
    </w:p>
    <w:p w14:paraId="6260A28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0490804" w14:textId="77777777">
      <w:pPr>
        <w:pStyle w:val="P68B1DB1-P68B1DB1-Normal135"/>
        <w:widowControl w:val="0"/>
        <w:tabs>
          <w:tab w:val="left" w:pos="393"/>
        </w:tabs>
        <w:autoSpaceDE w:val="0"/>
        <w:autoSpaceDN w:val="0"/>
        <w:spacing w:after="0" w:line="240" w:lineRule="auto"/>
        <w:jc w:val="both"/>
        <w:rPr>
          <w:b w:val="0"/>
          <w:bCs/>
          <w:i w:val="0"/>
          <w:iCs/>
        </w:rPr>
      </w:pPr>
      <w:r>
        <w:t xml:space="preserve">Ένας κανόνας μπορεί να χαρακτηριστεί ως «τεχνικός κανόνας» μόνον εφόσον παράγει αυτοτελή έννομα αποτελέσματα. Αυτό δεν ισχύει στην περίπτωση νόμου-πλαισίου που δεν παράγει έννομα αποτελέσματα για τους ιδιώτες.</w:t>
      </w:r>
    </w:p>
    <w:p w14:paraId="7CC5408A" w14:textId="77777777">
      <w:pPr>
        <w:widowControl w:val="0"/>
        <w:tabs>
          <w:tab w:val="left" w:pos="393"/>
        </w:tabs>
        <w:autoSpaceDE w:val="0"/>
        <w:autoSpaceDN w:val="0"/>
        <w:spacing w:after="0" w:line="240" w:lineRule="auto"/>
        <w:jc w:val="both"/>
        <w:rPr>
          <w:rFonts w:ascii="Times New Roman" w:hAnsi="Times New Roman" w:cs="Times New Roman" w:eastAsia="Times New Roman"/>
          <w:sz w:val="20"/>
          <w:szCs w:val="20"/>
        </w:rPr>
      </w:pPr>
    </w:p>
    <w:p w14:paraId="3649EC17" w14:textId="62FD7542">
      <w:pPr>
        <w:pStyle w:val="P68B1DB1-P68B1DB1-Normal146"/>
        <w:widowControl w:val="0"/>
        <w:tabs>
          <w:tab w:val="left" w:pos="393"/>
        </w:tabs>
        <w:autoSpaceDE w:val="0"/>
        <w:autoSpaceDN w:val="0"/>
        <w:spacing w:after="0" w:line="240" w:lineRule="auto"/>
        <w:ind w:left="567"/>
        <w:jc w:val="both"/>
        <w:rPr>
          <w:i/>
          <w:iCs/>
          <w:sz w:val="20"/>
        </w:rPr>
      </w:pPr>
      <w:r>
        <w:t xml:space="preserve">«29. Συναφώς, διαπιστώνεται ότι ένας κανόνας χαρακτηρίζεται ως τεχνικός υπό την έννοια της οδηγίας 83/189, εφόσον έχει αυτοτελείς έννομες συνέπειες. Αν, κατά το εσωτερικό δίκαιο, ο κανόνας αυτός χρησιμεύει απλώς ως βάση για την έκδοση διοικητικών κανονισμών που περιέχουν δεσμευτικούς για τους ενδιαφερομένους κανόνες, οπότε δεν παράγει αφ’ εαυτού έννομα αποτελέσματα για τους ιδιώτες, ο κανόνας αυτός δεν συνιστά τεχνικό κανόνα κατά την έννοια της οδηγίας (βλ. απόφαση της 1994ης Ιουλίου 1, C-317/92, Επιτροπή κατά Γερμανίας, Συλλογή 2039, σ. 26-, σκέψη). Συναφώς, πρέπει να υπομνησθεί ότι, σύμφωνα με το άρθρο 8 παράγραφος 1, πρώτο εδάφιο, της οδηγίας 83/189, τα κράτη μέλη οφείλουν να ανακοινώνουν, ταυτόχρονα με το σχέδιο τεχνικού κανόνα, την εξουσιοδοτική πράξη βάσει της οποίας εκδόθηκε, εφόσον η γνώση του κειμένου αυτού είναι αναγκαία για την εκτίμηση των επιπτώσεων του σχεδίου τεχνικού κανόνα.»</w:t>
      </w:r>
    </w:p>
    <w:p w14:paraId="4CF2EEDE" w14:textId="77777777">
      <w:pPr>
        <w:spacing w:after="0" w:line="240" w:lineRule="auto"/>
      </w:pPr>
    </w:p>
    <w:p w14:paraId="1EC2A38D" w14:textId="4709776B">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3" w:history="1">
        <w:r>
          <w:rPr>
            <w:rStyle w:val="Hyperlink"/>
            <w:rFonts w:ascii="Times New Roman" w:hAnsi="Times New Roman" w:cs="Times New Roman" w:eastAsia="Times New Roman"/>
            <w:b/>
            <w:i/>
            <w:color w:val="0000FF"/>
            <w:szCs w:val="20"/>
          </w:rPr>
          <w:t xml:space="preserve">Απόφαση της 20 Μαρτίου 1997</w:t>
        </w:r>
      </w:hyperlink>
      <w:r>
        <w:rPr>
          <w:rFonts w:ascii="Times New Roman" w:hAnsi="Times New Roman" w:cs="Times New Roman" w:eastAsia="Times New Roman"/>
          <w:b/>
          <w:i/>
          <w:szCs w:val="20"/>
        </w:rPr>
        <w:t xml:space="preserve"> στην υπόθεση C-13/96, Bic Benelux, σκέψεις 19 και 20.</w:t>
      </w:r>
      <w:bookmarkEnd w:id="12"/>
    </w:p>
    <w:p w14:paraId="2C091717" w14:textId="77777777">
      <w:pPr>
        <w:widowControl w:val="0"/>
        <w:tabs>
          <w:tab w:val="left" w:pos="396"/>
          <w:tab w:val="left" w:pos="400"/>
        </w:tabs>
        <w:autoSpaceDE w:val="0"/>
        <w:autoSpaceDN w:val="0"/>
        <w:spacing w:after="0" w:line="240" w:lineRule="auto"/>
        <w:jc w:val="both"/>
        <w:rPr>
          <w:rFonts w:ascii="Times New Roman" w:hAnsi="Times New Roman" w:cs="Times New Roman" w:eastAsia="Times New Roman"/>
          <w:szCs w:val="20"/>
        </w:rPr>
      </w:pPr>
    </w:p>
    <w:p w14:paraId="73C7900A" w14:textId="3F5D68F7">
      <w:pPr>
        <w:pStyle w:val="P68B1DB1-P68B1DB1-Normal135"/>
        <w:widowControl w:val="0"/>
        <w:tabs>
          <w:tab w:val="left" w:pos="396"/>
          <w:tab w:val="left" w:pos="400"/>
        </w:tabs>
        <w:autoSpaceDE w:val="0"/>
        <w:autoSpaceDN w:val="0"/>
        <w:spacing w:after="0" w:line="240" w:lineRule="auto"/>
        <w:jc w:val="both"/>
        <w:rPr>
          <w:b w:val="0"/>
          <w:bCs/>
          <w:i w:val="0"/>
          <w:iCs/>
        </w:rPr>
      </w:pPr>
      <w:r>
        <w:t xml:space="preserve">Οι λόγοι για τη θέσπιση εθνικού μέτρου δεν ασκούν επιρροή για τον χαρακτηρισμό του μέτρου αυτού ως «τεχνικού κανόνα». Σκοπός της οδηγίας είναι, μέσω του προληπτικού ελέγχου, η προστασία της ελεύθερης κυκλοφορίας των εμπορευμάτων, η οποία αποτελεί ένα από τα θεμέλια της Κοινότητας.</w:t>
      </w:r>
    </w:p>
    <w:p w14:paraId="49EDC2CC" w14:textId="77777777">
      <w:pPr>
        <w:widowControl w:val="0"/>
        <w:autoSpaceDE w:val="0"/>
        <w:autoSpaceDN w:val="0"/>
        <w:spacing w:after="0" w:line="240" w:lineRule="auto"/>
        <w:jc w:val="both"/>
        <w:rPr>
          <w:rFonts w:ascii="Times New Roman" w:hAnsi="Times New Roman" w:cs="Times New Roman" w:eastAsia="Times New Roman"/>
          <w:szCs w:val="20"/>
        </w:rPr>
      </w:pPr>
    </w:p>
    <w:p w14:paraId="4156ECFE" w14:textId="7DEAF419">
      <w:pPr>
        <w:pStyle w:val="P68B1DB1-P68B1DB1-Normal146"/>
        <w:widowControl w:val="0"/>
        <w:autoSpaceDE w:val="0"/>
        <w:autoSpaceDN w:val="0"/>
        <w:spacing w:after="0" w:line="240" w:lineRule="auto"/>
        <w:ind w:left="510"/>
        <w:jc w:val="both"/>
        <w:rPr>
          <w:i/>
          <w:iCs/>
          <w:sz w:val="20"/>
        </w:rPr>
      </w:pPr>
      <w:r>
        <w:t xml:space="preserve">«19. [...] Η οδηγία 83/189 δεν βρίσκει έρεισμα για ερμηνεία περιορίζουσα την εφαρμογή της στα εθνικά μέτρα που μπορούν να εναρμονιστούν μόνο βάσει του άρθρου 100α της Συνθήκης. Συγκεκριμένα, ο στόχος της οδηγίας αυτής συνίσταται στην προστασία, με προληπτικό έλεγχο, της ελεύθερης κυκλοφορίας των εμπορευμάτων, η οποία αποτελεί ένα από τα θεμέλια της Κοινότητας. Ο έλεγχος αυτός επιβάλλεται στο μέτρο που τεχνικοί κανόνες που εμπίπτουν στην οδηγία μπορούν να εμποδίσουν άμεσα ή έμμεσα, πραγματικά ή δυνητικά, το ενδοκοινοτικό εμπόριο. Τα εμπόδια αυτά μπορούν να ανακύψουν από τη θέσπιση εθνικών τεχνικών κανόνων, έστω και αν οι κανόνες αυτοί δεν είναι περιττοί σε σχέση με τη σήμανση που τίθεται εντός του κράτους μέλους καταγωγής και ανεξαρτήτως των λόγων που δικαιολόγησαν τη θέσπισή τους. </w:t>
      </w:r>
    </w:p>
    <w:p w14:paraId="3ECEA0CB" w14:textId="77777777">
      <w:pPr>
        <w:pStyle w:val="P68B1DB1-Normal14"/>
        <w:widowControl w:val="0"/>
        <w:autoSpaceDE w:val="0"/>
        <w:autoSpaceDN w:val="0"/>
        <w:spacing w:after="0" w:line="240" w:lineRule="auto"/>
        <w:ind w:left="510"/>
        <w:jc w:val="both"/>
        <w:rPr>
          <w:i/>
          <w:iCs/>
          <w:sz w:val="20"/>
        </w:rPr>
      </w:pPr>
    </w:p>
    <w:p w14:paraId="17FB6164" w14:textId="39A34C5B">
      <w:pPr>
        <w:pStyle w:val="P68B1DB1-P68B1DB1-Normal146"/>
        <w:widowControl w:val="0"/>
        <w:autoSpaceDE w:val="0"/>
        <w:autoSpaceDN w:val="0"/>
        <w:spacing w:after="0" w:line="240" w:lineRule="auto"/>
        <w:ind w:left="510"/>
        <w:jc w:val="both"/>
        <w:rPr>
          <w:i/>
          <w:iCs/>
          <w:sz w:val="20"/>
        </w:rPr>
      </w:pPr>
      <w:r>
        <w:t xml:space="preserve">20. Κατά συνέπεια, το γεγονός ότι ένα εθνικό μέτρο θεσπίστηκε για την προστασία του περιβάλλοντος ή ότι δεν θέτει σε εφαρμογή ένα τεχνικό πρότυπο το οποίο μπορεί να αποτελέσει εμπόδιο στην ελεύθερη κυκλοφορία δεν σημαίνει ότι το επίμαχο μέτρο δεν μπορεί να αποτελεί τεχνικό κανόνα κατά την έννοια της οδηγίας 83/189.»</w:t>
      </w:r>
    </w:p>
    <w:p w14:paraId="21D40469" w14:textId="77777777">
      <w:pPr>
        <w:spacing w:after="0" w:line="240" w:lineRule="auto"/>
      </w:pPr>
    </w:p>
    <w:p w14:paraId="5DB9E3C5" w14:textId="38D65933">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4" w:history="1">
        <w:r>
          <w:rPr>
            <w:rStyle w:val="Hyperlink"/>
            <w:rFonts w:ascii="Times New Roman" w:hAnsi="Times New Roman" w:cs="Times New Roman" w:eastAsia="Times New Roman"/>
            <w:b/>
            <w:i/>
            <w:color w:val="0000FF"/>
            <w:szCs w:val="20"/>
          </w:rPr>
          <w:t xml:space="preserve">Απόφαση της 16 Νοεμβρίου 2000</w:t>
        </w:r>
      </w:hyperlink>
      <w:r>
        <w:rPr>
          <w:rFonts w:ascii="Times New Roman" w:hAnsi="Times New Roman" w:cs="Times New Roman" w:eastAsia="Times New Roman"/>
          <w:b/>
          <w:i/>
          <w:szCs w:val="20"/>
        </w:rPr>
        <w:t xml:space="preserve"> στην υπόθεση C-37/99, Donkersteeg, σκέψεις 30 έως 34</w:t>
      </w:r>
      <w:bookmarkEnd w:id="13"/>
    </w:p>
    <w:p w14:paraId="3F63DC2D" w14:textId="77777777">
      <w:pPr>
        <w:widowControl w:val="0"/>
        <w:autoSpaceDE w:val="0"/>
        <w:autoSpaceDN w:val="0"/>
        <w:spacing w:after="0" w:line="240" w:lineRule="auto"/>
        <w:jc w:val="both"/>
        <w:rPr>
          <w:rFonts w:ascii="Times New Roman" w:hAnsi="Times New Roman" w:cs="Times New Roman" w:eastAsia="Times New Roman"/>
          <w:szCs w:val="20"/>
        </w:rPr>
      </w:pPr>
    </w:p>
    <w:p w14:paraId="75027B7E" w14:textId="22C0CBFC">
      <w:pPr>
        <w:pStyle w:val="P68B1DB1-P68B1DB1-Normal135"/>
        <w:widowControl w:val="0"/>
        <w:autoSpaceDE w:val="0"/>
        <w:autoSpaceDN w:val="0"/>
        <w:spacing w:after="0" w:line="240" w:lineRule="auto"/>
        <w:jc w:val="both"/>
        <w:rPr>
          <w:b w:val="0"/>
          <w:bCs/>
          <w:i w:val="0"/>
          <w:iCs/>
        </w:rPr>
      </w:pPr>
      <w:r>
        <w:t xml:space="preserve">Οι λεπτομερείς κανόνες για τον εμβολιασμό των ζώων αποτελούν «τεχνική προδιαγραφή». Ωστόσο, πρόκειται για «τεχνικό κανόνα» που απαιτεί κοινοποίηση μόνον εφόσον η τήρησή του είναι υποχρεωτική de jure ή de facto. Τούτο δεν συμβαίνει όταν, σε περίπτωση παραβάσεως του κανόνα, δεν επιβάλλονται περιορισμοί στην εμπορία ή τη χρήση των οικείων προϊόντων.</w:t>
      </w:r>
    </w:p>
    <w:p w14:paraId="7B48861C" w14:textId="77777777">
      <w:pPr>
        <w:widowControl w:val="0"/>
        <w:autoSpaceDE w:val="0"/>
        <w:autoSpaceDN w:val="0"/>
        <w:spacing w:after="0" w:line="240" w:lineRule="auto"/>
        <w:jc w:val="both"/>
        <w:rPr>
          <w:rFonts w:ascii="Times New Roman" w:hAnsi="Times New Roman" w:cs="Times New Roman" w:eastAsia="Times New Roman"/>
          <w:szCs w:val="20"/>
        </w:rPr>
      </w:pPr>
    </w:p>
    <w:p w14:paraId="284DCB65" w14:textId="72CEBC4F">
      <w:pPr>
        <w:pStyle w:val="P68B1DB1-P68B1DB1-Normal146"/>
        <w:widowControl w:val="0"/>
        <w:autoSpaceDE w:val="0"/>
        <w:autoSpaceDN w:val="0"/>
        <w:spacing w:after="0"/>
        <w:ind w:left="567"/>
        <w:jc w:val="both"/>
        <w:rPr>
          <w:i/>
          <w:iCs/>
          <w:sz w:val="20"/>
        </w:rPr>
      </w:pPr>
      <w:r>
        <w:t xml:space="preserve">«30. [...] σύμφωνα με το άρθρο 1 παράγραφος 1 της οδηγίας, όσον αφορά τα γεωργικά προϊόντα, ως «τεχνική προδιαγραφή» νοείται η προδιαγραφή που περιέχεται σε έγγραφο που καθορίζει τα απαιτούμενα χαρακτηριστικά ενός προϊόντος ή τις μεθόδους και διαδικασίες παραγωγής του.</w:t>
      </w:r>
    </w:p>
    <w:p w14:paraId="4B80B8D5" w14:textId="77777777">
      <w:pPr>
        <w:pStyle w:val="P68B1DB1-Normal14"/>
        <w:widowControl w:val="0"/>
        <w:autoSpaceDE w:val="0"/>
        <w:autoSpaceDN w:val="0"/>
        <w:spacing w:after="0"/>
        <w:ind w:left="567"/>
        <w:jc w:val="both"/>
        <w:rPr>
          <w:i/>
          <w:iCs/>
          <w:sz w:val="20"/>
        </w:rPr>
      </w:pPr>
    </w:p>
    <w:p w14:paraId="243FA6BC" w14:textId="77777777">
      <w:pPr>
        <w:pStyle w:val="P68B1DB1-P68B1DB1-Normal146"/>
        <w:widowControl w:val="0"/>
        <w:autoSpaceDE w:val="0"/>
        <w:autoSpaceDN w:val="0"/>
        <w:spacing w:after="0"/>
        <w:ind w:left="567"/>
        <w:jc w:val="both"/>
        <w:rPr>
          <w:i/>
          <w:iCs/>
          <w:sz w:val="20"/>
        </w:rPr>
      </w:pPr>
      <w:r>
        <w:t xml:space="preserve">31. Κανόνας όπως αυτός του άρθρου 2 παράγραφος 1, του VBZA αποτελεί τεχνική προδιαγραφή κατά την έννοια του άρθρου 1 παράγραφος 1, της οδηγίας. Όπως ορθώς υποστηρίζει η Επιτροπή, δεδομένου ότι οι ακριβείς και λεπτομερείς κανόνες σχετικά με τον εμβολιασμό κατά της νόσου του Aujeszky συνδέονται με την υπό στενή έννοια παραγωγή του οικείου γεωργικού προϊόντος και πρέπει να τηρούνται καθ’ όλη τη διάρκεια του κύκλου παραγωγής, ο κανόνας αυτός ορίζει, επομένως, μια «διαδικασία» για την παραγωγή του εν λόγω προϊόντος.</w:t>
      </w:r>
    </w:p>
    <w:p w14:paraId="38EC4E98" w14:textId="77777777">
      <w:pPr>
        <w:pStyle w:val="P68B1DB1-Normal14"/>
        <w:widowControl w:val="0"/>
        <w:autoSpaceDE w:val="0"/>
        <w:autoSpaceDN w:val="0"/>
        <w:spacing w:after="0"/>
        <w:ind w:left="567"/>
        <w:jc w:val="both"/>
        <w:rPr>
          <w:i/>
          <w:iCs/>
          <w:sz w:val="20"/>
        </w:rPr>
      </w:pPr>
    </w:p>
    <w:p w14:paraId="5C8FDDF5" w14:textId="77777777">
      <w:pPr>
        <w:pStyle w:val="P68B1DB1-P68B1DB1-Normal146"/>
        <w:widowControl w:val="0"/>
        <w:autoSpaceDE w:val="0"/>
        <w:autoSpaceDN w:val="0"/>
        <w:spacing w:after="0"/>
        <w:ind w:left="567"/>
        <w:jc w:val="both"/>
        <w:rPr>
          <w:i/>
          <w:iCs/>
          <w:sz w:val="20"/>
        </w:rPr>
      </w:pPr>
      <w:r>
        <w:t xml:space="preserve">32. Ωστόσο, για να χαρακτηριστεί ως τεχνικός κανόνας κατά την έννοια της οδηγίας, ο επίμαχος στην κύρια δίκη κανόνας πρέπει, σύμφωνα με το άρθρο 1 παράγραφος 5, της οδηγίας αυτής, να περιέχει τεχνικές προδιαγραφές «η τήρηση των οποίων είναι υποχρεωτική, de jure ή de facto, για την εμπορία ή τη χρήση σε κράτος μέλος ή σε σημαντικό τμήμα του κράτους αυτού, με εξαίρεση τις προδιαγραφές που ορίζονται από τους οργανισμούς τοπικής αυτοδιοίκησης.</w:t>
      </w:r>
    </w:p>
    <w:p w14:paraId="1642D773" w14:textId="77777777">
      <w:pPr>
        <w:pStyle w:val="P68B1DB1-Normal14"/>
        <w:widowControl w:val="0"/>
        <w:autoSpaceDE w:val="0"/>
        <w:autoSpaceDN w:val="0"/>
        <w:spacing w:after="0"/>
        <w:ind w:left="567"/>
        <w:jc w:val="both"/>
        <w:rPr>
          <w:i/>
          <w:iCs/>
          <w:sz w:val="20"/>
        </w:rPr>
      </w:pPr>
    </w:p>
    <w:p w14:paraId="1D500948" w14:textId="77777777">
      <w:pPr>
        <w:pStyle w:val="P68B1DB1-P68B1DB1-Normal146"/>
        <w:widowControl w:val="0"/>
        <w:autoSpaceDE w:val="0"/>
        <w:autoSpaceDN w:val="0"/>
        <w:spacing w:after="0"/>
        <w:ind w:left="567"/>
        <w:jc w:val="both"/>
        <w:rPr>
          <w:i/>
          <w:iCs/>
          <w:sz w:val="20"/>
        </w:rPr>
      </w:pPr>
      <w:r>
        <w:t xml:space="preserve">33. Εν προκειμένω, πρέπει να επισημανθεί, όπως τόνισε η Ολλανδική Κυβέρνηση, ότι ο κανόνας που περιέχεται στο άρθρο 2 παράγραφος 1, του διατάγματος ΚΝΑ δεν επιβάλλει περιορισμούς ούτε για την εμπορία ούτε για τη χρησιμοποίηση των σχετικών προϊόντων στην περίπτωση που οι χοίροι, κατά παράβαση του κανόνα αυτού, δεν έχουν εμβολιασθεί κατά της νόσου του Aujeszky.</w:t>
      </w:r>
    </w:p>
    <w:p w14:paraId="2280D2F8" w14:textId="77777777">
      <w:pPr>
        <w:pStyle w:val="P68B1DB1-Normal14"/>
        <w:widowControl w:val="0"/>
        <w:autoSpaceDE w:val="0"/>
        <w:autoSpaceDN w:val="0"/>
        <w:spacing w:after="0"/>
        <w:ind w:left="567"/>
        <w:jc w:val="both"/>
        <w:rPr>
          <w:i/>
          <w:iCs/>
          <w:sz w:val="20"/>
        </w:rPr>
      </w:pPr>
    </w:p>
    <w:p w14:paraId="432A3655" w14:textId="77777777">
      <w:pPr>
        <w:pStyle w:val="P68B1DB1-P68B1DB1-Normal146"/>
        <w:widowControl w:val="0"/>
        <w:autoSpaceDE w:val="0"/>
        <w:autoSpaceDN w:val="0"/>
        <w:spacing w:after="0"/>
        <w:ind w:left="567"/>
        <w:jc w:val="both"/>
        <w:rPr>
          <w:i/>
          <w:iCs/>
          <w:sz w:val="20"/>
        </w:rPr>
      </w:pPr>
      <w:r>
        <w:t xml:space="preserve">34. Επομένως, στο δεύτερο ερώτημα πρέπει να δοθεί η απάντηση ότι διάταξη όπως η επίμαχη στην κύρια δίκη, η οποία επιβάλλει σε κάθε γεωργό την υποχρέωση να εμβολιάζει τους χοίρους της εκμεταλλεύσεώς του κατά της νόσου του Aujeszky, δεν αποτελεί, κατά την έννοια της οδηγίας, τεχνικό κανόνα ο οποίος θα έπρεπε να έχει κοινοποιηθεί στην Επιτροπή πριν από τη θέσπισή του.»</w:t>
      </w:r>
    </w:p>
    <w:p w14:paraId="4573243C" w14:textId="77777777">
      <w:pPr>
        <w:spacing w:after="0" w:line="240" w:lineRule="auto"/>
      </w:pPr>
    </w:p>
    <w:p w14:paraId="6D41E4F7" w14:textId="2DFA6AAE">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5" w:history="1">
        <w:r>
          <w:rPr>
            <w:rStyle w:val="Hyperlink"/>
            <w:rFonts w:ascii="Times New Roman" w:hAnsi="Times New Roman" w:cs="Times New Roman" w:eastAsia="Times New Roman"/>
            <w:b/>
            <w:i/>
            <w:color w:val="0000FF"/>
            <w:szCs w:val="20"/>
          </w:rPr>
          <w:t xml:space="preserve">Απόφαση της 3 Δεκεμβρίου 2020</w:t>
        </w:r>
      </w:hyperlink>
      <w:r>
        <w:rPr>
          <w:rFonts w:ascii="Times New Roman" w:hAnsi="Times New Roman" w:cs="Times New Roman" w:eastAsia="Times New Roman"/>
          <w:b/>
          <w:i/>
          <w:szCs w:val="20"/>
        </w:rPr>
        <w:t xml:space="preserve">, Star Taxi App, C-62/19, σκέψεις 60 και 61</w:t>
      </w:r>
      <w:bookmarkEnd w:id="14"/>
    </w:p>
    <w:p w14:paraId="13F9C96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0B016A8" w14:textId="595E56D7">
      <w:pPr>
        <w:pStyle w:val="P68B1DB1-P68B1DB1-Normal135"/>
        <w:widowControl w:val="0"/>
        <w:autoSpaceDE w:val="0"/>
        <w:autoSpaceDN w:val="0"/>
        <w:spacing w:after="0" w:line="240" w:lineRule="auto"/>
        <w:jc w:val="both"/>
        <w:rPr>
          <w:b w:val="0"/>
          <w:bCs/>
          <w:i w:val="0"/>
          <w:iCs/>
        </w:rPr>
      </w:pPr>
      <w:r>
        <w:t xml:space="preserve">Για να χαρακτηριστεί ένα εθνικό μέτρο ως «τεχνικός κανόνας», πρέπει να είναι δεσμευτικό de jure ή de facto, όσον αφορά την παροχή ή τη χρήση της οικείας υπηρεσίας, εντός κράτους μέλους ή σημαντικού τμήματος αυτού.</w:t>
      </w:r>
    </w:p>
    <w:p w14:paraId="2E622B9C" w14:textId="77777777">
      <w:pPr>
        <w:widowControl w:val="0"/>
        <w:autoSpaceDE w:val="0"/>
        <w:autoSpaceDN w:val="0"/>
        <w:spacing w:after="0" w:line="240" w:lineRule="auto"/>
        <w:jc w:val="both"/>
        <w:rPr>
          <w:rFonts w:ascii="Times New Roman" w:hAnsi="Times New Roman" w:cs="Times New Roman" w:eastAsia="Times New Roman"/>
          <w:szCs w:val="20"/>
        </w:rPr>
      </w:pPr>
    </w:p>
    <w:p w14:paraId="072FCDD3" w14:textId="5A28BFDE">
      <w:pPr>
        <w:pStyle w:val="P68B1DB1-Normal15"/>
        <w:widowControl w:val="0"/>
        <w:autoSpaceDE w:val="0"/>
        <w:autoSpaceDN w:val="0"/>
        <w:spacing w:after="0" w:line="240" w:lineRule="auto"/>
        <w:ind w:left="567"/>
        <w:jc w:val="both"/>
        <w:rPr>
          <w:i w:val="0"/>
          <w:iCs/>
        </w:rPr>
      </w:pPr>
      <w:r>
        <w:t xml:space="preserve">«60. [...] από το άρθρο 1 παράγραφος στοιχείο στ) ́, πρώτο εδάφιο, της οδηγίας 2015/1535 προκύπτει ότι ως «τεχνικός κανόνας» νοείται «η τεχνική προδιαγραφή ή άλλη απαίτηση ή κανόνας σχετικά με τις υπηρεσίες, συμπεριλαμβανομένων των οικείων διοικητικών διατάξεων των οποίων η τήρηση είναι υποχρεωτική, de jure ή de facto, για την εμπορία, την παροχή υπηρεσιών, την εγκατάσταση ενός φορέα παροχής υπηρεσιών ή τη χρήση σε κράτος μέλος ή σε σημαντικό τμήμα του κράτους αυτού, καθώς και οι νομοθετικές, κανονιστικές ή διοικητικές διατάξεις των κρατών μελών, με την επιφύλαξη των διατάξεων του άρθρου 7, οι οποίες απαγορεύουν την κατασκευή, εισαγωγή, εμπορία ή χρήση ενός προϊόντος ή την παροχή ή χρήση μιας υπηρεσίας ή της εγκατάστασης για την παροχή υπηρεσιών».</w:t>
      </w:r>
    </w:p>
    <w:p w14:paraId="4FF7DC70" w14:textId="77777777">
      <w:pPr>
        <w:pStyle w:val="P68B1DB1-Normal15"/>
        <w:widowControl w:val="0"/>
        <w:autoSpaceDE w:val="0"/>
        <w:autoSpaceDN w:val="0"/>
        <w:spacing w:after="0" w:line="240" w:lineRule="auto"/>
        <w:ind w:left="567"/>
        <w:jc w:val="both"/>
        <w:rPr>
          <w:i w:val="0"/>
          <w:iCs/>
        </w:rPr>
      </w:pPr>
    </w:p>
    <w:p w14:paraId="4482F387" w14:textId="50B8F03F">
      <w:pPr>
        <w:pStyle w:val="P68B1DB1-Normal15"/>
        <w:widowControl w:val="0"/>
        <w:autoSpaceDE w:val="0"/>
        <w:autoSpaceDN w:val="0"/>
        <w:spacing w:after="0" w:line="240" w:lineRule="auto"/>
        <w:ind w:left="567"/>
        <w:jc w:val="both"/>
        <w:rPr>
          <w:i w:val="0"/>
          <w:iCs/>
        </w:rPr>
      </w:pPr>
      <w:r>
        <w:t xml:space="preserve">61. Επομένως, για να μπορεί μια εθνική ρύθμιση που αφορά υπηρεσία της κοινωνίας της πληροφορίας να χαρακτηριστεί ως «τεχνικός κανόνας», πρέπει όχι μόνο να χαρακτηριστεί ως «κανόνας σχετικά με τις υπηρεσίες» κατά την έννοια του άρθρου 1 παράγραφος στοιχείο ε) ́, της οδηγίας 2015/1535, αλλά και να είναι υποχρεωτικός, de jure ή de facto, ιδίως όσον αφορά την παροχή της εν λόγω υπηρεσίας ή τη χρήση της σε κράτος μέλος ή σε σημαντικό τμήμα του κράτους αυτού.»</w:t>
      </w:r>
    </w:p>
    <w:p w14:paraId="6EC55A15" w14:textId="67024D34">
      <w:pPr>
        <w:pStyle w:val="P68B1DB1-Heading24"/>
        <w:numPr>
          <w:ilvl w:val="0"/>
          <w:numId w:val="35"/>
        </w:numPr>
        <w:spacing w:before="0" w:after="0"/>
        <w:jc w:val="center"/>
        <w:rPr>
          <w:bCs/>
          <w:color w:val="auto"/>
        </w:rPr>
      </w:pPr>
      <w:bookmarkStart w:id="15" w:name="_Ref194481248"/>
      <w:bookmarkStart w:id="16" w:name="_Ref196314204"/>
      <w:bookmarkStart w:id="17" w:name="_Toc203035667"/>
      <w:r>
        <w:t>Τεχνικές</w:t>
      </w:r>
      <w:bookmarkEnd w:id="15"/>
      <w:r>
        <w:t xml:space="preserve"> Προδιαγραφές</w:t>
      </w:r>
      <w:bookmarkEnd w:id="16"/>
      <w:bookmarkEnd w:id="17"/>
    </w:p>
    <w:p w14:paraId="241DC1E1" w14:textId="77777777">
      <w:pPr>
        <w:pStyle w:val="BodyText"/>
      </w:pPr>
    </w:p>
    <w:p w14:paraId="24A39E18" w14:textId="77777777">
      <w:pPr>
        <w:pStyle w:val="P68B1DB1-BodyText11"/>
        <w:ind w:left="567"/>
      </w:pPr>
      <w:r>
        <w:t xml:space="preserve">«τεχνική προδιαγραφή»: προδιαγραφή που περιέχεται σε έγγραφο το οποίο καθορίζει τα απαιτούμενα χαρακτηριστικά ενός προϊόντος, όπως επίπεδα ποιότητας, επιδόσεις, ασφάλεια ή διαστάσεις, συμπεριλαμβανομένων των απαιτήσεων που ισχύουν για το προϊόν όσον αφορά την ονομασία πώλησης, την ορολογία, τα σύμβολα, τις δοκιμές και τις μεθόδους δοκιμής, τη συσκευασία, τη σήμανση ή την επισήμανση και τις διαδικασίες αξιολόγησης της συμμόρφωσης.</w:t>
      </w:r>
    </w:p>
    <w:p w14:paraId="33F4D1E4" w14:textId="77777777">
      <w:pPr>
        <w:pStyle w:val="P68B1DB1-BodyText11"/>
        <w:ind w:left="567"/>
      </w:pPr>
    </w:p>
    <w:p w14:paraId="5224E321" w14:textId="77777777">
      <w:pPr>
        <w:pStyle w:val="P68B1DB1-BodyText11"/>
        <w:ind w:left="567"/>
        <w:rPr>
          <w:iCs/>
        </w:rPr>
      </w:pPr>
      <w:r>
        <w:t xml:space="preserve">Ο όρος «τεχνική προδιαγραφή» καλύπτει επίσης τις μεθόδους και διαδικασίες παραγωγής γεωργικών προϊόντων, όπως αναφέρονται στο άρθρο 38 παράγραφος 1 δεύτερο εδάφιο της Συνθήκης για τη λειτουργία της Ευρωπαϊκής Ένωσης (ΣΛΕΕ), τα προϊόντα που προορίζονται για κατανάλωση από τον άνθρωπο και τα ζώα, και τα φάρμακα, όπως ορίζονται στο άρθρο 1 της οδηγίας 2001/83/ΕΚ του Ευρωπαϊκού Κοινοβουλίου και του Συμβουλίου (1), καθώς και τις μεθόδους και διαδικασίες παραγωγής άλλων προϊόντων, εφόσον επηρεάζουν τα χαρακτηριστικά τους·»</w:t>
      </w:r>
    </w:p>
    <w:p w14:paraId="6C2A57E1" w14:textId="77777777">
      <w:pPr>
        <w:pStyle w:val="BodyText"/>
        <w:ind w:left="567"/>
        <w:rPr>
          <w:i/>
          <w:iCs/>
        </w:rPr>
      </w:pPr>
    </w:p>
    <w:p w14:paraId="2F7A4C59" w14:textId="62E0EC95">
      <w:pPr>
        <w:pStyle w:val="BodyText"/>
        <w:ind w:left="1440"/>
        <w:jc w:val="right"/>
      </w:pPr>
      <w:r>
        <w:t xml:space="preserve">(Άρθρο 1 παράγραφος στοιχείο γ) της οδηγίας (ΕΕ) 2015/1535)</w:t>
      </w:r>
    </w:p>
    <w:p w14:paraId="01CFC4AF" w14:textId="77777777">
      <w:pPr>
        <w:spacing w:after="0" w:line="240" w:lineRule="auto"/>
      </w:pPr>
    </w:p>
    <w:p w14:paraId="1AB91297" w14:textId="219B80DD">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6" w:history="1">
        <w:r>
          <w:rPr>
            <w:rStyle w:val="Hyperlink"/>
            <w:rFonts w:ascii="Times New Roman" w:hAnsi="Times New Roman" w:cs="Times New Roman" w:eastAsia="Times New Roman"/>
            <w:b/>
            <w:i/>
            <w:color w:val="0000FF"/>
            <w:szCs w:val="20"/>
          </w:rPr>
          <w:t xml:space="preserve">Απόφαση της 11 Ιανουαρίου 1996</w:t>
        </w:r>
      </w:hyperlink>
      <w:r>
        <w:rPr>
          <w:rFonts w:ascii="Times New Roman" w:hAnsi="Times New Roman" w:cs="Times New Roman" w:eastAsia="Times New Roman"/>
          <w:b/>
          <w:i/>
          <w:szCs w:val="20"/>
        </w:rPr>
        <w:t xml:space="preserve"> στην υπόθεση C-273/94, Επιτροπή κατά Κάτω Χωρών, σκέψη 13.</w:t>
      </w:r>
      <w:bookmarkEnd w:id="18"/>
    </w:p>
    <w:p w14:paraId="490AFA5B"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45335B30" w14:textId="77777777">
      <w:pPr>
        <w:pStyle w:val="P68B1DB1-P68B1DB1-Normal135"/>
        <w:widowControl w:val="0"/>
        <w:tabs>
          <w:tab w:val="left" w:pos="396"/>
          <w:tab w:val="left" w:pos="405"/>
        </w:tabs>
        <w:autoSpaceDE w:val="0"/>
        <w:autoSpaceDN w:val="0"/>
        <w:spacing w:after="0" w:line="240" w:lineRule="auto"/>
        <w:jc w:val="both"/>
        <w:rPr>
          <w:b w:val="0"/>
          <w:bCs/>
          <w:i w:val="0"/>
          <w:iCs/>
        </w:rPr>
      </w:pPr>
      <w:r>
        <w:t xml:space="preserve">Εθνικός κανόνας που εισάγει παρέκκλιση από υφιστάμενο τεχνικό κανόνα για συγκεκριμένο προϊόν συνιστά «τεχνικό κανόνα» αν επιβάλλει εναλλακτικές «τεχνικές προδιαγραφές», τις οποίες πρέπει να τηρεί κάθε πρόσωπο που επιθυμεί να επωφεληθεί της παρέκκλισης. </w:t>
      </w:r>
    </w:p>
    <w:p w14:paraId="5E3E0A04"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0D132388" w14:textId="17D2E715">
      <w:pPr>
        <w:pStyle w:val="P68B1DB1-P68B1DB1-Normal147"/>
        <w:widowControl w:val="0"/>
        <w:tabs>
          <w:tab w:val="left" w:pos="405"/>
        </w:tabs>
        <w:autoSpaceDE w:val="0"/>
        <w:autoSpaceDN w:val="0"/>
        <w:spacing w:after="0" w:line="240" w:lineRule="auto"/>
        <w:ind w:left="567"/>
        <w:jc w:val="both"/>
        <w:rPr>
          <w:i/>
          <w:iCs/>
          <w:sz w:val="20"/>
          <w:szCs w:val="18"/>
        </w:rPr>
      </w:pPr>
      <w:r>
        <w:t xml:space="preserve">«13. Η εφαρμογή σε συγκεκριμένο προϊόν, όπως η μαργαρίνη, κανονισμού παρεκκλίνοντος από άλλο υφιστάμενο τεχνικό κανόνα που αφορά το ίδιο προϊόν συνιστά τεχνικό κανόνα κατά την έννοια του άρθρου 1 παράγραφος 5, της οδηγίας, καθόσον θεσπίζει τεχνικές προδιαγραφές, κατά την έννοια του άρθρου 1 παράγραφος 1, των οποίων η τήρηση είναι υποχρεωτική, de jure ή de facto, όταν το προϊόν αυτό διατίθεται στο εμπόριο ή χρησιμοποιείται. Αν δηλαδή η μαργαρίνη δεν παρασκευάζεται σύμφωνα με τις διατάξεις του διατάγματος περί μαργαρίνης, τότε η παρασκευή της είναι δυνατή μόνο με τη χρήση των υποκατάστατων προϊόντων που επιτρέπονται από την επίδικη κανονιστική απόφαση. Η χρήση των εν λόγω υποκατάστατων προϊόντων όχι μόνο περιορίζεται εντός των ορίων που θέτει η επίδικη κανονιστική απόφαση, αλλά η χρήση τους αποτελεί τη μόνη εναλλακτική λύση σε σχέση με τα προϊόντα που μπορούν να χρησιμοποιηθούν σύμφωνα με το διάταγμα περί μαργαρίνης. Επομένως, η επίδικη διάταξη έπρεπε να κοινοποιηθεί σύμφωνα με την οδηγία.»</w:t>
      </w:r>
    </w:p>
    <w:p w14:paraId="3246D759" w14:textId="77777777">
      <w:pPr>
        <w:spacing w:after="0" w:line="240" w:lineRule="auto"/>
      </w:pPr>
    </w:p>
    <w:bookmarkStart w:id="19" w:name="_Hlk193381440"/>
    <w:p w14:paraId="62C03AFC" w14:textId="2795F956">
      <w:pPr>
        <w:pStyle w:val="P68B1DB1-P68B1DB1-Normal168"/>
        <w:widowControl w:val="0"/>
        <w:autoSpaceDE w:val="0"/>
        <w:autoSpaceDN w:val="0"/>
        <w:spacing w:after="0" w:line="240" w:lineRule="auto"/>
        <w:jc w:val="both"/>
        <w:outlineLvl w:val="1"/>
        <w:rPr>
          <w:b/>
          <w:bCs/>
          <w:i/>
          <w:iCs/>
          <w:sz w:val="22"/>
          <w:szCs w:val="18"/>
          <w:u w:val="single"/>
        </w:rPr>
      </w:pPr>
      <w:r>
        <w:rPr>
          <w:u w:val="single"/>
        </w:rPr>
        <w:fldChar w:fldCharType="begin"/>
      </w:r>
      <w:r>
        <w:rPr>
          <w:b/>
          <w:bCs/>
          <w:i/>
          <w:iCs/>
          <w:sz w:val="22"/>
          <w:szCs w:val="18"/>
          <w:u w:val="single"/>
        </w:rPr>
        <w:instrText>HYPERLINK "https://eur-lex.europa.eu/legal-content/EN/TXT/PDF/?uri=CELEX:61994CJ0194"</w:instrText>
      </w:r>
      <w:r>
        <w:rPr>
          <w:b/>
          <w:bCs/>
          <w:i/>
          <w:iCs/>
          <w:sz w:val="22"/>
          <w:szCs w:val="18"/>
          <w:u w:val="single"/>
        </w:rPr>
      </w:r>
      <w:r>
        <w:rPr>
          <w:b/>
          <w:bCs/>
          <w:i/>
          <w:iCs/>
          <w:sz w:val="22"/>
          <w:szCs w:val="18"/>
          <w:u w:val="single"/>
        </w:rPr>
        <w:fldChar w:fldCharType="separate"/>
      </w:r>
      <w:bookmarkStart w:id="20" w:name="_Toc198043789"/>
      <w:r>
        <w:rPr>
          <w:b/>
          <w:bCs/>
          <w:i/>
          <w:iCs/>
          <w:color w:val="0000FF"/>
          <w:sz w:val="22"/>
          <w:szCs w:val="18"/>
          <w:u w:val="single"/>
        </w:rPr>
        <w:t xml:space="preserve">Απόφαση της 30 Απριλίου 1996</w:t>
      </w:r>
      <w:r>
        <w:t xml:space="preserve"> στην υπόθεση C-194/94</w:t>
      </w:r>
      <w:r>
        <w:rPr>
          <w:b/>
          <w:bCs/>
          <w:i/>
          <w:iCs/>
          <w:color w:val="0000FF"/>
          <w:sz w:val="22"/>
          <w:szCs w:val="18"/>
          <w:u w:val="single"/>
        </w:rPr>
        <w:fldChar w:fldCharType="end"/>
        <w:t xml:space="preserve">, CIA Security International SA, σκέψη 30.</w:t>
      </w:r>
      <w:bookmarkEnd w:id="20"/>
    </w:p>
    <w:p w14:paraId="03A3C498"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CB9B60A" w14:textId="77777777">
      <w:pPr>
        <w:pStyle w:val="P68B1DB1-P68B1DB1-Normal135"/>
        <w:widowControl w:val="0"/>
        <w:tabs>
          <w:tab w:val="left" w:pos="393"/>
        </w:tabs>
        <w:autoSpaceDE w:val="0"/>
        <w:autoSpaceDN w:val="0"/>
        <w:spacing w:after="0" w:line="240" w:lineRule="auto"/>
        <w:jc w:val="both"/>
        <w:rPr>
          <w:b w:val="0"/>
          <w:bCs/>
          <w:i w:val="0"/>
          <w:iCs/>
        </w:rPr>
      </w:pPr>
      <w:r>
        <w:t xml:space="preserve">Ένας κανόνας πρέπει να χαρακτηρίζεται ως «τεχνικός κανόνας» όταν επιβάλλει στις ενδιαφερόμενες επιχειρήσεις την υποχρέωση να ζητήσουν προηγούμενη έγκριση του εξοπλισμού τους, ακόμη και αν δεν έχουν θεσπιστεί οι σχεδιαζόμενοι διοικητικοί κανόνες.</w:t>
      </w:r>
    </w:p>
    <w:p w14:paraId="3B8967AA" w14:textId="77777777">
      <w:pPr>
        <w:widowControl w:val="0"/>
        <w:tabs>
          <w:tab w:val="left" w:pos="393"/>
        </w:tabs>
        <w:autoSpaceDE w:val="0"/>
        <w:autoSpaceDN w:val="0"/>
        <w:spacing w:after="0" w:line="240" w:lineRule="auto"/>
        <w:jc w:val="both"/>
        <w:rPr>
          <w:rFonts w:ascii="Times New Roman" w:hAnsi="Times New Roman" w:cs="Times New Roman" w:eastAsia="Times New Roman"/>
          <w:szCs w:val="20"/>
        </w:rPr>
      </w:pPr>
    </w:p>
    <w:p w14:paraId="215AA9EB" w14:textId="10F7CC33">
      <w:pPr>
        <w:pStyle w:val="P68B1DB1-P68B1DB1-Normal147"/>
        <w:widowControl w:val="0"/>
        <w:tabs>
          <w:tab w:val="left" w:pos="396"/>
        </w:tabs>
        <w:autoSpaceDE w:val="0"/>
        <w:autoSpaceDN w:val="0"/>
        <w:spacing w:after="0" w:line="240" w:lineRule="auto"/>
        <w:ind w:left="567"/>
        <w:jc w:val="both"/>
        <w:rPr>
          <w:i/>
          <w:iCs/>
          <w:sz w:val="20"/>
          <w:szCs w:val="18"/>
        </w:rPr>
      </w:pPr>
      <w:r>
        <w:t>«30</w:t>
      </w:r>
      <w:bookmarkEnd w:id="19"/>
      <w:r>
        <w:t xml:space="preserve">. [...] ένας κανόνας πρέπει να χαρακτηριστεί ως τεχνικός κανόνας κατά την έννοια της οδηγίας 83/189 αν, όπως υποστήριξε η Βελγική Κυβέρνηση κατά την επ’ ακροατηρίου συζήτηση, επιβάλλει στις ενδιαφερόμενες επιχειρήσεις την υποχρέωση να ζητήσουν προηγούμενη έγκριση του εξοπλισμού τους, ακόμη και αν δεν έχουν θεσπιστεί οι σχεδιαζόμενοι διοικητικοί κανόνες.»</w:t>
      </w:r>
    </w:p>
    <w:p w14:paraId="2E3568F3" w14:textId="77777777">
      <w:pPr>
        <w:spacing w:after="0" w:line="240" w:lineRule="auto"/>
      </w:pPr>
    </w:p>
    <w:bookmarkStart w:id="21" w:name="_Hlk193380849"/>
    <w:p w14:paraId="5207FE2E" w14:textId="5E0891EF">
      <w:pPr>
        <w:pStyle w:val="P68B1DB1-P68B1DB1-Normal169"/>
        <w:widowControl w:val="0"/>
        <w:autoSpaceDE w:val="0"/>
        <w:autoSpaceDN w:val="0"/>
        <w:spacing w:after="0" w:line="240" w:lineRule="auto"/>
        <w:jc w:val="both"/>
        <w:outlineLvl w:val="1"/>
        <w:rPr>
          <w:b/>
          <w:bCs/>
          <w:i/>
          <w:iCs/>
          <w:sz w:val="24"/>
          <w:szCs w:val="20"/>
        </w:rPr>
      </w:pPr>
      <w:r>
        <w:fldChar w:fldCharType="begin"/>
      </w:r>
      <w:r>
        <w:rPr>
          <w:b/>
          <w:bCs/>
          <w:i/>
          <w:iCs/>
          <w:sz w:val="24"/>
          <w:szCs w:val="20"/>
        </w:rPr>
        <w:instrText>HYPERLINK "https://curia.europa.eu/juris/showPdf.jsf?text=&amp;docid=43725&amp;pageIndex=0&amp;doclang=EN&amp;mode=lst&amp;dir=&amp;occ=first&amp;part=1&amp;cid=10811412"</w:instrText>
      </w:r>
      <w:r>
        <w:rPr>
          <w:b/>
          <w:bCs/>
          <w:i/>
          <w:iCs/>
          <w:sz w:val="24"/>
          <w:szCs w:val="20"/>
        </w:rPr>
      </w:r>
      <w:r>
        <w:rPr>
          <w:b/>
          <w:bCs/>
          <w:i/>
          <w:iCs/>
          <w:sz w:val="24"/>
          <w:szCs w:val="20"/>
        </w:rPr>
        <w:fldChar w:fldCharType="separate"/>
      </w:r>
      <w:bookmarkStart w:id="22" w:name="_Toc198043790"/>
      <w:r>
        <w:rPr>
          <w:b/>
          <w:bCs/>
          <w:i/>
          <w:iCs/>
          <w:color w:val="0000FF"/>
          <w:sz w:val="24"/>
          <w:szCs w:val="20"/>
          <w:u w:val="single"/>
        </w:rPr>
        <w:t xml:space="preserve">Απόφαση της 16 Σεπτεμβρίου 1996 στην υπόθεση C-279/94</w:t>
      </w:r>
      <w:r>
        <w:rPr>
          <w:b/>
          <w:bCs/>
          <w:i/>
          <w:iCs/>
          <w:color w:val="0000FF"/>
          <w:sz w:val="24"/>
          <w:szCs w:val="20"/>
          <w:u w:val="single"/>
        </w:rPr>
        <w:fldChar w:fldCharType="end"/>
        <w:t xml:space="preserve">, Επιτροπή κατά Ιταλίας, σκέψη 34.</w:t>
      </w:r>
      <w:bookmarkEnd w:id="22"/>
    </w:p>
    <w:p w14:paraId="17AF04A1" w14:textId="77777777">
      <w:pPr>
        <w:widowControl w:val="0"/>
        <w:tabs>
          <w:tab w:val="left" w:pos="396"/>
          <w:tab w:val="left" w:pos="461"/>
        </w:tabs>
        <w:autoSpaceDE w:val="0"/>
        <w:autoSpaceDN w:val="0"/>
        <w:spacing w:after="0" w:line="240" w:lineRule="auto"/>
        <w:ind w:hanging="142"/>
        <w:jc w:val="both"/>
        <w:rPr>
          <w:rFonts w:ascii="Times New Roman" w:hAnsi="Times New Roman" w:cs="Times New Roman" w:eastAsia="Times New Roman"/>
          <w:szCs w:val="20"/>
        </w:rPr>
      </w:pPr>
    </w:p>
    <w:p w14:paraId="305146C4" w14:textId="48041DD6">
      <w:pPr>
        <w:pStyle w:val="P68B1DB1-P68B1DB1-Normal135"/>
        <w:widowControl w:val="0"/>
        <w:tabs>
          <w:tab w:val="left" w:pos="396"/>
          <w:tab w:val="left" w:pos="461"/>
        </w:tabs>
        <w:autoSpaceDE w:val="0"/>
        <w:autoSpaceDN w:val="0"/>
        <w:spacing w:after="0" w:line="240" w:lineRule="auto"/>
        <w:jc w:val="both"/>
        <w:rPr>
          <w:b w:val="0"/>
          <w:bCs/>
          <w:i w:val="0"/>
          <w:iCs/>
        </w:rPr>
      </w:pPr>
      <w:r>
        <w:t xml:space="preserve">Μια διάταξη που καθορίζει όρια συγκέντρωσης αναπνεύσιμων ινών αμιάντου στους χώρους εργασίας δεν αποτελεί «τεχνική προδιαγραφή», καθώς δεν καθορίζει τα απαιτούμενα χαρακτηριστικά ενός προϊόντος.</w:t>
      </w:r>
    </w:p>
    <w:bookmarkEnd w:id="21"/>
    <w:p w14:paraId="3914A279" w14:textId="77777777">
      <w:pPr>
        <w:widowControl w:val="0"/>
        <w:tabs>
          <w:tab w:val="left" w:pos="396"/>
          <w:tab w:val="left" w:pos="461"/>
        </w:tabs>
        <w:autoSpaceDE w:val="0"/>
        <w:autoSpaceDN w:val="0"/>
        <w:spacing w:after="0" w:line="240" w:lineRule="auto"/>
        <w:jc w:val="both"/>
        <w:rPr>
          <w:rFonts w:ascii="Times New Roman" w:hAnsi="Times New Roman" w:cs="Times New Roman" w:eastAsia="Times New Roman"/>
          <w:i/>
          <w:iCs/>
          <w:sz w:val="20"/>
          <w:szCs w:val="16"/>
        </w:rPr>
      </w:pPr>
    </w:p>
    <w:p w14:paraId="67A9CA8E" w14:textId="0D618384">
      <w:pPr>
        <w:pStyle w:val="P68B1DB1-P68B1DB1-Normal147"/>
        <w:widowControl w:val="0"/>
        <w:tabs>
          <w:tab w:val="left" w:pos="396"/>
          <w:tab w:val="left" w:pos="461"/>
        </w:tabs>
        <w:autoSpaceDE w:val="0"/>
        <w:autoSpaceDN w:val="0"/>
        <w:spacing w:after="0" w:line="240" w:lineRule="auto"/>
        <w:ind w:left="567"/>
        <w:jc w:val="both"/>
        <w:rPr>
          <w:i/>
          <w:iCs/>
          <w:sz w:val="20"/>
          <w:szCs w:val="18"/>
        </w:rPr>
      </w:pPr>
      <w:r>
        <w:t xml:space="preserve">«34. Σύμφωνα όμως με το άρθρο 1, σημείο 5, της οδηγίας, υπό τον όρο τεχνικός κανονισμός πρέπει να νοούνται «(...) τεχνικές προδιαγραφές, συμπεριλαμβανομένων των διοικητικών διατάξεων που ισχύουν γι’ αυτές, η τήρηση των οποίων είναι υποχρεωτική, de jure ή de facto, για την εμπορία ή χρησιμοποίηση σε κράτος μέλος (...)». Σύμφωνα με το άρθρο 1, σημείο 1, της οδηγίας, «τεχνικές προδιαγραφές» είναι οι προδιαγραφές που περιέχονται σε έγγραφο με το οποίο ορίζονται τα απαιτούμενα χαρακτηριστικά ενός προϊόντος, όπως η ποιοτική στάθμη, η απόδοση και η ασφάλεια. Το άρθρο 3 παράγραφος 1, του νόμου 257/92 καθορίζει τις οριακές τιμές συγκεντρώσεως εισπνεύσιμων ινών αμιάντου στους χώρους εργασίας. Μη καθορίζουσα ένα απαιτούμενο χαρακτηριστικό προϊόντος, η διάταξη αυτή δεν εμπίπτει a priori στον ορισμό των τεχνικών προδιαγραφών και δεν μπορεί, επομένως, να θεωρηθεί ως τεχνικός κανονισμός ο οποίος πρέπει να κοινοποιηθεί στην Επιτροπή, σύμφωνα με το άρθρο 8 παράγραφος 1, πρώτο εδάφιο, της οδηγίας. Μολονότι η τήρηση των ορίων τιμών για τις συγκεντρώσεις εισπνεύσιμων ινών αμιάντου που προβλέπονται στο άρθρο 3 του νόμου αριθ. 257/92 μπορεί να έχει συνέπειες όσον αφορά τα χαρακτηριστικά του εν λόγω προϊόντος, όπως αυτά προβλέπονται στο άρθρο 1 σημείο 1 της οδηγίας, η Επιτροπή δεν απέδειξε με ποιον τρόπο θα μπορούσε να συμβεί αυτό.»</w:t>
      </w:r>
    </w:p>
    <w:p w14:paraId="77CC982D" w14:textId="77777777">
      <w:pPr>
        <w:spacing w:after="0" w:line="240" w:lineRule="auto"/>
      </w:pPr>
    </w:p>
    <w:p w14:paraId="7EF6FA71" w14:textId="696433A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17" w:history="1">
        <w:r>
          <w:rPr>
            <w:color w:val="0000FF"/>
            <w:u w:val="single"/>
          </w:rPr>
          <w:t xml:space="preserve">Απόφαση της 17 Σεπτεμβρίου 1996</w:t>
        </w:r>
      </w:hyperlink>
      <w:r>
        <w:t xml:space="preserve"> στην υπόθεση C-289/94, Επιτροπή κατά Ιταλίας, σκέψη 32.</w:t>
      </w:r>
      <w:bookmarkEnd w:id="23"/>
    </w:p>
    <w:p w14:paraId="63F2CA3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4459CD7" w14:textId="60F96DFC">
      <w:pPr>
        <w:pStyle w:val="P68B1DB1-P68B1DB1-Normal135"/>
        <w:widowControl w:val="0"/>
        <w:tabs>
          <w:tab w:val="left" w:pos="393"/>
          <w:tab w:val="left" w:pos="396"/>
        </w:tabs>
        <w:autoSpaceDE w:val="0"/>
        <w:autoSpaceDN w:val="0"/>
        <w:spacing w:after="0" w:line="240" w:lineRule="auto"/>
        <w:jc w:val="both"/>
        <w:rPr>
          <w:b w:val="0"/>
          <w:bCs/>
          <w:i w:val="0"/>
          <w:iCs/>
        </w:rPr>
      </w:pPr>
      <w:r>
        <w:t xml:space="preserve">Ένα διάταγμα που ρυθμίζει την ποιότητα του νερού που προορίζεται για την καλλιέργεια μαλακίων αποτελεί «τεχνικό κανόνα» που υπόκειται σε κοινοποίηση λόγω του άμεσου αντικτύπου του στην εμπορία των οικείων προϊόντων. </w:t>
      </w:r>
    </w:p>
    <w:p w14:paraId="2D9EC8A9" w14:textId="77777777">
      <w:pPr>
        <w:widowControl w:val="0"/>
        <w:tabs>
          <w:tab w:val="left" w:pos="393"/>
          <w:tab w:val="left" w:pos="396"/>
        </w:tabs>
        <w:autoSpaceDE w:val="0"/>
        <w:autoSpaceDN w:val="0"/>
        <w:spacing w:after="0" w:line="240" w:lineRule="auto"/>
        <w:jc w:val="both"/>
        <w:rPr>
          <w:rFonts w:ascii="Times New Roman" w:hAnsi="Times New Roman" w:cs="Times New Roman" w:eastAsia="Times New Roman"/>
          <w:szCs w:val="20"/>
        </w:rPr>
      </w:pPr>
    </w:p>
    <w:p w14:paraId="3F84CC3E" w14:textId="06ABFE08">
      <w:pPr>
        <w:pStyle w:val="P68B1DB1-P68B1DB1-Normal147"/>
        <w:widowControl w:val="0"/>
        <w:tabs>
          <w:tab w:val="left" w:pos="393"/>
          <w:tab w:val="left" w:pos="396"/>
        </w:tabs>
        <w:autoSpaceDE w:val="0"/>
        <w:autoSpaceDN w:val="0"/>
        <w:spacing w:after="0" w:line="240" w:lineRule="auto"/>
        <w:ind w:left="567"/>
        <w:jc w:val="both"/>
        <w:rPr>
          <w:i/>
          <w:iCs/>
          <w:sz w:val="20"/>
          <w:szCs w:val="18"/>
        </w:rPr>
      </w:pPr>
      <w:r>
        <w:t xml:space="preserve">«32.  Μολονότι η υπουργική απόφαση υπ’ αριθ. 256 αφορά ορισμένα ζητήματα ποιότητας των υδάτων που προορίζονται για καλλιέργεια βρωσίμων ελασματοβραγχίων μαλακίων, εντούτοις, όπως ορθά τονίζει η Επιτροπή, συσχετίζει στενότατα την ποιότητα των υδάτων για την καλλιέργεια των μαλακίων προς την εμπορία των ελασματοβραγχίων μαλακίων που προορίζονται για κατανάλωση. Για παράδειγμα, μόνο τα μαλάκια που καλλιεργούνται σε ύδατα που ανταποκρίνονται στις τεχνικές προδιαγραφές της αποφάσεως υπ’ αριθ. 256 θα επιτρέπεται να διατίθενται στο εμπόριο. Επομένως, η τήρηση των προδιαγραφών αυτών, οι οποίες είναι δεσμευτικές, επηρεάζει άμεσα την εμπορία των μαλακίων, οπότε το διάταγμα 256 πρέπει να θεωρηθεί ως τεχνικός κανόνας που υπόκειται στην υποχρέωση κοινοποιήσεως του άρθρου 8 της οδηγίας 83/189.»</w:t>
      </w:r>
    </w:p>
    <w:p w14:paraId="649C3FFC" w14:textId="77777777">
      <w:pPr>
        <w:spacing w:after="0" w:line="240" w:lineRule="auto"/>
      </w:pPr>
    </w:p>
    <w:p w14:paraId="594FA21A" w14:textId="5BFD552E">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18" w:history="1">
        <w:r>
          <w:rPr>
            <w:color w:val="0000FF"/>
            <w:u w:val="single"/>
          </w:rPr>
          <w:t xml:space="preserve">Απόφαση Albers κ.λπ., C-425/97 έως 427/97, της 11 Μαΐου 1999</w:t>
        </w:r>
      </w:hyperlink>
      <w:r>
        <w:t xml:space="preserve">, Albers κ.λπ., σκέψεις 16 και 17</w:t>
      </w:r>
      <w:bookmarkEnd w:id="24"/>
    </w:p>
    <w:p w14:paraId="5F0AAD7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7AC9467" w14:textId="6F183D52">
      <w:pPr>
        <w:pStyle w:val="P68B1DB1-P68B1DB1-Normal135"/>
        <w:widowControl w:val="0"/>
        <w:tabs>
          <w:tab w:val="left" w:pos="403"/>
        </w:tabs>
        <w:autoSpaceDE w:val="0"/>
        <w:autoSpaceDN w:val="0"/>
        <w:spacing w:after="0" w:line="240" w:lineRule="auto"/>
        <w:jc w:val="both"/>
        <w:rPr>
          <w:b w:val="0"/>
          <w:bCs/>
          <w:i w:val="0"/>
          <w:iCs/>
        </w:rPr>
      </w:pPr>
      <w:r>
        <w:t xml:space="preserve">Οι κανόνες που απαγορεύουν τη χορήγηση ορισμένων φαρμάκων στα βοοειδή αποτελούν «τεχνικές προδιαγραφές», δεδομένου ότι καθορίζουν τις μεθόδους παραγωγής των γεωργικών προϊόντων.</w:t>
      </w:r>
    </w:p>
    <w:p w14:paraId="72C610C7"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337E8892" w14:textId="77777777">
      <w:pPr>
        <w:pStyle w:val="P68B1DB1-P68B1DB1-Normal147"/>
        <w:widowControl w:val="0"/>
        <w:tabs>
          <w:tab w:val="left" w:pos="403"/>
        </w:tabs>
        <w:autoSpaceDE w:val="0"/>
        <w:autoSpaceDN w:val="0"/>
        <w:spacing w:after="0"/>
        <w:ind w:left="567"/>
        <w:jc w:val="both"/>
        <w:rPr>
          <w:i/>
          <w:iCs/>
          <w:sz w:val="20"/>
          <w:szCs w:val="18"/>
        </w:rPr>
      </w:pPr>
      <w:r>
        <w:t xml:space="preserve">«16. [...] κανόνες οι οποίοι, όπως εν προκειμένω, αποσκοπούν στην αποτροπή της χορηγήσεως συμπαθητικομιμητικών ουσιών σε βοοειδή παχύνσεως άνω των 14 εβδομάδων συνιστούν τεχνικές προδιαγραφές κατά την έννοια του άρθρου 1 παράγραφος 1, της οδηγίας 83/189.</w:t>
      </w:r>
    </w:p>
    <w:p w14:paraId="184A20A2" w14:textId="77777777">
      <w:pPr>
        <w:pStyle w:val="P68B1DB1-Normal14"/>
        <w:widowControl w:val="0"/>
        <w:tabs>
          <w:tab w:val="left" w:pos="403"/>
        </w:tabs>
        <w:autoSpaceDE w:val="0"/>
        <w:autoSpaceDN w:val="0"/>
        <w:spacing w:after="0"/>
        <w:ind w:left="567"/>
        <w:jc w:val="both"/>
        <w:rPr>
          <w:i/>
          <w:iCs/>
          <w:sz w:val="20"/>
          <w:szCs w:val="18"/>
        </w:rPr>
      </w:pPr>
    </w:p>
    <w:p w14:paraId="6ED2A74A" w14:textId="77777777">
      <w:pPr>
        <w:pStyle w:val="P68B1DB1-P68B1DB1-Normal147"/>
        <w:widowControl w:val="0"/>
        <w:tabs>
          <w:tab w:val="left" w:pos="403"/>
        </w:tabs>
        <w:autoSpaceDE w:val="0"/>
        <w:autoSpaceDN w:val="0"/>
        <w:spacing w:after="0"/>
        <w:ind w:left="567"/>
        <w:jc w:val="both"/>
        <w:rPr>
          <w:i/>
          <w:iCs/>
          <w:sz w:val="20"/>
          <w:szCs w:val="18"/>
        </w:rPr>
      </w:pPr>
      <w:r>
        <w:t xml:space="preserve">17. Οι κανόνες αυτοί καθορίζουν τις μεθόδους και τις διαδικασίες παραγωγής των γεωργικών προϊόντων, όπως ορίζονται στο άρθρο 38 παράγραφος 1, της Συνθήκης ΕΚ (νυν, κατόπιν τροποποιήσεως, άρθρο 32 παράγραφος 1, ΕΚ) που προορίζονται για ανθρώπινη κατανάλωση.»</w:t>
      </w:r>
    </w:p>
    <w:p w14:paraId="2268A3D1" w14:textId="77777777">
      <w:pPr>
        <w:pStyle w:val="P68B1DB1-Normal14"/>
        <w:widowControl w:val="0"/>
        <w:tabs>
          <w:tab w:val="left" w:pos="403"/>
        </w:tabs>
        <w:autoSpaceDE w:val="0"/>
        <w:autoSpaceDN w:val="0"/>
        <w:spacing w:after="0" w:line="240" w:lineRule="auto"/>
        <w:ind w:left="567"/>
        <w:jc w:val="both"/>
      </w:pPr>
    </w:p>
    <w:p w14:paraId="23614BFD" w14:textId="3A1567C1">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19" w:history="1">
        <w:r>
          <w:rPr>
            <w:color w:val="0000FF"/>
            <w:u w:val="single"/>
          </w:rPr>
          <w:t xml:space="preserve">Απόφαση της 22 Ιανουαρίου 2000</w:t>
        </w:r>
      </w:hyperlink>
      <w:r>
        <w:t xml:space="preserve"> στην υπόθεση C-390/99, Canal Satélite Digital, σκέψεις 45 έως 47.</w:t>
      </w:r>
      <w:bookmarkEnd w:id="25"/>
    </w:p>
    <w:p w14:paraId="66ACF23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3D40E02" w14:textId="3EBC10F3">
      <w:pPr>
        <w:pStyle w:val="P68B1DB1-P68B1DB1-Normal135"/>
        <w:widowControl w:val="0"/>
        <w:tabs>
          <w:tab w:val="left" w:pos="396"/>
          <w:tab w:val="left" w:pos="405"/>
        </w:tabs>
        <w:autoSpaceDE w:val="0"/>
        <w:autoSpaceDN w:val="0"/>
        <w:spacing w:after="0" w:line="240" w:lineRule="auto"/>
        <w:jc w:val="both"/>
        <w:rPr>
          <w:b w:val="0"/>
          <w:bCs/>
          <w:i w:val="0"/>
          <w:iCs/>
        </w:rPr>
      </w:pPr>
      <w:r>
        <w:t xml:space="preserve">Εθνική ρύθμιση η οποία επιβάλλει την προηγούμενη καταχώριση και πιστοποίηση των συσκευών ψηφιακής μεταδόσεως και λήψεως δορυφορικών τηλεοπτικών σημάτων πριν από τη διάθεσή τους στην αγορά συνιστά «τεχνικό κανόνα», καθόσον καθορίζει τα χαρακτηριστικά των οικείων προϊόντων. </w:t>
      </w:r>
    </w:p>
    <w:p w14:paraId="492A0BC9"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6D130C89" w14:textId="373E8FE6">
      <w:pPr>
        <w:pStyle w:val="P68B1DB1-P68B1DB1-Normal147"/>
        <w:widowControl w:val="0"/>
        <w:tabs>
          <w:tab w:val="left" w:pos="396"/>
          <w:tab w:val="left" w:pos="405"/>
        </w:tabs>
        <w:autoSpaceDE w:val="0"/>
        <w:autoSpaceDN w:val="0"/>
        <w:spacing w:after="0" w:line="240" w:lineRule="auto"/>
        <w:ind w:left="425"/>
        <w:jc w:val="both"/>
        <w:rPr>
          <w:i/>
          <w:iCs/>
          <w:sz w:val="20"/>
          <w:szCs w:val="18"/>
        </w:rPr>
      </w:pPr>
      <w:r>
        <w:t xml:space="preserve">«45. [...] το Δικαστήριο έχει κρίνει ότι δεν συνιστούν τεχνικούς κανόνες κατά την έννοια του άρθρου 1, σημείο 9, της οδηγίας 83/189 εθνικές διατάξεις οι οποίες απλώς καθορίζουν προϋποθέσεις για την εγκατάσταση επιχειρήσεων, όπως οι διατάξεις που εξαρτούν την άσκηση δραστηριότητας από προηγούμενη άδεια. Οι τεχνικοί κανόνες κατά την έννοια της διατάξεως αυτής είναι οι προδιαγραφές που καθορίζουν τα χαρακτηριστικά των προϊόντων και όχι οι προδιαγραφές που αφορούν τους οικονομικούς φορείς (υπόθεση C-194/94, CIA Security, Συλλογή 1996, σ. I-2201, σκέψη 25· Υπόθεση C-278/99 Van der Burg [2001] Συλλογή I-2015, σκέψη 20).</w:t>
      </w:r>
    </w:p>
    <w:p w14:paraId="0ED4E0E7" w14:textId="77777777">
      <w:pPr>
        <w:pStyle w:val="P68B1DB1-Normal14"/>
        <w:widowControl w:val="0"/>
        <w:tabs>
          <w:tab w:val="left" w:pos="396"/>
          <w:tab w:val="left" w:pos="405"/>
        </w:tabs>
        <w:autoSpaceDE w:val="0"/>
        <w:autoSpaceDN w:val="0"/>
        <w:spacing w:after="0" w:line="240" w:lineRule="auto"/>
        <w:ind w:left="567" w:hanging="142"/>
        <w:jc w:val="both"/>
        <w:rPr>
          <w:i/>
          <w:iCs/>
          <w:sz w:val="20"/>
          <w:szCs w:val="18"/>
        </w:rPr>
      </w:pPr>
    </w:p>
    <w:p w14:paraId="17C4BE95" w14:textId="77777777">
      <w:pPr>
        <w:pStyle w:val="P68B1DB1-P68B1DB1-Normal147"/>
        <w:widowControl w:val="0"/>
        <w:tabs>
          <w:tab w:val="left" w:pos="396"/>
          <w:tab w:val="left" w:pos="405"/>
        </w:tabs>
        <w:autoSpaceDE w:val="0"/>
        <w:autoSpaceDN w:val="0"/>
        <w:spacing w:after="0" w:line="240" w:lineRule="auto"/>
        <w:ind w:left="425"/>
        <w:jc w:val="both"/>
        <w:rPr>
          <w:i/>
          <w:iCs/>
          <w:sz w:val="20"/>
          <w:szCs w:val="18"/>
        </w:rPr>
      </w:pPr>
      <w:r>
        <w:t xml:space="preserve">46. Αντιθέτως, μια εθνική διάταξη πρέπει να χαρακτηρίζεται ως «τεχνικός κανόνας» υπό την έννοια του άρθρου 1, σημείο 9, της οδηγίας 83/189 εφόσον υποχρεώνει τις ενδιαφερόμενες επιχειρήσεις να ζητούν προηγούμενη έγκριση για το υλικό τους (βλ., την προαναφερθείσα απόφαση CIA Security Iternational, σκέψη 30).</w:t>
      </w:r>
    </w:p>
    <w:p w14:paraId="71D02A99" w14:textId="77777777">
      <w:pPr>
        <w:pStyle w:val="P68B1DB1-Normal14"/>
        <w:widowControl w:val="0"/>
        <w:tabs>
          <w:tab w:val="left" w:pos="396"/>
          <w:tab w:val="left" w:pos="405"/>
        </w:tabs>
        <w:autoSpaceDE w:val="0"/>
        <w:autoSpaceDN w:val="0"/>
        <w:spacing w:after="0" w:line="240" w:lineRule="auto"/>
        <w:ind w:left="567" w:hanging="142"/>
        <w:jc w:val="both"/>
        <w:rPr>
          <w:i/>
          <w:iCs/>
          <w:sz w:val="20"/>
          <w:szCs w:val="18"/>
        </w:rPr>
      </w:pPr>
    </w:p>
    <w:p w14:paraId="59FF32EE" w14:textId="77777777">
      <w:pPr>
        <w:pStyle w:val="P68B1DB1-P68B1DB1-Normal147"/>
        <w:widowControl w:val="0"/>
        <w:tabs>
          <w:tab w:val="left" w:pos="396"/>
          <w:tab w:val="left" w:pos="405"/>
        </w:tabs>
        <w:autoSpaceDE w:val="0"/>
        <w:autoSpaceDN w:val="0"/>
        <w:spacing w:after="0" w:line="240" w:lineRule="auto"/>
        <w:ind w:left="425"/>
        <w:jc w:val="both"/>
        <w:rPr>
          <w:i/>
          <w:iCs/>
          <w:sz w:val="20"/>
          <w:szCs w:val="18"/>
        </w:rPr>
      </w:pPr>
      <w:r>
        <w:t xml:space="preserve">47. Επομένως, εθνική ρύθμιση η οποία επιβάλλει στους φορείς εκμεταλλεύσεως υπηρεσιών προσβάσεως υπό όρους την υποχρέωση να εισέρχονται στον εξοπλισμό, στους αποκωδικοποιητές ή στα συστήματα ψηφιακής μεταδόσεως και λήψεως τηλεοπτικών σημάτων μέσω δορυφόρου, τα οποία προτίθενται να διαθέσουν στο εμπόριο σε μητρώο και να λάβουν προηγούμενη πιστοποίηση για τα προϊόντα αυτά προτού μπορέσουν να τα διαθέσουν στο εμπόριο, συνιστά “τεχνικό κανόνα” κατά την έννοια του άρθρου 1, σημείο 9, της οδηγίας 83/189.»</w:t>
      </w:r>
    </w:p>
    <w:p w14:paraId="2E51BE56" w14:textId="77777777">
      <w:pPr>
        <w:spacing w:after="0" w:line="240" w:lineRule="auto"/>
      </w:pPr>
    </w:p>
    <w:p w14:paraId="10FFB5F9" w14:textId="668B4B22">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0" w:history="1">
        <w:r>
          <w:rPr>
            <w:color w:val="0000FF"/>
            <w:u w:val="single"/>
          </w:rPr>
          <w:t xml:space="preserve">Απόφαση της 26 Σεπτεμβρίου 2000</w:t>
        </w:r>
      </w:hyperlink>
      <w:r>
        <w:t xml:space="preserve"> στην υπόθεση C-443/98, Unilever Italia, σκέψεις 25 και 26.</w:t>
      </w:r>
      <w:bookmarkEnd w:id="26"/>
    </w:p>
    <w:p w14:paraId="3CF4C4EF"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533D680" w14:textId="360C593C">
      <w:pPr>
        <w:pStyle w:val="P68B1DB1-P68B1DB1-Normal135"/>
        <w:widowControl w:val="0"/>
        <w:autoSpaceDE w:val="0"/>
        <w:autoSpaceDN w:val="0"/>
        <w:spacing w:after="0" w:line="240" w:lineRule="auto"/>
        <w:jc w:val="both"/>
        <w:rPr>
          <w:b w:val="0"/>
          <w:bCs/>
          <w:i w:val="0"/>
          <w:iCs/>
        </w:rPr>
      </w:pPr>
      <w:r>
        <w:t xml:space="preserve">Μια διάταξη σχετικά με την επισήμανση της προέλευσης του ελαιολάδου αποτελεί «τεχνική προδιαγραφή», διότι αποτελεί απαίτηση που διέπει την επισήμανση ενός προϊόντος.</w:t>
      </w:r>
    </w:p>
    <w:p w14:paraId="00B89F88" w14:textId="77777777">
      <w:pPr>
        <w:widowControl w:val="0"/>
        <w:autoSpaceDE w:val="0"/>
        <w:autoSpaceDN w:val="0"/>
        <w:spacing w:after="0" w:line="240" w:lineRule="auto"/>
        <w:jc w:val="both"/>
        <w:rPr>
          <w:rFonts w:ascii="Times New Roman" w:hAnsi="Times New Roman" w:cs="Times New Roman" w:eastAsia="Times New Roman"/>
          <w:szCs w:val="20"/>
        </w:rPr>
      </w:pPr>
    </w:p>
    <w:p w14:paraId="45CCCC45" w14:textId="77777777">
      <w:pPr>
        <w:pStyle w:val="P68B1DB1-P68B1DB1-Normal147"/>
        <w:widowControl w:val="0"/>
        <w:autoSpaceDE w:val="0"/>
        <w:autoSpaceDN w:val="0"/>
        <w:spacing w:after="0"/>
        <w:ind w:left="567"/>
        <w:jc w:val="both"/>
        <w:rPr>
          <w:i/>
          <w:iCs/>
          <w:sz w:val="20"/>
          <w:szCs w:val="18"/>
        </w:rPr>
      </w:pPr>
      <w:r>
        <w:t xml:space="preserve">«25. Συναφώς, αρκεί η διαπίστωση ότι, κατά το άρθρο 1 παράγραφος 1, της οδηγίας 83/189, η οδηγία 83/189 εξομοιώνει με «προϊόντα» τόσο τα βιομηχανικά όσο και τα γεωργικά προϊόντα και ότι, κατά την παράγραφο 2 του ίδιου άρθρου, η οδηγία εξομοιώνει με «τεχνική προδιαγραφή» κάθε προδιαγραφή που περιέχεται σε έγγραφο το οποίο καθορίζει τα απαιτούμενα χαρακτηριστικά ενός προϊόντος, συμπεριλαμβανομένων των απαιτήσεων που ισχύουν για το προϊόν όσον αφορά την επισήμανση. Οι εθνικοί κανόνες που περιέχουν τέτοιες προδιαγραφές συνιστούν τεχνικές προδιαγραφές κατά την έννοια της οδηγίας 83/189, ανεξάρτητα από τους λόγους για τους οποίους θεσπίστηκαν (βλ., υπό την έννοια αυτή, απόφαση της 1997ης Μαρτίου 1753, C-13/96, Bic Benelux, που δεν έχει δημοσιευθεί ακόμη στη Συλλογή, σκέψη 19).</w:t>
      </w:r>
    </w:p>
    <w:p w14:paraId="5CC53ED2" w14:textId="77777777">
      <w:pPr>
        <w:pStyle w:val="P68B1DB1-Normal14"/>
        <w:widowControl w:val="0"/>
        <w:autoSpaceDE w:val="0"/>
        <w:autoSpaceDN w:val="0"/>
        <w:spacing w:after="0"/>
        <w:ind w:left="567"/>
        <w:jc w:val="both"/>
        <w:rPr>
          <w:i/>
          <w:iCs/>
          <w:sz w:val="20"/>
          <w:szCs w:val="18"/>
        </w:rPr>
      </w:pPr>
    </w:p>
    <w:p w14:paraId="1607D5BC" w14:textId="596CB8C6">
      <w:pPr>
        <w:pStyle w:val="P68B1DB1-P68B1DB1-Normal147"/>
        <w:widowControl w:val="0"/>
        <w:autoSpaceDE w:val="0"/>
        <w:autoSpaceDN w:val="0"/>
        <w:spacing w:after="0"/>
        <w:ind w:left="567"/>
        <w:jc w:val="both"/>
        <w:rPr>
          <w:i/>
          <w:iCs/>
          <w:sz w:val="20"/>
          <w:szCs w:val="18"/>
        </w:rPr>
      </w:pPr>
      <w:r>
        <w:t xml:space="preserve">26. Έτσι, ο προσβαλλόμενος νόμος, ο οποίος διέπει την επισήμανση της προελεύσεως του ελαιολάδου, περιέχει κανόνες που πρέπει να χαρακτηριστούν ως «τεχνικές προδιαγραφές» κατά την έννοια της οδηγίας 83/189.»</w:t>
      </w:r>
    </w:p>
    <w:p w14:paraId="459F3FCC" w14:textId="77777777">
      <w:pPr>
        <w:spacing w:after="0" w:line="240" w:lineRule="auto"/>
      </w:pPr>
    </w:p>
    <w:p w14:paraId="095F5F49" w14:textId="2E38BFC4">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1" w:history="1">
        <w:r>
          <w:rPr>
            <w:color w:val="0000FF"/>
            <w:u w:val="single"/>
          </w:rPr>
          <w:t xml:space="preserve">Απόφαση της 12 Οκτωβρίου 2000</w:t>
        </w:r>
      </w:hyperlink>
      <w:r>
        <w:t xml:space="preserve"> στην υπόθεση C-314/98, Snellers, σκέψεις 37 έως 39</w:t>
      </w:r>
      <w:bookmarkEnd w:id="27"/>
    </w:p>
    <w:p w14:paraId="2AD735C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FFCEA8D" w14:textId="2B0D93B0">
      <w:pPr>
        <w:widowControl w:val="0"/>
        <w:tabs>
          <w:tab w:val="left" w:pos="403"/>
        </w:tabs>
        <w:autoSpaceDE w:val="0"/>
        <w:autoSpaceDN w:val="0"/>
        <w:spacing w:after="0" w:line="240" w:lineRule="auto"/>
        <w:jc w:val="both"/>
        <w:rPr>
          <w:rFonts w:ascii="Times New Roman" w:hAnsi="Times New Roman" w:cs="Times New Roman" w:eastAsia="Times New Roman"/>
          <w:bCs/>
          <w:iCs/>
          <w:szCs w:val="20"/>
        </w:rPr>
        <w:pStyle w:val="P68B1DB1-Normal14"/>
      </w:pPr>
      <w:r>
        <w:t xml:space="preserve">Οι «τεχνικές προδιαγραφές» πρέπει να αφορούν το ίδιο το προϊόν. Κανονισμός ο οποίος καθορίζει τα κριτήρια βάσει των οποίων καθορίζεται η ημερομηνία κατά την οποία ένα όχημα θεωρείται ότι έχει λάβει για πρώτη φορά άδεια κυκλοφορίας στο δημόσιο οδικό δίκτυο για την έκδοση άδειας κυκλοφορίας δεν ορίζει κανένα απαιτούμενο χαρακτηριστικό του ίδιου του προϊόντος και, ως εκ τούτου, δεν μπορεί να χαρακτηριστεί ως «τεχνικός κανόνας».</w:t>
      </w:r>
    </w:p>
    <w:p w14:paraId="4B51E0FD"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64BEEE86" w14:textId="77777777">
      <w:pPr>
        <w:pStyle w:val="P68B1DB1-P68B1DB1-Normal147"/>
        <w:widowControl w:val="0"/>
        <w:tabs>
          <w:tab w:val="left" w:pos="403"/>
        </w:tabs>
        <w:autoSpaceDE w:val="0"/>
        <w:autoSpaceDN w:val="0"/>
        <w:spacing w:after="0"/>
        <w:ind w:left="567"/>
        <w:jc w:val="both"/>
        <w:rPr>
          <w:i/>
          <w:iCs/>
          <w:sz w:val="20"/>
          <w:szCs w:val="18"/>
        </w:rPr>
      </w:pPr>
      <w:r>
        <w:t xml:space="preserve">«37. [...] κανόνες οι οποίοι, όπως οι επίμαχοι στην υπόθεση της κύριας δίκης, αποσκοπούν στον καθορισμό της ημερομηνίας κατά την οποία ένα όχημα εγκρίθηκε για πρώτη φορά για να κυκλοφορήσει στο δημόσιο οδικό δίκτυο δεν αποτελούν τεχνικές προδιαγραφές κατά την έννοια της οδηγίας 83/189 και, ως εκ τούτου, δεν μπορούν να χαρακτηριστούν ως τεχνικοί κανόνες που εμπίπτουν στο πεδίο εφαρμογής της οδηγίας αυτής.</w:t>
      </w:r>
    </w:p>
    <w:p w14:paraId="0BD17994" w14:textId="77777777">
      <w:pPr>
        <w:pStyle w:val="P68B1DB1-Normal14"/>
        <w:widowControl w:val="0"/>
        <w:tabs>
          <w:tab w:val="left" w:pos="403"/>
        </w:tabs>
        <w:autoSpaceDE w:val="0"/>
        <w:autoSpaceDN w:val="0"/>
        <w:spacing w:after="0"/>
        <w:ind w:left="567"/>
        <w:jc w:val="both"/>
        <w:rPr>
          <w:i/>
          <w:iCs/>
          <w:sz w:val="20"/>
          <w:szCs w:val="18"/>
        </w:rPr>
      </w:pPr>
    </w:p>
    <w:p w14:paraId="7E31CFA5" w14:textId="094AFB8A">
      <w:pPr>
        <w:pStyle w:val="P68B1DB1-P68B1DB1-Normal147"/>
        <w:widowControl w:val="0"/>
        <w:tabs>
          <w:tab w:val="left" w:pos="403"/>
        </w:tabs>
        <w:autoSpaceDE w:val="0"/>
        <w:autoSpaceDN w:val="0"/>
        <w:spacing w:after="0"/>
        <w:ind w:left="567"/>
        <w:jc w:val="both"/>
        <w:rPr>
          <w:i/>
          <w:iCs/>
          <w:sz w:val="20"/>
          <w:szCs w:val="18"/>
        </w:rPr>
      </w:pPr>
      <w:r>
        <w:t xml:space="preserve">38. Το άρθρο 1 παράγραφος 1, της οδηγίας 83/189 προβλέπει ότι, όσον αφορά προϊόντα όπως τα επίμαχα στην κύρια δίκη, ως τεχνική προδιαγραφή κατά την έννοια της οδηγίας αυτής νοείται «η προδιαγραφή που περιέχεται σε έγγραφο το οποίο καθορίζει τα απαιτούμενα χαρακτηριστικά ενός προϊόντος. Ως εκ τούτου, οι τεχνικές προδιαγραφές κατά την έννοια της οδηγίας 83/189 πρέπει να αναφέρονται στο προϊόν αυτό καθεαυτό· τούτο επιβεβαιώνεται, εξάλλου, από τον μη εξαντλητικό κατάλογο των σχετικών προδιαγραφών που παρατίθεται ως παράδειγμα στο άρθρο 1 παράγραφος 1, της εν λόγω οδηγίας.</w:t>
      </w:r>
    </w:p>
    <w:p w14:paraId="231677E0" w14:textId="77777777">
      <w:pPr>
        <w:pStyle w:val="P68B1DB1-Normal14"/>
        <w:widowControl w:val="0"/>
        <w:tabs>
          <w:tab w:val="left" w:pos="403"/>
        </w:tabs>
        <w:autoSpaceDE w:val="0"/>
        <w:autoSpaceDN w:val="0"/>
        <w:spacing w:after="0"/>
        <w:ind w:left="567"/>
        <w:jc w:val="both"/>
        <w:rPr>
          <w:i/>
          <w:iCs/>
          <w:sz w:val="20"/>
          <w:szCs w:val="18"/>
        </w:rPr>
      </w:pPr>
    </w:p>
    <w:p w14:paraId="57F7E593" w14:textId="77777777">
      <w:pPr>
        <w:pStyle w:val="P68B1DB1-P68B1DB1-Normal147"/>
        <w:widowControl w:val="0"/>
        <w:tabs>
          <w:tab w:val="left" w:pos="403"/>
        </w:tabs>
        <w:autoSpaceDE w:val="0"/>
        <w:autoSpaceDN w:val="0"/>
        <w:spacing w:after="0"/>
        <w:ind w:left="567"/>
        <w:jc w:val="both"/>
        <w:rPr>
          <w:i/>
          <w:iCs/>
          <w:sz w:val="20"/>
          <w:szCs w:val="18"/>
        </w:rPr>
      </w:pPr>
      <w:r>
        <w:t xml:space="preserve">39. Ο κανονισμός αυτός καθορίζει ορισμένα κριτήρια βάσει των οποίων καθορίζεται η ημερομηνία κατά την οποία ένα όχημα, κατά την έννοια του Wegenverkeerswet, θεωρείται ότι έχει λάβει για πρώτη φορά άδεια κυκλοφορίας για τη χορήγηση άδειας κυκλοφορίας. Ως εκ τούτου, ο κανονισμός δεν ορίζει κανένα χαρακτηριστικό που απαιτείται για το προϊόν αυτό καθαυτό.»</w:t>
      </w:r>
    </w:p>
    <w:p w14:paraId="5C2F2353" w14:textId="77777777">
      <w:pPr>
        <w:spacing w:after="0" w:line="240" w:lineRule="auto"/>
      </w:pPr>
    </w:p>
    <w:p w14:paraId="176B08B6" w14:textId="7FC0C140">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22" w:history="1">
        <w:r>
          <w:rPr>
            <w:rStyle w:val="Hyperlink"/>
            <w:rFonts w:ascii="Times New Roman" w:hAnsi="Times New Roman" w:cs="Times New Roman" w:eastAsia="Times New Roman"/>
            <w:b/>
            <w:i/>
            <w:color w:val="0000FF"/>
            <w:szCs w:val="20"/>
          </w:rPr>
          <w:t xml:space="preserve">Απόφαση της 16 Νοεμβρίου 2000</w:t>
        </w:r>
      </w:hyperlink>
      <w:r>
        <w:rPr>
          <w:rFonts w:ascii="Times New Roman" w:hAnsi="Times New Roman" w:cs="Times New Roman" w:eastAsia="Times New Roman"/>
          <w:b/>
          <w:i/>
          <w:szCs w:val="20"/>
        </w:rPr>
        <w:t xml:space="preserve"> στην υπόθεση C-37/99, Donkersteeg, σκέψεις 30 και 31</w:t>
      </w:r>
      <w:bookmarkEnd w:id="28"/>
    </w:p>
    <w:p w14:paraId="0039F4A1" w14:textId="77777777">
      <w:pPr>
        <w:widowControl w:val="0"/>
        <w:autoSpaceDE w:val="0"/>
        <w:autoSpaceDN w:val="0"/>
        <w:spacing w:after="0" w:line="240" w:lineRule="auto"/>
        <w:jc w:val="both"/>
        <w:rPr>
          <w:rFonts w:ascii="Times New Roman" w:hAnsi="Times New Roman" w:cs="Times New Roman" w:eastAsia="Times New Roman"/>
          <w:szCs w:val="20"/>
        </w:rPr>
      </w:pPr>
    </w:p>
    <w:p w14:paraId="4A6A750B" w14:textId="411010F6">
      <w:pPr>
        <w:pStyle w:val="P68B1DB1-P68B1DB1-Normal135"/>
        <w:widowControl w:val="0"/>
        <w:autoSpaceDE w:val="0"/>
        <w:autoSpaceDN w:val="0"/>
        <w:spacing w:after="0" w:line="240" w:lineRule="auto"/>
        <w:jc w:val="both"/>
        <w:rPr>
          <w:b w:val="0"/>
          <w:bCs/>
          <w:i w:val="0"/>
          <w:iCs/>
        </w:rPr>
      </w:pPr>
      <w:r>
        <w:t xml:space="preserve">Για τα γεωργικά προϊόντα, ως «τεχνική προδιαγραφή» νοείται ένα κείμενο που καθορίζει τα απαιτούμενα χαρακτηριστικά ή τις μεθόδους παραγωγής τους. Ένας κανόνας που καθορίζει τις προϋποθέσεις για τον εμβολιασμό των ζώων αποτελεί κανόνα παραγωγής και, ως εκ τούτου, «τεχνική προδιαγραφή». </w:t>
      </w:r>
    </w:p>
    <w:p w14:paraId="7118F572" w14:textId="77777777">
      <w:pPr>
        <w:widowControl w:val="0"/>
        <w:autoSpaceDE w:val="0"/>
        <w:autoSpaceDN w:val="0"/>
        <w:spacing w:after="0" w:line="240" w:lineRule="auto"/>
        <w:jc w:val="both"/>
        <w:rPr>
          <w:rFonts w:ascii="Times New Roman" w:hAnsi="Times New Roman" w:cs="Times New Roman" w:eastAsia="Times New Roman"/>
          <w:szCs w:val="20"/>
        </w:rPr>
      </w:pPr>
    </w:p>
    <w:p w14:paraId="658D0575" w14:textId="77777777">
      <w:pPr>
        <w:pStyle w:val="P68B1DB1-P68B1DB1-Normal147"/>
        <w:widowControl w:val="0"/>
        <w:autoSpaceDE w:val="0"/>
        <w:autoSpaceDN w:val="0"/>
        <w:spacing w:after="0" w:line="240" w:lineRule="auto"/>
        <w:ind w:left="567"/>
        <w:jc w:val="both"/>
        <w:rPr>
          <w:i/>
          <w:iCs/>
          <w:sz w:val="20"/>
          <w:szCs w:val="18"/>
        </w:rPr>
      </w:pPr>
      <w:r>
        <w:t xml:space="preserve">«30. Όπως υπομνήσθηκε στη σκέψη 20 της παρούσας αποφάσεως, σύμφωνα με το άρθρο 1 παράγραφος 1, της οδηγίας, όσον αφορά τα γεωργικά προϊόντα, ως «τεχνική προδιαγραφή» νοείται η προδιαγραφή που περιέχεται σε έγγραφο το οποίο καθορίζει τα απαιτούμενα χαρακτηριστικά ενός προϊόντος ή τις μεθόδους και διαδικασίες παραγωγής του.</w:t>
      </w:r>
    </w:p>
    <w:p w14:paraId="6E173AD5" w14:textId="77777777">
      <w:pPr>
        <w:pStyle w:val="P68B1DB1-Normal14"/>
        <w:widowControl w:val="0"/>
        <w:autoSpaceDE w:val="0"/>
        <w:autoSpaceDN w:val="0"/>
        <w:spacing w:after="0" w:line="240" w:lineRule="auto"/>
        <w:ind w:left="567"/>
        <w:jc w:val="both"/>
        <w:rPr>
          <w:i/>
          <w:iCs/>
          <w:sz w:val="20"/>
          <w:szCs w:val="18"/>
        </w:rPr>
      </w:pPr>
    </w:p>
    <w:p w14:paraId="0C38FBB6" w14:textId="77777777">
      <w:pPr>
        <w:pStyle w:val="P68B1DB1-P68B1DB1-Normal147"/>
        <w:widowControl w:val="0"/>
        <w:autoSpaceDE w:val="0"/>
        <w:autoSpaceDN w:val="0"/>
        <w:spacing w:after="0" w:line="240" w:lineRule="auto"/>
        <w:ind w:left="567"/>
        <w:jc w:val="both"/>
        <w:rPr>
          <w:i/>
          <w:iCs/>
          <w:sz w:val="20"/>
          <w:szCs w:val="18"/>
        </w:rPr>
      </w:pPr>
      <w:r>
        <w:t xml:space="preserve">31. Κανόνας όπως αυτός του άρθρου 2 παράγραφος 1, του VBZA αποτελεί τεχνική προδιαγραφή κατά την έννοια του άρθρου 1 παράγραφος 1, της οδηγίας. Όπως ορθώς υποστηρίζει η Επιτροπή, δεδομένου ότι οι ακριβείς και λεπτομερείς κανόνες σχετικά με τον εμβολιασμό κατά της νόσου του Aujeszky συνδέονται με την υπό στενή έννοια παραγωγή του οικείου γεωργικού προϊόντος και πρέπει να τηρούνται καθ’ όλη τη διάρκεια του κύκλου παραγωγής, ο κανόνας αυτός ορίζει, επομένως, μια «διαδικασία» για την παραγωγή του εν λόγω προϊόντος.»</w:t>
      </w:r>
    </w:p>
    <w:p w14:paraId="011D3230" w14:textId="77777777">
      <w:pPr>
        <w:spacing w:after="0" w:line="240" w:lineRule="auto"/>
      </w:pPr>
    </w:p>
    <w:p w14:paraId="581B1056" w14:textId="6342E1F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3" w:history="1">
        <w:r>
          <w:rPr>
            <w:color w:val="0000FF"/>
            <w:u w:val="single"/>
          </w:rPr>
          <w:t xml:space="preserve">Απόφαση της 8 Μαρτίου 2001</w:t>
        </w:r>
      </w:hyperlink>
      <w:r>
        <w:t xml:space="preserve"> στην υπόθεση C-278/99, Van der Burg, σκέψη 20</w:t>
      </w:r>
      <w:bookmarkEnd w:id="29"/>
    </w:p>
    <w:p w14:paraId="214E963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EE5EBFC" w14:textId="4A41B3F9">
      <w:pPr>
        <w:pStyle w:val="P68B1DB1-P68B1DB1-Normal135"/>
        <w:widowControl w:val="0"/>
        <w:tabs>
          <w:tab w:val="left" w:pos="461"/>
        </w:tabs>
        <w:autoSpaceDE w:val="0"/>
        <w:autoSpaceDN w:val="0"/>
        <w:spacing w:after="0" w:line="240" w:lineRule="auto"/>
        <w:jc w:val="both"/>
        <w:rPr>
          <w:b w:val="0"/>
          <w:bCs/>
          <w:i w:val="0"/>
          <w:iCs/>
        </w:rPr>
      </w:pPr>
      <w:r>
        <w:t xml:space="preserve">Κανονισμός ο οποίος απλώς απαγορεύει την εμπορική διαφήμιση, αλλά δεν καθορίζει τα απαιτούμενα χαρακτηριστικά ενός προϊόντος, δεν αποτελεί «τεχνική προδιαγραφή» και, ως εκ τούτου, δεν μπορεί να θεωρηθεί ως «τεχνικός κανόνας».</w:t>
      </w:r>
    </w:p>
    <w:p w14:paraId="359B163D" w14:textId="77777777">
      <w:pPr>
        <w:widowControl w:val="0"/>
        <w:tabs>
          <w:tab w:val="left" w:pos="461"/>
        </w:tabs>
        <w:autoSpaceDE w:val="0"/>
        <w:autoSpaceDN w:val="0"/>
        <w:spacing w:after="0" w:line="240" w:lineRule="auto"/>
        <w:jc w:val="both"/>
        <w:rPr>
          <w:rFonts w:ascii="Times New Roman" w:hAnsi="Times New Roman" w:cs="Times New Roman" w:eastAsia="Times New Roman"/>
          <w:szCs w:val="20"/>
        </w:rPr>
      </w:pPr>
    </w:p>
    <w:p w14:paraId="19B0E706" w14:textId="76232F90">
      <w:pPr>
        <w:pStyle w:val="P68B1DB1-P68B1DB1-Normal1710"/>
        <w:widowControl w:val="0"/>
        <w:tabs>
          <w:tab w:val="left" w:pos="461"/>
        </w:tabs>
        <w:autoSpaceDE w:val="0"/>
        <w:autoSpaceDN w:val="0"/>
        <w:spacing w:after="0" w:line="240" w:lineRule="auto"/>
        <w:ind w:left="567"/>
        <w:jc w:val="both"/>
        <w:rPr>
          <w:i/>
          <w:iCs/>
          <w:sz w:val="20"/>
          <w:szCs w:val="18"/>
        </w:rPr>
      </w:pPr>
      <w:r>
        <w:t xml:space="preserve">«20. [...] Κατά το άρθρο 1 παράγραφος 1, της οδηγίας 83/189, για τους σκοπούς της οδηγίας αυτής, ως «τεχνική προδιαγραφή» νοείται «η προδιαγραφή που περιέχεται σε έγγραφο το οποίο καθορίζει τα απαιτούμενα χαρακτηριστικά ενός προϊόντος». Επομένως, οι τεχνικές προδιαγραφές κατά την έννοια της οδηγίας 83/189 πρέπει να αναφέρονται στο προϊόν αυτό καθαυτό (βλ. απόφαση της 2000ης Ιουλίου 0000, C-314/98, Snellers Auto, που δεν έχει δημοσιευθεί ακόμη στη Συλλογή, σκέψη 38). Ωστόσο, νομοθεσία όπως το άρθρο C.11.1 (1) του διατάγματος, το οποίο απλώς απαγορεύει μια μέθοδο εμπορίας, δεν καθορίζει τα απαιτούμενα χαρακτηριστικά ενός προϊόντος.»</w:t>
      </w:r>
    </w:p>
    <w:p w14:paraId="329B81E2" w14:textId="77777777">
      <w:pPr>
        <w:spacing w:after="0" w:line="240" w:lineRule="auto"/>
      </w:pPr>
    </w:p>
    <w:p w14:paraId="12D2977E" w14:textId="6E302773">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4" w:history="1">
        <w:r>
          <w:rPr>
            <w:color w:val="0000FF"/>
            <w:u w:val="single"/>
          </w:rPr>
          <w:t xml:space="preserve">Απόφαση της 6 Ιουνίου 2002</w:t>
        </w:r>
      </w:hyperlink>
      <w:r>
        <w:t xml:space="preserve"> στην υπόθεση C-159/00, Sapod Audic, σκέψεις 30 έως 33.</w:t>
      </w:r>
      <w:bookmarkEnd w:id="30"/>
    </w:p>
    <w:p w14:paraId="340A6ED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F4A7B62" w14:textId="77777777">
      <w:pPr>
        <w:pStyle w:val="P68B1DB1-P68B1DB1-Normal135"/>
        <w:widowControl w:val="0"/>
        <w:tabs>
          <w:tab w:val="left" w:pos="443"/>
        </w:tabs>
        <w:autoSpaceDE w:val="0"/>
        <w:autoSpaceDN w:val="0"/>
        <w:spacing w:after="0" w:line="240" w:lineRule="auto"/>
        <w:jc w:val="both"/>
        <w:rPr>
          <w:b w:val="0"/>
          <w:bCs/>
          <w:i w:val="0"/>
          <w:iCs/>
        </w:rPr>
      </w:pPr>
      <w:r>
        <w:t xml:space="preserve">Εθνική διάταξη η οποία προβλέπει υποχρέωση αναγνωρίσεως της ταυτότητας μιας συσκευασίας συνιστά «τεχνικό κανόνα» που πρέπει να κοινοποιείται, καθόσον συνεπάγεται υποχρέωση επισημάνσεως ή επισημάνσεως της συσκευασίας αυτής.</w:t>
      </w:r>
    </w:p>
    <w:p w14:paraId="376C1334" w14:textId="77777777">
      <w:pPr>
        <w:widowControl w:val="0"/>
        <w:tabs>
          <w:tab w:val="left" w:pos="443"/>
        </w:tabs>
        <w:autoSpaceDE w:val="0"/>
        <w:autoSpaceDN w:val="0"/>
        <w:spacing w:after="0" w:line="240" w:lineRule="auto"/>
        <w:jc w:val="both"/>
        <w:rPr>
          <w:rFonts w:ascii="Times New Roman" w:hAnsi="Times New Roman" w:cs="Times New Roman" w:eastAsia="Times New Roman"/>
          <w:szCs w:val="20"/>
        </w:rPr>
      </w:pPr>
    </w:p>
    <w:p w14:paraId="482978FF" w14:textId="77777777">
      <w:pPr>
        <w:pStyle w:val="P68B1DB1-P68B1DB1-Normal147"/>
        <w:widowControl w:val="0"/>
        <w:tabs>
          <w:tab w:val="left" w:pos="443"/>
        </w:tabs>
        <w:autoSpaceDE w:val="0"/>
        <w:autoSpaceDN w:val="0"/>
        <w:spacing w:after="0"/>
        <w:ind w:left="567"/>
        <w:jc w:val="both"/>
        <w:rPr>
          <w:i/>
          <w:iCs/>
          <w:sz w:val="20"/>
          <w:szCs w:val="18"/>
        </w:rPr>
      </w:pPr>
      <w:r>
        <w:t xml:space="preserve">«30. Έτσι, η υποχρέωση προσδιορισμού της ταυτότητας των συσκευασιών που προβλέπει το άρθρο 4, δεύτερο εδάφιο, του διατάγματος 92-377, στον βαθμό που δεν φαίνεται να συνεπάγεται υποχρέωση μαρκαρίσματος ή επισημάνσεως των συσκευασιών αυτών, δεν φαίνεται να αναφέρεται στο προϊόν ή στη συσκευασία του αυτά καθεαυτά. Ερμηνευόμενη κατ’ αυτόν τον τρόπο, η διάταξη αυτή δεν μπορεί να θεωρηθεί ότι καθορίζει τα απαιτούμενα χαρακτηριστικά ενός προϊόντος κατά την έννοια του άρθρου 1 παράγραφος 1, της οδηγίας 83/189 και, ως εκ τούτου, δεν μπορεί να θεωρηθεί τεχνική προδιαγραφή (βλ., μεταξύ άλλων, απόφαση της 2001ης Μαρτίου 2015, C-278/99, Van der Burg, που δεν έχει δημοσιευθεί ακόμη στη Συλλογή, σκέψη 20).</w:t>
      </w:r>
    </w:p>
    <w:p w14:paraId="7A13B6EF" w14:textId="77777777">
      <w:pPr>
        <w:pStyle w:val="P68B1DB1-Normal14"/>
        <w:widowControl w:val="0"/>
        <w:tabs>
          <w:tab w:val="left" w:pos="443"/>
        </w:tabs>
        <w:autoSpaceDE w:val="0"/>
        <w:autoSpaceDN w:val="0"/>
        <w:spacing w:after="0"/>
        <w:ind w:left="567"/>
        <w:jc w:val="both"/>
        <w:rPr>
          <w:i/>
          <w:iCs/>
          <w:sz w:val="20"/>
          <w:szCs w:val="18"/>
        </w:rPr>
      </w:pPr>
    </w:p>
    <w:p w14:paraId="615DE908" w14:textId="77777777">
      <w:pPr>
        <w:pStyle w:val="P68B1DB1-P68B1DB1-Normal147"/>
        <w:widowControl w:val="0"/>
        <w:tabs>
          <w:tab w:val="left" w:pos="443"/>
        </w:tabs>
        <w:autoSpaceDE w:val="0"/>
        <w:autoSpaceDN w:val="0"/>
        <w:spacing w:after="0"/>
        <w:ind w:left="567"/>
        <w:jc w:val="both"/>
        <w:rPr>
          <w:i/>
          <w:iCs/>
          <w:sz w:val="20"/>
          <w:szCs w:val="18"/>
        </w:rPr>
      </w:pPr>
      <w:r>
        <w:t xml:space="preserve">31.Εντούτοις, επιβάλλεται η διαπίστωση ότι, στο πλαίσιο της κατανομής αρμοδιοτήτων που προβλέπει το άρθρο 234 ΕΚ, εναπόκειται στο εθνικό δικαστήριο να ερμηνεύσει το εθνικό δίκαιο, εν προκειμένω το άρθρο 4, δεύτερο εδάφιο, του διατάγματος 92-377.</w:t>
      </w:r>
    </w:p>
    <w:p w14:paraId="6AC1BBA2" w14:textId="77777777">
      <w:pPr>
        <w:pStyle w:val="P68B1DB1-Normal14"/>
        <w:widowControl w:val="0"/>
        <w:tabs>
          <w:tab w:val="left" w:pos="443"/>
        </w:tabs>
        <w:autoSpaceDE w:val="0"/>
        <w:autoSpaceDN w:val="0"/>
        <w:spacing w:after="0"/>
        <w:ind w:left="567"/>
        <w:jc w:val="both"/>
        <w:rPr>
          <w:i/>
          <w:iCs/>
          <w:sz w:val="20"/>
          <w:szCs w:val="18"/>
        </w:rPr>
      </w:pPr>
    </w:p>
    <w:p w14:paraId="25482CFD" w14:textId="77777777">
      <w:pPr>
        <w:pStyle w:val="P68B1DB1-P68B1DB1-Normal147"/>
        <w:widowControl w:val="0"/>
        <w:tabs>
          <w:tab w:val="left" w:pos="443"/>
        </w:tabs>
        <w:autoSpaceDE w:val="0"/>
        <w:autoSpaceDN w:val="0"/>
        <w:spacing w:after="0"/>
        <w:ind w:left="567"/>
        <w:jc w:val="both"/>
        <w:rPr>
          <w:i/>
          <w:iCs/>
          <w:sz w:val="20"/>
          <w:szCs w:val="18"/>
        </w:rPr>
      </w:pPr>
      <w:r>
        <w:t xml:space="preserve">32. Πρέπει συνεπώς να εξεταστεί επίσης η περίπτωση κατά την οποία, ενόψει του συνόλου των πραγματικών και νομικών στοιχείων των οποίων έχει λάβει γνώση, το αιτούν δικαστήριο θα κατέληγε στο συμπέρασμα ότι το άρθρο 4, δεύτερο εδάφιο, του διατάγματος 92-377 έχει την έννοια ότι επιβάλλει στους παραγωγούς υποχρέωση μαρκαρίσματος ή επισημάνσεως, μολονότι δεν διευκρινίζει το σημείο το οποίο πρέπει να επιτεθεί.</w:t>
      </w:r>
    </w:p>
    <w:p w14:paraId="5CF2B868" w14:textId="77777777">
      <w:pPr>
        <w:pStyle w:val="P68B1DB1-Normal14"/>
        <w:widowControl w:val="0"/>
        <w:tabs>
          <w:tab w:val="left" w:pos="443"/>
        </w:tabs>
        <w:autoSpaceDE w:val="0"/>
        <w:autoSpaceDN w:val="0"/>
        <w:spacing w:after="0"/>
        <w:ind w:left="567"/>
        <w:jc w:val="both"/>
        <w:rPr>
          <w:i/>
          <w:iCs/>
          <w:sz w:val="20"/>
          <w:szCs w:val="18"/>
        </w:rPr>
      </w:pPr>
    </w:p>
    <w:p w14:paraId="66994718" w14:textId="77777777">
      <w:pPr>
        <w:pStyle w:val="P68B1DB1-P68B1DB1-Normal147"/>
        <w:widowControl w:val="0"/>
        <w:tabs>
          <w:tab w:val="left" w:pos="443"/>
        </w:tabs>
        <w:autoSpaceDE w:val="0"/>
        <w:autoSpaceDN w:val="0"/>
        <w:spacing w:after="0"/>
        <w:ind w:left="567"/>
        <w:jc w:val="both"/>
        <w:rPr>
          <w:i/>
          <w:iCs/>
          <w:sz w:val="20"/>
          <w:szCs w:val="18"/>
        </w:rPr>
      </w:pPr>
      <w:r>
        <w:t xml:space="preserve">33. Σε μια τέτοια περίπτωση, θα έπρεπε να γίνει δεκτό ότι η διάταξη αυτή αποτελεί στην πραγματικότητα τεχνική προδιαγραφή κατά την έννοια της οδηγίας 83/189 και ότι, κατά συνέπεια, δεδομένου ότι η υποχρέωση επιβάλλεται με διάταγμα σε περίπτωση εμπορίας συσκευασμένων προϊόντων σε ολόκληρη την εθνική επικράτεια, η διάταξη αυτή συνιστά τεχνικό κανόνα.»</w:t>
      </w:r>
    </w:p>
    <w:p w14:paraId="21495157" w14:textId="77777777">
      <w:pPr>
        <w:spacing w:after="0" w:line="240" w:lineRule="auto"/>
      </w:pPr>
    </w:p>
    <w:p w14:paraId="14C2467B" w14:textId="611D9359">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5" w:history="1">
        <w:r>
          <w:rPr>
            <w:color w:val="0000FF"/>
            <w:u w:val="single"/>
          </w:rPr>
          <w:t xml:space="preserve">Απόφαση της 8 Σεπτεμβρίου 2005</w:t>
        </w:r>
      </w:hyperlink>
      <w:r>
        <w:t xml:space="preserve">, Επιτροπή κατά Πορτογαλίας, C-500/03, σκέψη 30.</w:t>
      </w:r>
      <w:bookmarkEnd w:id="31"/>
    </w:p>
    <w:p w14:paraId="7C16A848"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90F33F6" w14:textId="06F84E73">
      <w:pPr>
        <w:spacing w:after="0" w:line="240" w:lineRule="auto"/>
        <w:jc w:val="both"/>
        <w:rPr>
          <w:rFonts w:ascii="Times New Roman" w:hAnsi="Times New Roman" w:cs="Times New Roman" w:eastAsia="Times New Roman"/>
          <w:szCs w:val="20"/>
        </w:rPr>
        <w:pStyle w:val="P68B1DB1-Normal14"/>
      </w:pPr>
      <w:r>
        <w:t xml:space="preserve">Ένας κανόνας που καθορίζει το μέγιστο μήκος και ύψος των σκαφών αναψυχής και περιορίζει την ισχύ πρόωσής τους αποτελεί «τεχνική προδιαγραφή».</w:t>
      </w:r>
    </w:p>
    <w:p w14:paraId="37494660" w14:textId="77777777">
      <w:pPr>
        <w:spacing w:after="0" w:line="240" w:lineRule="auto"/>
        <w:jc w:val="both"/>
        <w:rPr>
          <w:rFonts w:ascii="Times New Roman" w:hAnsi="Times New Roman" w:cs="Times New Roman" w:eastAsia="Times New Roman"/>
          <w:szCs w:val="20"/>
        </w:rPr>
      </w:pPr>
    </w:p>
    <w:p w14:paraId="75D4A043" w14:textId="5A44D1CA">
      <w:pPr>
        <w:widowControl w:val="0"/>
        <w:tabs>
          <w:tab w:val="left" w:pos="467"/>
        </w:tabs>
        <w:autoSpaceDE w:val="0"/>
        <w:autoSpaceDN w:val="0"/>
        <w:spacing w:after="0" w:line="240" w:lineRule="auto"/>
        <w:ind w:left="567"/>
        <w:jc w:val="both"/>
        <w:rPr>
          <w:rFonts w:ascii="Times New Roman" w:hAnsi="Times New Roman" w:cs="Times New Roman" w:eastAsia="Times New Roman"/>
          <w:sz w:val="20"/>
          <w:szCs w:val="18"/>
        </w:rPr>
        <w:pStyle w:val="P68B1DB1-Normal11"/>
      </w:pPr>
      <w:r>
        <w:t xml:space="preserve">(Δεδομένου ότι η απόφαση είναι διαθέσιμη μόνο στα γαλλικά και τα πορτογαλικά, το ακόλουθο κείμενο είναι μετάφραση.)</w:t>
      </w:r>
    </w:p>
    <w:p w14:paraId="3C41A5EA" w14:textId="77777777">
      <w:pPr>
        <w:spacing w:after="0" w:line="240" w:lineRule="auto"/>
        <w:jc w:val="both"/>
        <w:rPr>
          <w:rFonts w:ascii="Times New Roman" w:hAnsi="Times New Roman" w:cs="Times New Roman" w:eastAsia="Times New Roman"/>
          <w:sz w:val="20"/>
          <w:szCs w:val="18"/>
        </w:rPr>
      </w:pPr>
    </w:p>
    <w:p w14:paraId="4AAF6423" w14:textId="3EE48C51">
      <w:pPr>
        <w:spacing w:after="0" w:line="240" w:lineRule="auto"/>
        <w:ind w:left="567"/>
        <w:jc w:val="both"/>
        <w:rPr>
          <w:i/>
          <w:iCs/>
          <w:sz w:val="20"/>
          <w:szCs w:val="20"/>
        </w:rPr>
        <w:pStyle w:val="P68B1DB1-Normal19"/>
      </w:pPr>
      <w:r>
        <w:t xml:space="preserve">«30. Από το γράμμα του άρθρου 2 παράγραφος 1, του κανονισμού αυτού προκύπτει ότι ο κανονισμός αυτός περιέχει τεχνικές προδιαγραφές, κατά την έννοια του άρθρου 1, σημείο 3, της οδηγίας 98/34, οι οποίες συνιστούν τεχνικούς κανόνες κατά την έννοια της οδηγίας αυτής. Οι απαιτήσεις του εν λόγω κανονισμού αφορούν το μέγιστο μήκος και ύψος και τον περιορισμό της ισχύος πρόωσης των σκαφών αναψυχής που χρησιμοποιούνται για σκοπούς ναυσιπλοΐας. Οι εν λόγω τεχνικοί περιορισμοί ισχύουν για όλες τις δημόσιες υδάτινες λιμνοθάλασσες της δημόσιας υπηρεσίας στην Πορτογαλία, με εξαίρεση τις λιμνοθάλασσες του ποταμού Douro.»</w:t>
      </w:r>
    </w:p>
    <w:p w14:paraId="45A16E94" w14:textId="77777777">
      <w:pPr>
        <w:spacing w:after="0" w:line="240" w:lineRule="auto"/>
      </w:pPr>
    </w:p>
    <w:p w14:paraId="5D1BF1C4" w14:textId="698AC048">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6" w:history="1">
        <w:r>
          <w:rPr>
            <w:color w:val="0000FF"/>
            <w:u w:val="single"/>
          </w:rPr>
          <w:t xml:space="preserve">Απόφαση της 8 Νοεμβρίου 2007</w:t>
        </w:r>
      </w:hyperlink>
      <w:r>
        <w:t xml:space="preserve"> στην υπόθεση C-20/05, Schwibbert, σκέψεις 35 έως 37.</w:t>
      </w:r>
      <w:bookmarkEnd w:id="32"/>
    </w:p>
    <w:p w14:paraId="1416C96B"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939BFD9" w14:textId="4D52F64B">
      <w:pPr>
        <w:pStyle w:val="P68B1DB1-P68B1DB1-Normal135"/>
        <w:widowControl w:val="0"/>
        <w:tabs>
          <w:tab w:val="left" w:pos="429"/>
        </w:tabs>
        <w:autoSpaceDE w:val="0"/>
        <w:autoSpaceDN w:val="0"/>
        <w:spacing w:after="0" w:line="240" w:lineRule="auto"/>
        <w:jc w:val="both"/>
        <w:rPr>
          <w:b w:val="0"/>
          <w:bCs/>
          <w:i w:val="0"/>
          <w:iCs/>
        </w:rPr>
      </w:pPr>
      <w:r>
        <w:t xml:space="preserve">Οι εθνικές διατάξεις που θεσπίζουν την υποχρέωση επιθέσεως διακριτικού σημείου σε προϊόντα με σκοπό την εμπορία τους εντός κράτους μέλους συνιστούν «τεχνική προδιαγραφή», καθόσον αποτελούν απαιτήσεις σχετικές με τη σήμανση και την επισήμανση των προϊόντων.</w:t>
      </w:r>
    </w:p>
    <w:p w14:paraId="4781C797" w14:textId="77777777">
      <w:pPr>
        <w:widowControl w:val="0"/>
        <w:tabs>
          <w:tab w:val="left" w:pos="429"/>
        </w:tabs>
        <w:autoSpaceDE w:val="0"/>
        <w:autoSpaceDN w:val="0"/>
        <w:spacing w:after="0" w:line="240" w:lineRule="auto"/>
        <w:jc w:val="both"/>
        <w:rPr>
          <w:rFonts w:ascii="Times New Roman" w:hAnsi="Times New Roman" w:cs="Times New Roman" w:eastAsia="Times New Roman"/>
          <w:szCs w:val="20"/>
        </w:rPr>
      </w:pPr>
    </w:p>
    <w:p w14:paraId="58D2CAF0" w14:textId="38AC6134">
      <w:pPr>
        <w:pStyle w:val="P68B1DB1-Normal15"/>
        <w:widowControl w:val="0"/>
        <w:tabs>
          <w:tab w:val="left" w:pos="429"/>
        </w:tabs>
        <w:autoSpaceDE w:val="0"/>
        <w:autoSpaceDN w:val="0"/>
        <w:spacing w:after="0" w:line="240" w:lineRule="auto"/>
        <w:ind w:left="567"/>
        <w:jc w:val="both"/>
        <w:rPr>
          <w:i w:val="0"/>
          <w:iCs/>
        </w:rPr>
      </w:pPr>
      <w:r>
        <w:t xml:space="preserve">«35. Όπως έχει κρίνει το Δικαστήριο, η έννοια των τεχνικών προδιαγραφών προϋποθέτει ότι το εθνικό μέτρο αφορά το προϊόν ή τη συσκευασία του καθαυτό και, ως εκ τούτου, καθορίζει ένα από τα απαιτούμενα χαρακτηριστικά ενός προϊόντος (βλ., υπό την έννοια αυτή, απόφαση της 2001ης Μαρτίου 2015, C-278/99, van der Burg, που δεν έχει δημοσιευθεί ακόμη στη Συλλογή, σκέψη 20· Υπόθεση C-390/99 Canal Satélite Digital [2002] Συλλογή I-607, σκέψη 45· καθώς και τις προπαρατεθείσες αποφάσεις Sapod Audic (σκέψη 30) και Lindberg (σκέψη 57).</w:t>
      </w:r>
    </w:p>
    <w:p w14:paraId="29C04649" w14:textId="77777777">
      <w:pPr>
        <w:pStyle w:val="P68B1DB1-Normal15"/>
        <w:widowControl w:val="0"/>
        <w:tabs>
          <w:tab w:val="left" w:pos="429"/>
        </w:tabs>
        <w:autoSpaceDE w:val="0"/>
        <w:autoSpaceDN w:val="0"/>
        <w:spacing w:after="0" w:line="240" w:lineRule="auto"/>
        <w:ind w:left="567"/>
        <w:jc w:val="both"/>
        <w:rPr>
          <w:i w:val="0"/>
          <w:iCs/>
        </w:rPr>
      </w:pPr>
    </w:p>
    <w:p w14:paraId="505523FA" w14:textId="38C71B2C">
      <w:pPr>
        <w:pStyle w:val="P68B1DB1-Normal15"/>
        <w:widowControl w:val="0"/>
        <w:tabs>
          <w:tab w:val="left" w:pos="429"/>
        </w:tabs>
        <w:autoSpaceDE w:val="0"/>
        <w:autoSpaceDN w:val="0"/>
        <w:spacing w:after="0" w:line="240" w:lineRule="auto"/>
        <w:ind w:left="567"/>
        <w:jc w:val="both"/>
        <w:rPr>
          <w:i w:val="0"/>
          <w:iCs/>
        </w:rPr>
      </w:pPr>
      <w:r>
        <w:t xml:space="preserve">36. Εν προκειμένω, επιβάλλεται η διαπίστωση, όπως υπογράμμισε στα σημεία 46 και 48 των προτάσεών της και η γενική εισαγγελέας, ότι η επίθεση του διακριτικού σημείου «SIAE», σκοπός της οποίας είναι η ενημέρωση των καταναλωτών και των εθνικών αρχών ότι οι αναπαραγωγές είναι νόμιμες, χωρεί επί του ιδίου του υποθέματος που περιέχει το έργο της διανοίας, ήτοι επί αυτού τούτου του προϊόντος. Επομένως, δεν είναι ορθό να υποστηρίζεται, όπως έπραξαν η Società Italiana degli Autori ed Editori και η Ιταλική Κυβέρνηση, ότι το ως άνω σημείο αφορά αποκλειστικά το έργο πνευματικής ιδιοκτησίας.</w:t>
      </w:r>
    </w:p>
    <w:p w14:paraId="6D521645" w14:textId="77777777">
      <w:pPr>
        <w:pStyle w:val="P68B1DB1-Normal15"/>
        <w:widowControl w:val="0"/>
        <w:tabs>
          <w:tab w:val="left" w:pos="429"/>
        </w:tabs>
        <w:autoSpaceDE w:val="0"/>
        <w:autoSpaceDN w:val="0"/>
        <w:spacing w:after="0" w:line="240" w:lineRule="auto"/>
        <w:ind w:left="567"/>
        <w:jc w:val="both"/>
        <w:rPr>
          <w:i w:val="0"/>
          <w:iCs/>
        </w:rPr>
      </w:pPr>
    </w:p>
    <w:p w14:paraId="012D36DA" w14:textId="1659A5D5">
      <w:pPr>
        <w:pStyle w:val="P68B1DB1-Normal15"/>
        <w:widowControl w:val="0"/>
        <w:tabs>
          <w:tab w:val="left" w:pos="429"/>
        </w:tabs>
        <w:autoSpaceDE w:val="0"/>
        <w:autoSpaceDN w:val="0"/>
        <w:spacing w:after="0" w:line="240" w:lineRule="auto"/>
        <w:ind w:left="567"/>
        <w:jc w:val="both"/>
      </w:pPr>
      <w:r>
        <w:t xml:space="preserve">37. Ένα τέτοιο διακριτικό σημείο συνιστά «τεχνική προδιαγραφή» κατά την έννοια του άρθρου 1 παράγραφος 3, της οδηγίας 98/34, δεδομένου ότι εμπίπτει στις απαιτήσεις που ισχύουν για τα οικεία προϊόντα όσον αφορά τη σήμανση ή την επισήμανση. Ως εκ τούτου, δεδομένου ότι η τήρηση των προδιαγραφών αυτών είναι υποχρεωτική de jure για την εμπορία των προϊόντων αυτών, οι προδιαγραφές αυτές συνιστούν «τεχνικό κανόνα» κατά την έννοια του άρθρου 1 παράγραφος 11, της εν λόγω οδηγίας (βλ., υπό την έννοια αυτή, υπόθεση C-13/96, Bic Benelux, Συλλογή 1997, σ. I-1753, σκέψη 23).»</w:t>
      </w:r>
    </w:p>
    <w:p w14:paraId="3E9DFE52" w14:textId="77777777">
      <w:pPr>
        <w:pStyle w:val="P68B1DB1-Normal15"/>
        <w:widowControl w:val="0"/>
        <w:tabs>
          <w:tab w:val="left" w:pos="429"/>
        </w:tabs>
        <w:autoSpaceDE w:val="0"/>
        <w:autoSpaceDN w:val="0"/>
        <w:spacing w:after="0" w:line="240" w:lineRule="auto"/>
        <w:ind w:left="567"/>
        <w:jc w:val="both"/>
      </w:pPr>
    </w:p>
    <w:p w14:paraId="4E326150" w14:textId="1B9A65A2">
      <w:pPr>
        <w:widowControl w:val="0"/>
        <w:autoSpaceDE w:val="0"/>
        <w:autoSpaceDN w:val="0"/>
        <w:spacing w:after="0" w:line="240" w:lineRule="auto"/>
        <w:jc w:val="both"/>
        <w:rPr>
          <w:rFonts w:ascii="Times New Roman" w:hAnsi="Times New Roman" w:cs="Times New Roman" w:eastAsia="Times New Roman"/>
          <w:b/>
          <w:i/>
          <w:szCs w:val="20"/>
        </w:rPr>
        <w:pStyle w:val="P68B1DB1-Normal13"/>
      </w:pPr>
      <w:hyperlink r:id="rId27" w:history="1">
        <w:r>
          <w:rPr>
            <w:color w:val="0000FF"/>
            <w:u w:val="single"/>
          </w:rPr>
          <w:t xml:space="preserve">Απόφαση της 14 Απριλίου 2011</w:t>
        </w:r>
      </w:hyperlink>
      <w:r>
        <w:t xml:space="preserve">, Vlaamse Dierenartsenvereniging και Janssens, C-42/10, C-45/10 και C-57/10, σκέψεις 68 έως 70</w:t>
      </w:r>
    </w:p>
    <w:p w14:paraId="7DCC10FA"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18B43BA3" w14:textId="6DE800EE">
      <w:pPr>
        <w:pStyle w:val="P68B1DB1-P68B1DB1-Normal135"/>
        <w:widowControl w:val="0"/>
        <w:tabs>
          <w:tab w:val="left" w:pos="431"/>
        </w:tabs>
        <w:autoSpaceDE w:val="0"/>
        <w:autoSpaceDN w:val="0"/>
        <w:spacing w:after="0" w:line="240" w:lineRule="auto"/>
        <w:jc w:val="both"/>
        <w:rPr>
          <w:b w:val="0"/>
          <w:bCs/>
          <w:i w:val="0"/>
          <w:iCs/>
        </w:rPr>
      </w:pPr>
      <w:r>
        <w:t xml:space="preserve">Η οδηγία δεν εφαρμόζεται στα διαβατήρια ζώων συντροφιάς τα οποία δεν μπορούν να χαρακτηριστούν ως «προϊόντα» επειδή δεν μπορούν να αποτελέσουν αντικείμενο εμπορικών συναλλαγών. Ως εκ τούτου, οι εθνικές διατάξεις σχετικά με τα διαβατήρια ζώων συντροφιάς δεν αποτελούν «τεχνικές προδιαγραφές» που πρέπει να κοινοποιούνται στην Επιτροπή.</w:t>
      </w:r>
    </w:p>
    <w:p w14:paraId="55609695"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757DBF12" w14:textId="28188743">
      <w:pPr>
        <w:pStyle w:val="P68B1DB1-P68B1DB1-Normal147"/>
        <w:widowControl w:val="0"/>
        <w:tabs>
          <w:tab w:val="left" w:pos="403"/>
        </w:tabs>
        <w:autoSpaceDE w:val="0"/>
        <w:autoSpaceDN w:val="0"/>
        <w:spacing w:after="0" w:line="240" w:lineRule="auto"/>
        <w:ind w:left="567"/>
        <w:jc w:val="both"/>
        <w:rPr>
          <w:i/>
          <w:sz w:val="20"/>
          <w:szCs w:val="18"/>
        </w:rPr>
      </w:pPr>
      <w:r>
        <w:t xml:space="preserve">«68. [...] το Δικαστήριο είχε την ευκαιρία να επισημάνει ότι στο πεδίο της ελεύθερης κυκλοφορίας των εμπορευμάτων εμπίπτουν μόνον τα αποτιμητά σε χρήμα προϊόντα τα οποία μπορούν, ως τέτοια, να αποτελέσουν αντικείμενο εμπορικών συναλλαγών (βλ., υπό την έννοια αυτή, μεταξύ άλλων, τις αποφάσεις της 1968ης Απριλίου 617, 7/68, Επιτροπή κατά Ιταλίας, Συλλογή 626, σ. 2006, 10341, και της 23ης Φεβρουαρίου 25, C-65/05, Επιτροπή κατά Ελλάδος, σκέψεις έως).</w:t>
      </w:r>
    </w:p>
    <w:p w14:paraId="741819C9" w14:textId="77777777">
      <w:pPr>
        <w:pStyle w:val="P68B1DB1-Normal14"/>
        <w:widowControl w:val="0"/>
        <w:tabs>
          <w:tab w:val="left" w:pos="403"/>
        </w:tabs>
        <w:autoSpaceDE w:val="0"/>
        <w:autoSpaceDN w:val="0"/>
        <w:spacing w:after="0" w:line="240" w:lineRule="auto"/>
        <w:ind w:left="567"/>
        <w:jc w:val="both"/>
        <w:rPr>
          <w:i/>
          <w:sz w:val="20"/>
          <w:szCs w:val="18"/>
        </w:rPr>
      </w:pPr>
    </w:p>
    <w:p w14:paraId="5BA224C9" w14:textId="68AC5503">
      <w:pPr>
        <w:pStyle w:val="P68B1DB1-P68B1DB1-Normal147"/>
        <w:widowControl w:val="0"/>
        <w:tabs>
          <w:tab w:val="left" w:pos="403"/>
        </w:tabs>
        <w:autoSpaceDE w:val="0"/>
        <w:autoSpaceDN w:val="0"/>
        <w:spacing w:after="0" w:line="240" w:lineRule="auto"/>
        <w:ind w:left="567"/>
        <w:jc w:val="both"/>
        <w:rPr>
          <w:i/>
          <w:sz w:val="20"/>
          <w:szCs w:val="18"/>
        </w:rPr>
      </w:pPr>
      <w:r>
        <w:t xml:space="preserve">69. Πάντως, δεν αμφισβητείται ότι τα διαβατήρια ζώων συντροφιάς, εφόσον φέρουν δικό τους μοναδικό αριθμό και ταυτοποιούν συγκεκριμένο ζώο, δεν μπορούν, ως τέτοια, να γίνουν το αντικείμενο εμπορικών συναλλαγών.</w:t>
      </w:r>
    </w:p>
    <w:p w14:paraId="766A1B18" w14:textId="77777777">
      <w:pPr>
        <w:pStyle w:val="P68B1DB1-Normal14"/>
        <w:widowControl w:val="0"/>
        <w:tabs>
          <w:tab w:val="left" w:pos="403"/>
        </w:tabs>
        <w:autoSpaceDE w:val="0"/>
        <w:autoSpaceDN w:val="0"/>
        <w:spacing w:after="0" w:line="240" w:lineRule="auto"/>
        <w:ind w:left="567"/>
        <w:jc w:val="both"/>
        <w:rPr>
          <w:i/>
          <w:sz w:val="20"/>
          <w:szCs w:val="18"/>
        </w:rPr>
      </w:pPr>
    </w:p>
    <w:p w14:paraId="5F9E4D05" w14:textId="4BF6B0DF">
      <w:pPr>
        <w:pStyle w:val="P68B1DB1-P68B1DB1-Normal147"/>
        <w:widowControl w:val="0"/>
        <w:tabs>
          <w:tab w:val="left" w:pos="403"/>
        </w:tabs>
        <w:autoSpaceDE w:val="0"/>
        <w:autoSpaceDN w:val="0"/>
        <w:spacing w:after="0" w:line="240" w:lineRule="auto"/>
        <w:ind w:left="567"/>
        <w:jc w:val="both"/>
        <w:rPr>
          <w:i/>
          <w:sz w:val="20"/>
          <w:szCs w:val="18"/>
        </w:rPr>
      </w:pPr>
      <w:r>
        <w:t xml:space="preserve">70. Επομένως, τα διαβατήρια αυτά δεν μπορούν να χαρακτηριστούν ως «προϊόντα» κατά την έννοια της νομολογίας του Δικαστηρίου· επίσης, η οδηγία 98/34 δεν μπορεί να εφαρμοστεί στην περίπτωσή τους. Κατά συνέπεια, προδιαγραφές όπως αυτές που περιλαμβάνονται στην επίμαχη στην κύρια δίκη βελγική νομοθεσία δεν μπορούν να χαρακτηρισθούν ως τεχνικές προδιαγραφές οι οποίες, σύμφωνα με το άρθρο 8 της οδηγίας αυτής, πρέπει να κοινοποιούνται εκ των προτέρων στην Επιτροπή και, ελλείψει αυτού, δεν πρέπει να εφαρμόζονται από το εθνικό δικαστήριο (βλ., υπό την έννοια αυτή, απόφαση της 2007ης Μαρτίου 9447, C-20/05, Schwibbert, που δεν έχει δημοσιευθεί ακόμη στη Συλλογή, σκέψεις 33 και 44 και εκεί παρατιθέμενη νομολογία).»</w:t>
      </w:r>
    </w:p>
    <w:p w14:paraId="56FDA8D5" w14:textId="77777777">
      <w:pPr>
        <w:spacing w:after="0" w:line="240" w:lineRule="auto"/>
      </w:pPr>
    </w:p>
    <w:p w14:paraId="5C42E26C" w14:textId="7797D2A3">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8" w:history="1">
        <w:r>
          <w:rPr>
            <w:color w:val="0000FF"/>
            <w:u w:val="single"/>
          </w:rPr>
          <w:t xml:space="preserve">Απόφαση της 9 Ιουνίου 2011</w:t>
        </w:r>
      </w:hyperlink>
      <w:r>
        <w:t xml:space="preserve"> στην υπόθεση C-361/10, Intercommunale Intermosane και Fédération de l’industrie et du gaz, σκέψεις 14 έως 18.</w:t>
      </w:r>
      <w:bookmarkEnd w:id="33"/>
    </w:p>
    <w:p w14:paraId="0CF52A6B"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346914E7" w14:textId="1F11C7F6">
      <w:pPr>
        <w:pStyle w:val="P68B1DB1-P68B1DB1-Normal135"/>
        <w:widowControl w:val="0"/>
        <w:autoSpaceDE w:val="0"/>
        <w:autoSpaceDN w:val="0"/>
        <w:spacing w:after="0" w:line="240" w:lineRule="auto"/>
        <w:jc w:val="both"/>
        <w:rPr>
          <w:b w:val="0"/>
          <w:bCs/>
          <w:i w:val="0"/>
          <w:iCs/>
        </w:rPr>
      </w:pPr>
      <w:r>
        <w:t xml:space="preserve">Οι εθνικές διατάξεις που καθορίζουν ελάχιστες απαιτήσεις για την κατασκευή ηλεκτρικών εγκαταστάσεων και την ασφάλεια των εργαζομένων δεν συνιστούν «τεχνικές προδιαγραφές», δεδομένου ότι θέτουν γενικούς στόχους ασφάλειας και προστασίας χωρίς να αναφέρονται άμεσα σε ένα προϊόν ή στη συσκευασία του και χωρίς να καθορίζουν τα χαρακτηριστικά του. </w:t>
      </w:r>
    </w:p>
    <w:p w14:paraId="3E53A714"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2A3D76D8" w14:textId="3110737E">
      <w:pPr>
        <w:pStyle w:val="P68B1DB1-P68B1DB1-Normal147"/>
        <w:widowControl w:val="0"/>
        <w:autoSpaceDE w:val="0"/>
        <w:autoSpaceDN w:val="0"/>
        <w:spacing w:after="0" w:line="240" w:lineRule="auto"/>
        <w:ind w:left="567"/>
        <w:jc w:val="both"/>
        <w:rPr>
          <w:i/>
          <w:iCs/>
          <w:sz w:val="20"/>
          <w:szCs w:val="18"/>
        </w:rPr>
      </w:pPr>
      <w:r>
        <w:t xml:space="preserve">«14. [...] πρέπει να εξεταστεί αν οι επίμαχες στην κύρια δίκη εθνικές διατάξεις εμπίπτουν στην πρώτη κατηγορία τεχνικών κανόνων του άρθρου 1 παράγραφος 11, της οδηγίας 98/34, ήτοι στην έννοια της «τεχνικής προδιαγραφής».</w:t>
      </w:r>
    </w:p>
    <w:p w14:paraId="13050860" w14:textId="77777777">
      <w:pPr>
        <w:pStyle w:val="P68B1DB1-Normal14"/>
        <w:widowControl w:val="0"/>
        <w:autoSpaceDE w:val="0"/>
        <w:autoSpaceDN w:val="0"/>
        <w:spacing w:after="0" w:line="240" w:lineRule="auto"/>
        <w:ind w:left="567"/>
        <w:jc w:val="both"/>
        <w:rPr>
          <w:i/>
          <w:iCs/>
          <w:sz w:val="20"/>
          <w:szCs w:val="18"/>
        </w:rPr>
      </w:pPr>
    </w:p>
    <w:p w14:paraId="431EFE6D" w14:textId="5A6B8906">
      <w:pPr>
        <w:pStyle w:val="P68B1DB1-P68B1DB1-Normal147"/>
        <w:widowControl w:val="0"/>
        <w:autoSpaceDE w:val="0"/>
        <w:autoSpaceDN w:val="0"/>
        <w:spacing w:after="0" w:line="240" w:lineRule="auto"/>
        <w:ind w:left="567"/>
        <w:jc w:val="both"/>
        <w:rPr>
          <w:i/>
          <w:iCs/>
          <w:sz w:val="20"/>
          <w:szCs w:val="18"/>
        </w:rPr>
      </w:pPr>
      <w:r>
        <w:t xml:space="preserve">15. Από τη νομολογία προκύπτει ότι η έννοια αυτή, η οποία ορίζεται στο άρθρο 1 παράγραφος 3, της οδηγίας, προϋποθέτει ότι το εθνικό μέτρο αφορά κατ’ ανάγκην το προϊόν ή τη συσκευασία του και, ως εκ τούτου, καθορίζει ένα από τα απαιτούμενα χαρακτηριστικά ενός προϊόντος (βλ. προπαρατεθείσα απόφαση Schwibbert, σκέψη 35 και εκεί παρατιθέμενη νομολογία).</w:t>
      </w:r>
    </w:p>
    <w:p w14:paraId="1713743E" w14:textId="77777777">
      <w:pPr>
        <w:pStyle w:val="P68B1DB1-Normal14"/>
        <w:widowControl w:val="0"/>
        <w:autoSpaceDE w:val="0"/>
        <w:autoSpaceDN w:val="0"/>
        <w:spacing w:after="0" w:line="240" w:lineRule="auto"/>
        <w:ind w:left="567"/>
        <w:jc w:val="both"/>
        <w:rPr>
          <w:i/>
          <w:iCs/>
          <w:sz w:val="20"/>
          <w:szCs w:val="18"/>
        </w:rPr>
      </w:pPr>
    </w:p>
    <w:p w14:paraId="605F1D6D" w14:textId="72688735">
      <w:pPr>
        <w:pStyle w:val="P68B1DB1-P68B1DB1-Normal147"/>
        <w:widowControl w:val="0"/>
        <w:autoSpaceDE w:val="0"/>
        <w:autoSpaceDN w:val="0"/>
        <w:spacing w:after="0" w:line="240" w:lineRule="auto"/>
        <w:ind w:left="567"/>
        <w:jc w:val="both"/>
        <w:rPr>
          <w:i/>
          <w:iCs/>
          <w:sz w:val="20"/>
          <w:szCs w:val="18"/>
        </w:rPr>
      </w:pPr>
      <w:r>
        <w:t xml:space="preserve">16. Όσον αφορά τις προσβαλλόμενες στην κύρια δίκη εθνικές διατάξεις, επισημαίνεται ότι οι ελάχιστες προδιαγραφές για την κατασκευή ηλεκτρικών εγκαταστάσεων τις οποίες επιβάλλουν οι εν λόγω διατάξεις αφορούν τη βελτίωση της ασφάλειας των ως άνω εγκαταστάσεων με σκοπό την προστασία των εργαζομένων που τις χρησιμοποιούν.</w:t>
      </w:r>
    </w:p>
    <w:p w14:paraId="3BF8D390" w14:textId="77777777">
      <w:pPr>
        <w:pStyle w:val="P68B1DB1-Normal14"/>
        <w:widowControl w:val="0"/>
        <w:autoSpaceDE w:val="0"/>
        <w:autoSpaceDN w:val="0"/>
        <w:spacing w:after="0" w:line="240" w:lineRule="auto"/>
        <w:ind w:left="567"/>
        <w:jc w:val="both"/>
        <w:rPr>
          <w:i/>
          <w:iCs/>
          <w:sz w:val="20"/>
          <w:szCs w:val="18"/>
        </w:rPr>
      </w:pPr>
    </w:p>
    <w:p w14:paraId="53D9038B" w14:textId="44B3180B">
      <w:pPr>
        <w:pStyle w:val="P68B1DB1-P68B1DB1-Normal147"/>
        <w:widowControl w:val="0"/>
        <w:autoSpaceDE w:val="0"/>
        <w:autoSpaceDN w:val="0"/>
        <w:spacing w:after="0" w:line="240" w:lineRule="auto"/>
        <w:ind w:left="567"/>
        <w:jc w:val="both"/>
        <w:rPr>
          <w:i/>
          <w:iCs/>
          <w:sz w:val="20"/>
          <w:szCs w:val="18"/>
        </w:rPr>
      </w:pPr>
      <w:r>
        <w:t xml:space="preserve">17. Πάντως, διαπιστώνεται ότι με τις ελάχιστες αυτές προδιαγραφές καθορίζονται οι γενικές απαιτήσεις και το γενικό πλαίσιο σε ζητήματα ασφάλειας και προστασίας, χωρίς να γίνεται οπωσδήποτε αναφορά σε συγκεκριμένο προϊόν, αυτό καθαυτό, ή στη συσκευασία του, αυτή καθαυτή, χωρίς δηλαδή να προσδιορίζονται τα χαρακτηριστικά γνωρίσματα του προϊόντος.</w:t>
      </w:r>
    </w:p>
    <w:p w14:paraId="4769C93B" w14:textId="77777777">
      <w:pPr>
        <w:pStyle w:val="P68B1DB1-Normal14"/>
        <w:widowControl w:val="0"/>
        <w:autoSpaceDE w:val="0"/>
        <w:autoSpaceDN w:val="0"/>
        <w:spacing w:after="0" w:line="240" w:lineRule="auto"/>
        <w:ind w:left="567"/>
        <w:jc w:val="both"/>
        <w:rPr>
          <w:i/>
          <w:iCs/>
          <w:sz w:val="20"/>
          <w:szCs w:val="18"/>
        </w:rPr>
      </w:pPr>
    </w:p>
    <w:p w14:paraId="4059BF30" w14:textId="7521DC11">
      <w:pPr>
        <w:pStyle w:val="P68B1DB1-P68B1DB1-Normal147"/>
        <w:widowControl w:val="0"/>
        <w:autoSpaceDE w:val="0"/>
        <w:autoSpaceDN w:val="0"/>
        <w:spacing w:after="0" w:line="240" w:lineRule="auto"/>
        <w:ind w:left="567"/>
        <w:jc w:val="both"/>
        <w:rPr>
          <w:bCs/>
          <w:i/>
          <w:iCs/>
          <w:sz w:val="20"/>
          <w:szCs w:val="18"/>
        </w:rPr>
      </w:pPr>
      <w:r>
        <w:t xml:space="preserve">18. Κατά συνέπεια, οι επίμαχες στην κύρια δίκη εθνικές διατάξεις δεν περιέχουν τεχνικές προδιαγραφές κατά την έννοια της οδηγίας 98/34.»</w:t>
      </w:r>
    </w:p>
    <w:p w14:paraId="4E087DB6" w14:textId="77777777">
      <w:pPr>
        <w:widowControl w:val="0"/>
        <w:autoSpaceDE w:val="0"/>
        <w:autoSpaceDN w:val="0"/>
        <w:spacing w:after="0" w:line="240" w:lineRule="auto"/>
        <w:jc w:val="both"/>
        <w:rPr>
          <w:rFonts w:ascii="Times New Roman" w:hAnsi="Times New Roman" w:cs="Times New Roman" w:eastAsia="Times New Roman"/>
          <w:bCs/>
          <w:i/>
          <w:sz w:val="20"/>
          <w:szCs w:val="16"/>
        </w:rPr>
      </w:pPr>
    </w:p>
    <w:p w14:paraId="36CB90D3" w14:textId="0830F120">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9" w:history="1">
        <w:r>
          <w:rPr>
            <w:color w:val="0000FF"/>
            <w:u w:val="single"/>
          </w:rPr>
          <w:t xml:space="preserve">Απόφαση της 19 Ιουλίου 2012</w:t>
        </w:r>
      </w:hyperlink>
      <w:r>
        <w:t xml:space="preserve">, Fortuna κ.λπ., C-213/11, C-214/11 και C-217/11, σκέψεις 28 έως 30</w:t>
      </w:r>
      <w:bookmarkEnd w:id="34"/>
    </w:p>
    <w:p w14:paraId="3A7FC319"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26C64C2" w14:textId="77777777">
      <w:pPr>
        <w:pStyle w:val="P68B1DB1-P68B1DB1-Normal135"/>
        <w:widowControl w:val="0"/>
        <w:tabs>
          <w:tab w:val="left" w:pos="451"/>
        </w:tabs>
        <w:autoSpaceDE w:val="0"/>
        <w:autoSpaceDN w:val="0"/>
        <w:spacing w:after="0" w:line="240" w:lineRule="auto"/>
        <w:jc w:val="both"/>
        <w:rPr>
          <w:b w:val="0"/>
          <w:bCs/>
          <w:i w:val="0"/>
          <w:iCs/>
        </w:rPr>
      </w:pPr>
      <w:r>
        <w:t xml:space="preserve">Οι εθνικές διατάξεις που περιορίζουν τη λειτουργία μηχανών τυχερών παιχνιδιών χαμηλού κόστους εκτός των καζίνων δεν αποτελούν «τεχνικούς κανόνες», διότι δεν αναφέρονται στα χαρακτηριστικά των μηχανών τυχερών παιχνιδιών ή στη συσκευασία τους.</w:t>
      </w:r>
    </w:p>
    <w:p w14:paraId="236235AE" w14:textId="77777777">
      <w:pPr>
        <w:widowControl w:val="0"/>
        <w:tabs>
          <w:tab w:val="left" w:pos="451"/>
        </w:tabs>
        <w:autoSpaceDE w:val="0"/>
        <w:autoSpaceDN w:val="0"/>
        <w:spacing w:after="0" w:line="240" w:lineRule="auto"/>
        <w:jc w:val="both"/>
        <w:rPr>
          <w:rFonts w:ascii="Times New Roman" w:hAnsi="Times New Roman" w:cs="Times New Roman" w:eastAsia="Times New Roman"/>
          <w:i/>
          <w:iCs/>
          <w:sz w:val="18"/>
          <w:szCs w:val="14"/>
        </w:rPr>
      </w:pPr>
    </w:p>
    <w:p w14:paraId="09B20777" w14:textId="6018D3B7">
      <w:pPr>
        <w:pStyle w:val="P68B1DB1-P68B1DB1-Normal147"/>
        <w:widowControl w:val="0"/>
        <w:autoSpaceDE w:val="0"/>
        <w:autoSpaceDN w:val="0"/>
        <w:spacing w:after="0" w:line="240" w:lineRule="auto"/>
        <w:ind w:left="567"/>
        <w:jc w:val="both"/>
        <w:rPr>
          <w:i/>
          <w:iCs/>
          <w:sz w:val="20"/>
          <w:szCs w:val="18"/>
        </w:rPr>
      </w:pPr>
      <w:r>
        <w:t xml:space="preserve">«28. [...] για να εμπίπτει ένα εθνικό μέτρο στην πρώτη κατηγορία τεχνικών κανόνων του άρθρου 1 παράγραφος 11, της οδηγίας 98/34, δηλαδή στην έννοια της «τεχνικής προδιαγραφής», το μέτρο αυτό πρέπει κατ’ ανάγκη να αναφέρεται στο προϊόν ή στη συσκευασία του και, ως εκ τούτου, να καθορίζει ένα από τα απαιτούμενα χαρακτηριστικά ενός προϊόντος (βλ. προπαρατεθείσα απόφαση Intercommunale Intermosane και Fédération de l’industrie et du gaz, σκέψη 15).</w:t>
      </w:r>
    </w:p>
    <w:p w14:paraId="0DD51D00" w14:textId="77777777">
      <w:pPr>
        <w:pStyle w:val="P68B1DB1-Normal14"/>
        <w:widowControl w:val="0"/>
        <w:autoSpaceDE w:val="0"/>
        <w:autoSpaceDN w:val="0"/>
        <w:spacing w:after="0" w:line="240" w:lineRule="auto"/>
        <w:ind w:left="567"/>
        <w:jc w:val="both"/>
        <w:rPr>
          <w:i/>
          <w:iCs/>
          <w:sz w:val="20"/>
          <w:szCs w:val="18"/>
        </w:rPr>
      </w:pPr>
    </w:p>
    <w:p w14:paraId="43C64864" w14:textId="4E72B44D">
      <w:pPr>
        <w:pStyle w:val="P68B1DB1-P68B1DB1-Normal147"/>
        <w:widowControl w:val="0"/>
        <w:autoSpaceDE w:val="0"/>
        <w:autoSpaceDN w:val="0"/>
        <w:spacing w:after="0" w:line="240" w:lineRule="auto"/>
        <w:ind w:left="567"/>
        <w:jc w:val="both"/>
        <w:rPr>
          <w:i/>
          <w:iCs/>
          <w:sz w:val="20"/>
          <w:szCs w:val="18"/>
        </w:rPr>
      </w:pPr>
      <w:r>
        <w:t xml:space="preserve">29. Όμως, αρκεί η διαπίστωση ότι οι μεταβατικές διατάξεις του νόμου περί τυχερών παιγνίων αφορούν τις άδειες ασκήσεως της δραστηριότητας των αυτόματων μηχανικών παιγνίων για μικρά κέρδη. Δεν αναφέρονται σε αυτά καθαυτά τα αυτόματα μηχανικά παίγνια για μικρά κέρδη ή τη συσκευασία τους και, συνεπώς, δεν καθορίζουν τα χαρακτηριστικά γνωρίσματά τους.</w:t>
      </w:r>
    </w:p>
    <w:p w14:paraId="28D3F16E" w14:textId="77777777">
      <w:pPr>
        <w:pStyle w:val="P68B1DB1-Normal14"/>
        <w:widowControl w:val="0"/>
        <w:autoSpaceDE w:val="0"/>
        <w:autoSpaceDN w:val="0"/>
        <w:spacing w:after="0" w:line="240" w:lineRule="auto"/>
        <w:ind w:left="567"/>
        <w:jc w:val="both"/>
        <w:rPr>
          <w:i/>
          <w:iCs/>
          <w:sz w:val="20"/>
          <w:szCs w:val="18"/>
        </w:rPr>
      </w:pPr>
    </w:p>
    <w:p w14:paraId="65E1DF47" w14:textId="1076F250">
      <w:pPr>
        <w:pStyle w:val="P68B1DB1-P68B1DB1-Normal147"/>
        <w:widowControl w:val="0"/>
        <w:autoSpaceDE w:val="0"/>
        <w:autoSpaceDN w:val="0"/>
        <w:spacing w:after="0" w:line="240" w:lineRule="auto"/>
        <w:ind w:left="567"/>
        <w:jc w:val="both"/>
        <w:rPr>
          <w:bCs/>
          <w:i/>
          <w:iCs/>
          <w:sz w:val="20"/>
          <w:szCs w:val="18"/>
        </w:rPr>
      </w:pPr>
      <w:r>
        <w:t xml:space="preserve">30. Κατά συνέπεια, οι επίμαχες στην κύρια δίκη εθνικές διατάξεις δεν περιέχουν τεχνικές προδιαγραφές κατά την έννοια της οδηγίας 98/34.»</w:t>
      </w:r>
    </w:p>
    <w:p w14:paraId="253F8A3A" w14:textId="77777777">
      <w:pPr>
        <w:widowControl w:val="0"/>
        <w:autoSpaceDE w:val="0"/>
        <w:autoSpaceDN w:val="0"/>
        <w:spacing w:after="0" w:line="240" w:lineRule="auto"/>
        <w:jc w:val="both"/>
        <w:rPr>
          <w:rFonts w:ascii="Times New Roman" w:hAnsi="Times New Roman" w:cs="Times New Roman" w:eastAsia="Times New Roman"/>
          <w:bCs/>
          <w:i/>
          <w:sz w:val="20"/>
          <w:szCs w:val="16"/>
        </w:rPr>
      </w:pPr>
    </w:p>
    <w:p w14:paraId="11A687F9" w14:textId="7673430B">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4"/>
      </w:pPr>
      <w:hyperlink r:id="rId30" w:history="1">
        <w:r>
          <w:rPr>
            <w:b/>
            <w:i/>
            <w:color w:val="0000FF"/>
            <w:u w:val="single"/>
          </w:rPr>
          <w:t xml:space="preserve">Απόφαση της 10 Ιουλίου 2014</w:t>
        </w:r>
      </w:hyperlink>
      <w:r>
        <w:rPr>
          <w:sz w:val="25"/>
        </w:rPr>
        <w:t>στην</w:t>
      </w:r>
      <w:r>
        <w:rPr>
          <w:b/>
          <w:i/>
        </w:rPr>
        <w:t>υπόθεση</w:t>
      </w:r>
      <w:r>
        <w:rPr>
          <w:b/>
          <w:i/>
        </w:rPr>
        <w:t xml:space="preserve"> C-307/13, Ivansson κ.λπ.</w:t>
      </w:r>
      <w:r>
        <w:rPr>
          <w:b/>
          <w:i/>
        </w:rPr>
        <w:t xml:space="preserve">, σκέψεις 19 έως 23</w:t>
      </w:r>
      <w:bookmarkEnd w:id="35"/>
    </w:p>
    <w:p w14:paraId="3CBB181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09768B7" w14:textId="77777777">
      <w:pPr>
        <w:pStyle w:val="P68B1DB1-P68B1DB1-Normal135"/>
        <w:widowControl w:val="0"/>
        <w:tabs>
          <w:tab w:val="left" w:pos="396"/>
          <w:tab w:val="left" w:pos="407"/>
        </w:tabs>
        <w:autoSpaceDE w:val="0"/>
        <w:autoSpaceDN w:val="0"/>
        <w:spacing w:after="0" w:line="240" w:lineRule="auto"/>
        <w:jc w:val="both"/>
        <w:rPr>
          <w:b w:val="0"/>
          <w:bCs/>
          <w:i w:val="0"/>
          <w:iCs/>
        </w:rPr>
      </w:pPr>
      <w:r>
        <w:t xml:space="preserve">Ένας κανόνας που καθορίζει γενικό στόχο άνεσης των πουλερικών και ποιότητας των εγκαταστάσεων εκτροφής δεν αποτελεί «τεχνική προδιαγραφή», διότι δεν καθορίζει τα χαρακτηριστικά του προϊόντος και δεν είναι αρκετά ακριβής για τον καθορισμό μιας μεθόδου παραγωγής. </w:t>
      </w:r>
    </w:p>
    <w:p w14:paraId="7B99302F" w14:textId="77777777">
      <w:pPr>
        <w:widowControl w:val="0"/>
        <w:autoSpaceDE w:val="0"/>
        <w:autoSpaceDN w:val="0"/>
        <w:spacing w:after="0" w:line="240" w:lineRule="auto"/>
        <w:ind w:left="567"/>
        <w:jc w:val="both"/>
        <w:rPr>
          <w:rFonts w:ascii="Times New Roman" w:hAnsi="Times New Roman" w:cs="Times New Roman" w:eastAsia="Times New Roman"/>
          <w:bCs/>
          <w:i/>
          <w:sz w:val="20"/>
          <w:szCs w:val="16"/>
        </w:rPr>
      </w:pPr>
    </w:p>
    <w:p w14:paraId="3EDA7715" w14:textId="0C493BF1">
      <w:pPr>
        <w:pStyle w:val="P68B1DB1-P68B1DB1-Normal147"/>
        <w:widowControl w:val="0"/>
        <w:autoSpaceDE w:val="0"/>
        <w:autoSpaceDN w:val="0"/>
        <w:spacing w:after="0" w:line="240" w:lineRule="auto"/>
        <w:ind w:left="567"/>
        <w:jc w:val="both"/>
        <w:rPr>
          <w:i/>
          <w:iCs/>
          <w:sz w:val="20"/>
          <w:szCs w:val="18"/>
        </w:rPr>
      </w:pPr>
      <w:r>
        <w:t xml:space="preserve">«19. Επιβάλλεται η διαπίστωση ότι, κατά τη νομολογία, η έννοια αυτή [των τεχνικών προδιαγραφών] προϋποθέτει ότι το εθνικό μέτρο πρέπει κατ’ ανάγκη να αναφέρεται στο προϊόν ή στη συσκευασία του καθαυτό και, επομένως, να καθορίζει ένα από τα απαιτούμενα χαρακτηριστικά ενός προϊόντος (βλ., υπό την έννοια αυτή, απόφαση Fortuna κ.λπ., προπαρατεθείσα, σκέψη 28).</w:t>
      </w:r>
    </w:p>
    <w:p w14:paraId="5E172BC8" w14:textId="77777777">
      <w:pPr>
        <w:pStyle w:val="P68B1DB1-Normal14"/>
        <w:widowControl w:val="0"/>
        <w:autoSpaceDE w:val="0"/>
        <w:autoSpaceDN w:val="0"/>
        <w:spacing w:after="0" w:line="240" w:lineRule="auto"/>
        <w:ind w:left="567"/>
        <w:jc w:val="both"/>
        <w:rPr>
          <w:i/>
          <w:iCs/>
          <w:sz w:val="20"/>
          <w:szCs w:val="18"/>
        </w:rPr>
      </w:pPr>
    </w:p>
    <w:p w14:paraId="39F7789D" w14:textId="31D50226">
      <w:pPr>
        <w:pStyle w:val="P68B1DB1-P68B1DB1-Normal147"/>
        <w:widowControl w:val="0"/>
        <w:autoSpaceDE w:val="0"/>
        <w:autoSpaceDN w:val="0"/>
        <w:spacing w:after="0" w:line="240" w:lineRule="auto"/>
        <w:ind w:left="567"/>
        <w:jc w:val="both"/>
        <w:rPr>
          <w:i/>
          <w:iCs/>
          <w:sz w:val="20"/>
          <w:szCs w:val="18"/>
        </w:rPr>
      </w:pPr>
      <w:r>
        <w:t xml:space="preserve">20. Επιπλέον, όσον αφορά τα γεωργικά προϊόντα, το Δικαστήριο έχει διευκρινίσει ότι τεχνική προδιαγραφή περιλαμβάνεται σε έγγραφο που καθορίζει τα απαιτούμενα χαρακτηριστικά ενός προϊόντος ή τις μεθόδους και διαδικασίες παραγωγής του (βλ., υπό την έννοια αυτή, απόφαση Donkersteeg, C-37/99, σκέψη 30).</w:t>
      </w:r>
    </w:p>
    <w:p w14:paraId="65DAFA85" w14:textId="77777777">
      <w:pPr>
        <w:pStyle w:val="P68B1DB1-Normal14"/>
        <w:widowControl w:val="0"/>
        <w:autoSpaceDE w:val="0"/>
        <w:autoSpaceDN w:val="0"/>
        <w:spacing w:after="0" w:line="240" w:lineRule="auto"/>
        <w:ind w:left="567"/>
        <w:jc w:val="both"/>
        <w:rPr>
          <w:i/>
          <w:iCs/>
          <w:sz w:val="20"/>
          <w:szCs w:val="18"/>
        </w:rPr>
      </w:pPr>
    </w:p>
    <w:p w14:paraId="1CC9B834" w14:textId="7551980C">
      <w:pPr>
        <w:pStyle w:val="P68B1DB1-P68B1DB1-Normal147"/>
        <w:widowControl w:val="0"/>
        <w:autoSpaceDE w:val="0"/>
        <w:autoSpaceDN w:val="0"/>
        <w:spacing w:after="0" w:line="240" w:lineRule="auto"/>
        <w:ind w:left="567"/>
        <w:jc w:val="both"/>
        <w:rPr>
          <w:i/>
          <w:iCs/>
          <w:sz w:val="20"/>
          <w:szCs w:val="18"/>
        </w:rPr>
      </w:pPr>
      <w:r>
        <w:t xml:space="preserve">21. Επισημαίνεται, πρώτον, ότι, μολονότι το άρθρο 9 του DSF αφορά την άνεση και την ποιότητα των εγκαταστάσεων εκτροφής ορνίθων παραγωγής αυγών, ήτοι των διευθετημένων κλωβών, η διάταξη αυτή δεν ορίζει, όπως επισήμανε η Πολωνική Κυβέρνηση, τα χαρακτηριστικά που πρέπει να έχουν τα επίμαχα στην κύρια δίκη αντικείμενα.</w:t>
      </w:r>
    </w:p>
    <w:p w14:paraId="01AC6E59" w14:textId="77777777">
      <w:pPr>
        <w:pStyle w:val="P68B1DB1-Normal14"/>
        <w:widowControl w:val="0"/>
        <w:autoSpaceDE w:val="0"/>
        <w:autoSpaceDN w:val="0"/>
        <w:spacing w:after="0" w:line="240" w:lineRule="auto"/>
        <w:ind w:left="567"/>
        <w:jc w:val="both"/>
        <w:rPr>
          <w:i/>
          <w:iCs/>
          <w:sz w:val="20"/>
          <w:szCs w:val="18"/>
        </w:rPr>
      </w:pPr>
    </w:p>
    <w:p w14:paraId="4F11FC6F" w14:textId="24A20F05">
      <w:pPr>
        <w:pStyle w:val="P68B1DB1-P68B1DB1-Normal147"/>
        <w:widowControl w:val="0"/>
        <w:autoSpaceDE w:val="0"/>
        <w:autoSpaceDN w:val="0"/>
        <w:spacing w:after="0" w:line="240" w:lineRule="auto"/>
        <w:ind w:left="567"/>
        <w:jc w:val="both"/>
        <w:rPr>
          <w:i/>
          <w:iCs/>
          <w:sz w:val="20"/>
          <w:szCs w:val="18"/>
        </w:rPr>
      </w:pPr>
      <w:r>
        <w:t xml:space="preserve">22. Αφετέρου, ακόμη και αν υποτεθεί ότι μπορεί να γίνει δεκτό ότι η διάταξη αυτή έχει ως αντικείμενο μέθοδο παραγωγής, καθόσον αφορά, όπως αναφέρθηκε στην προηγούμενη σκέψη, την εκτροφή ωοπαραγωγών ορνίθων σε διευθετημένους κλωβούς, πρέπει να επισημανθεί ότι στην εν λόγω διάταξη γίνεται απλώς γενική αναφορά στην απαίτηση να υπάρχουν στις εγκαταστάσεις αυτές φωλιές, κούρνιες και αμμόλουτρα χωρίς να ορίζονται συγκεκριμένα οι διάφορες πτυχές του συστήματος αυτού εκτροφής. Το άρθρο 9 του DSF δεν περιέχει καμία ένδειξη όσον αφορά, για παράδειγμα, τις διαστάσεις, τον αριθμό, τη θερμοκρασία, τη συντήρηση ή τη λειτουργία των εγκαταστάσεων αυτών όσον αφορά την έκθεση των ορνίθων παραγωγής αυγών στο φως ή ακόμη και όσον αφορά τη σίτιση και το πότισμα. Ελλείψει διευκρινίσεων στο άρθρο 9 του DSF, δεν μπορεί να θεωρηθεί ότι καθορίζει τις μεθόδους και τις διαδικασίες παραγωγής.</w:t>
      </w:r>
    </w:p>
    <w:p w14:paraId="000E1FB3" w14:textId="77777777">
      <w:pPr>
        <w:pStyle w:val="P68B1DB1-Normal14"/>
        <w:widowControl w:val="0"/>
        <w:autoSpaceDE w:val="0"/>
        <w:autoSpaceDN w:val="0"/>
        <w:spacing w:after="0" w:line="240" w:lineRule="auto"/>
        <w:ind w:left="567"/>
        <w:jc w:val="both"/>
        <w:rPr>
          <w:i/>
          <w:iCs/>
          <w:sz w:val="20"/>
          <w:szCs w:val="18"/>
        </w:rPr>
      </w:pPr>
    </w:p>
    <w:p w14:paraId="38E2B353" w14:textId="549AB11B">
      <w:pPr>
        <w:pStyle w:val="P68B1DB1-P68B1DB1-Normal147"/>
        <w:widowControl w:val="0"/>
        <w:autoSpaceDE w:val="0"/>
        <w:autoSpaceDN w:val="0"/>
        <w:spacing w:after="0" w:line="240" w:lineRule="auto"/>
        <w:ind w:left="567"/>
        <w:jc w:val="both"/>
        <w:rPr>
          <w:i/>
          <w:iCs/>
          <w:sz w:val="20"/>
          <w:szCs w:val="18"/>
        </w:rPr>
      </w:pPr>
      <w:r>
        <w:t xml:space="preserve">23. Επιπλέον, επισημαίνεται ότι το άρθρο 9, πρώτο εδάφιο, του DSF, ορίζοντας ότι «το σύστημα σταβλισμού πρέπει να είναι τέτοιο ώστε το ποσοστό θνησιμότητας και οι διαταραχές συμπεριφοράς στις όρνιθες να διατηρούνται σε χαμηλά επίπεδα», χωρίς καμία άλλη ένδειξη, απλώς αναφέρει γενικούς σκοπούς σχετικά με την καλή διαβίωση των ορνίθων για την παραγωγή αυγών, χωρίς να αναφέρεται κατ’ ανάγκη στο οικείο προϊόν και, επομένως, χωρίς να καθορίζει τα χαρακτηριστικά του προϊόντος αυτού (βλ., κατ’ αναλογία, απόφαση Intercommunale Intermosane και Fédération de l’Industrie et du gaz, C-361/10, σκέψη 17)».</w:t>
      </w:r>
    </w:p>
    <w:p w14:paraId="6C0651D1" w14:textId="77777777">
      <w:pPr>
        <w:pStyle w:val="P68B1DB1-Normal14"/>
        <w:widowControl w:val="0"/>
        <w:autoSpaceDE w:val="0"/>
        <w:autoSpaceDN w:val="0"/>
        <w:spacing w:after="0" w:line="240" w:lineRule="auto"/>
        <w:ind w:left="567"/>
        <w:jc w:val="both"/>
      </w:pPr>
    </w:p>
    <w:p w14:paraId="497D9E29" w14:textId="02A14E4D">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1" w:history="1">
        <w:r>
          <w:rPr>
            <w:color w:val="0000FF"/>
            <w:u w:val="single"/>
          </w:rPr>
          <w:t xml:space="preserve">Απόφαση της 27 Οκτωβρίου 2016</w:t>
        </w:r>
      </w:hyperlink>
      <w:r>
        <w:t xml:space="preserve"> στην υπόθεση C-613/14, James Elliott Construction, σκέψη 67.</w:t>
      </w:r>
      <w:bookmarkEnd w:id="36"/>
    </w:p>
    <w:p w14:paraId="73295FA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546DAC4" w14:textId="10617266">
      <w:pPr>
        <w:pStyle w:val="P68B1DB1-P68B1DB1-Normal135"/>
        <w:widowControl w:val="0"/>
        <w:tabs>
          <w:tab w:val="left" w:pos="430"/>
        </w:tabs>
        <w:autoSpaceDE w:val="0"/>
        <w:autoSpaceDN w:val="0"/>
        <w:spacing w:after="0" w:line="240" w:lineRule="auto"/>
        <w:jc w:val="both"/>
        <w:rPr>
          <w:b w:val="0"/>
          <w:bCs/>
          <w:i w:val="0"/>
          <w:iCs/>
        </w:rPr>
      </w:pPr>
      <w:r>
        <w:t xml:space="preserve">Οι εθνικές διατάξεις που καθορίζουν σιωπηρώς συμβατικούς όρους σχετικά με την ποιότητα των πωλούμενων προϊόντων δεν συνιστούν «τεχνικές προδιαγραφές», διότι δεν καθορίζουν τα χαρακτηριστικά του υπό εξέταση προϊόντος.</w:t>
      </w:r>
    </w:p>
    <w:p w14:paraId="6818C835" w14:textId="77777777">
      <w:pPr>
        <w:pStyle w:val="P68B1DB1-Normal14"/>
        <w:widowControl w:val="0"/>
        <w:tabs>
          <w:tab w:val="left" w:pos="430"/>
        </w:tabs>
        <w:autoSpaceDE w:val="0"/>
        <w:autoSpaceDN w:val="0"/>
        <w:spacing w:after="0" w:line="240" w:lineRule="auto"/>
        <w:jc w:val="both"/>
        <w:rPr>
          <w:i/>
          <w:iCs/>
          <w:sz w:val="20"/>
          <w:szCs w:val="18"/>
        </w:rPr>
      </w:pPr>
    </w:p>
    <w:p w14:paraId="63638539" w14:textId="7DA96F1E">
      <w:pPr>
        <w:pStyle w:val="P68B1DB1-P68B1DB1-Normal147"/>
        <w:widowControl w:val="0"/>
        <w:tabs>
          <w:tab w:val="left" w:pos="430"/>
        </w:tabs>
        <w:autoSpaceDE w:val="0"/>
        <w:autoSpaceDN w:val="0"/>
        <w:spacing w:after="0" w:line="240" w:lineRule="auto"/>
        <w:ind w:left="567"/>
        <w:jc w:val="both"/>
        <w:rPr>
          <w:i/>
          <w:iCs/>
          <w:sz w:val="20"/>
          <w:szCs w:val="18"/>
        </w:rPr>
      </w:pPr>
      <w:r>
        <w:t>«</w:t>
      </w:r>
      <w:bookmarkStart w:id="37" w:name="point67"/>
      <w:r>
        <w:t>67</w:t>
      </w:r>
      <w:bookmarkEnd w:id="37"/>
      <w:r>
        <w:t xml:space="preserve">. Εν προκειμένω, αφενός, διατάξεις όπως οι επίμαχες στην κύρια δίκη, είτε αυτές καθεαυτές είτε όπως ερμηνεύονται από τα ιρλανδικά δικαστήρια, δεν εμπίπτουν στην έννοια της «τεχνικής προδιαγραφής» κατά το άρθρο 1 παράγραφος 3, της οδηγίας 98/34. Η έννοια αυτή καλύπτει μόνον τα εθνικά μέτρα που αφορούν ένα προϊόν ή τη συσκευασία του καθαυτό και, ως εκ τούτου, καθορίζουν ένα από τα απαιτούμενα χαρακτηριστικά ενός προϊόντος (απόφαση της 10 Ιουλίου 2014, Ivansson κ.λπ.,</w:t>
        <w:noBreakHyphen/>
        <w:t xml:space="preserve">C 307/13, σκέψη 19 και εκεί μνημονευόμενη νομολογία). Αυτό σαφώς δεν συμβαίνει στην περίπτωση απαίτησης που ισχύει, εκτός εάν τα μέρη έχουν συμφωνήσει διαφορετικά, γενικά για την πώληση όλων των προϊόντων.»</w:t>
      </w:r>
    </w:p>
    <w:p w14:paraId="7BFACEDE" w14:textId="77777777">
      <w:pPr>
        <w:spacing w:after="0" w:line="240" w:lineRule="auto"/>
      </w:pPr>
    </w:p>
    <w:p w14:paraId="5FDF21D1" w14:textId="0085E992">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2" w:history="1">
        <w:r>
          <w:rPr>
            <w:color w:val="0000FF"/>
            <w:u w:val="single"/>
          </w:rPr>
          <w:t xml:space="preserve">Απόφαση της 1 Φεβρουαρίου 2017</w:t>
        </w:r>
      </w:hyperlink>
      <w:r>
        <w:t xml:space="preserve"> στην υπόθεση C-144/16, Município de Palmela, σκέψη 30.</w:t>
      </w:r>
      <w:bookmarkEnd w:id="38"/>
    </w:p>
    <w:p w14:paraId="0E2142D8" w14:textId="77777777">
      <w:pPr>
        <w:widowControl w:val="0"/>
        <w:tabs>
          <w:tab w:val="left" w:pos="396"/>
          <w:tab w:val="left" w:pos="435"/>
        </w:tabs>
        <w:autoSpaceDE w:val="0"/>
        <w:autoSpaceDN w:val="0"/>
        <w:spacing w:after="0" w:line="240" w:lineRule="auto"/>
        <w:jc w:val="both"/>
        <w:rPr>
          <w:rFonts w:ascii="Times New Roman" w:hAnsi="Times New Roman" w:cs="Times New Roman" w:eastAsia="Times New Roman"/>
          <w:szCs w:val="20"/>
        </w:rPr>
      </w:pPr>
    </w:p>
    <w:p w14:paraId="2D0E0BDF" w14:textId="77777777">
      <w:pPr>
        <w:pStyle w:val="P68B1DB1-P68B1DB1-Normal135"/>
        <w:widowControl w:val="0"/>
        <w:tabs>
          <w:tab w:val="left" w:pos="396"/>
          <w:tab w:val="left" w:pos="399"/>
        </w:tabs>
        <w:autoSpaceDE w:val="0"/>
        <w:autoSpaceDN w:val="0"/>
        <w:spacing w:after="0" w:line="240" w:lineRule="auto"/>
        <w:jc w:val="both"/>
        <w:rPr>
          <w:b w:val="0"/>
          <w:bCs/>
          <w:i w:val="0"/>
          <w:iCs/>
        </w:rPr>
      </w:pPr>
      <w:r>
        <w:t xml:space="preserve">Κανονισμός ο οποίος επιβάλλει την αναγραφή, σε χώρο αναψυχής, πληροφοριών σχετικά με τη μέγιστη χωρητικότητα της περιοχής αυτής δεν συνιστά «τεχνική προδιαγραφή», διότι δεν καθορίζει τα χαρακτηριστικά ενός προϊόντος.</w:t>
      </w:r>
    </w:p>
    <w:p w14:paraId="0EEA34B8"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i/>
          <w:iCs/>
          <w:sz w:val="20"/>
          <w:szCs w:val="16"/>
        </w:rPr>
      </w:pPr>
    </w:p>
    <w:p w14:paraId="49F52DFE" w14:textId="22C34708">
      <w:pPr>
        <w:pStyle w:val="P68B1DB1-P68B1DB1-Normal147"/>
        <w:widowControl w:val="0"/>
        <w:autoSpaceDE w:val="0"/>
        <w:autoSpaceDN w:val="0"/>
        <w:spacing w:after="0" w:line="240" w:lineRule="auto"/>
        <w:ind w:left="567"/>
        <w:jc w:val="both"/>
        <w:rPr>
          <w:i/>
          <w:iCs/>
          <w:sz w:val="20"/>
          <w:szCs w:val="18"/>
        </w:rPr>
      </w:pPr>
      <w:r>
        <w:t xml:space="preserve">«30. [...] μια τέτοια διάταξη δεν εμπίπτει στην κατηγορία των τεχνικών προδιαγραφών κατά την έννοια του άρθρου 1 παράγραφος 3, της οδηγίας 98/34, στο μέτρο που δεν αμφισβητείται ότι οι διατάξεις που καθορίζουν τις απαιτήσεις και τους γενικούς σκοπούς ασφάλειας και προστασίας, χωρίς να αναφέρονται κατ’ ανάγκη στο οικείο προϊόν ή στη συσκευασία του και, επομένως, χωρίς να καθορίζουν τα χαρακτηριστικά του προϊόντος αυτού, δεν συνιστούν τεχνικές προδιαγραφές (πρβλ. απόφαση της 9 Ιουνίου 2011, Intercommunale Intermosane και Fédération de l’industrie et du gaz, C-361/10, σκέψεις 17 και 18).»</w:t>
      </w:r>
    </w:p>
    <w:p w14:paraId="5DF2371F" w14:textId="77777777">
      <w:pPr>
        <w:spacing w:after="0" w:line="240" w:lineRule="auto"/>
      </w:pPr>
    </w:p>
    <w:p w14:paraId="303995E7" w14:textId="23CEFD0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3" w:history="1">
        <w:r>
          <w:rPr>
            <w:color w:val="0000FF"/>
            <w:u w:val="single"/>
          </w:rPr>
          <w:t xml:space="preserve">Απόφαση της 26 Σεπτεμβρίου 2018</w:t>
        </w:r>
      </w:hyperlink>
      <w:r>
        <w:t xml:space="preserve"> στην υπόθεση C-137/17, Van Gennip κ.λπ., σκέψη 38</w:t>
      </w:r>
      <w:bookmarkEnd w:id="39"/>
    </w:p>
    <w:p w14:paraId="2C38792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D8C12BA" w14:textId="71921C3D">
      <w:pPr>
        <w:widowControl w:val="0"/>
        <w:tabs>
          <w:tab w:val="left" w:pos="404"/>
        </w:tabs>
        <w:autoSpaceDE w:val="0"/>
        <w:autoSpaceDN w:val="0"/>
        <w:spacing w:after="0" w:line="240" w:lineRule="auto"/>
        <w:jc w:val="both"/>
        <w:rPr>
          <w:rFonts w:ascii="Times New Roman" w:hAnsi="Times New Roman" w:cs="Times New Roman" w:eastAsia="Times New Roman"/>
          <w:szCs w:val="20"/>
        </w:rPr>
        <w:pStyle w:val="P68B1DB1-Normal14"/>
      </w:pPr>
      <w:r>
        <w:t xml:space="preserve">Εθνικές διατάξεις που εξαρτούν την εμπορία προϊόντων από την προϋπόθεση ότι ο αγοραστής διαθέτει άδεια δεν εμπίπτουν στην έννοια της «τεχνικής προδιαγραφής», δεδομένου ότι δεν καθορίζουν τα χαρακτηριστικά του ίδιου του προϊόντος ή της συσκευασίας του.</w:t>
      </w:r>
    </w:p>
    <w:p w14:paraId="51B72955" w14:textId="77777777">
      <w:pPr>
        <w:widowControl w:val="0"/>
        <w:tabs>
          <w:tab w:val="left" w:pos="404"/>
        </w:tabs>
        <w:autoSpaceDE w:val="0"/>
        <w:autoSpaceDN w:val="0"/>
        <w:spacing w:after="0" w:line="240" w:lineRule="auto"/>
        <w:jc w:val="both"/>
        <w:rPr>
          <w:rFonts w:ascii="Times New Roman" w:hAnsi="Times New Roman" w:cs="Times New Roman" w:eastAsia="Times New Roman"/>
          <w:sz w:val="20"/>
          <w:szCs w:val="18"/>
        </w:rPr>
      </w:pPr>
    </w:p>
    <w:p w14:paraId="7AB991D2" w14:textId="4B88FB97">
      <w:pPr>
        <w:pStyle w:val="P68B1DB1-P68B1DB1-Normal147"/>
        <w:widowControl w:val="0"/>
        <w:tabs>
          <w:tab w:val="left" w:pos="404"/>
        </w:tabs>
        <w:autoSpaceDE w:val="0"/>
        <w:autoSpaceDN w:val="0"/>
        <w:spacing w:after="0" w:line="240" w:lineRule="auto"/>
        <w:ind w:left="567"/>
        <w:jc w:val="both"/>
        <w:rPr>
          <w:i/>
          <w:iCs/>
          <w:sz w:val="20"/>
          <w:szCs w:val="18"/>
        </w:rPr>
      </w:pPr>
      <w:r>
        <w:t>«</w:t>
      </w:r>
      <w:bookmarkStart w:id="40" w:name="point38"/>
      <w:r>
        <w:t>38</w:t>
      </w:r>
      <w:bookmarkEnd w:id="40"/>
      <w:r>
        <w:t xml:space="preserve">. Όσον αφορά, πρώτον, την έννοια της «τεχνικής προδιαγραφής», υπενθυμίζεται ότι η έννοια αυτή προϋποθέτει ότι το εθνικό μέτρο αφορά κατ’ ανάγκην το προϊόν ή τη συσκευασία του και, ως εκ τούτου, καθορίζει ένα από τα απαιτούμενα χαρακτηριστικά ενός προϊόντος, όπως οι διαστάσεις, η ονομασία πώλησης, η επισήμανση ή η σήμανση (απόφαση της 10 Ιουλίου 2014, Ivansson κ.λπ., C 307/13</w:t>
        <w:noBreakHyphen/>
        <w:t xml:space="preserve">, σκέψη 19 και εκεί μνημονευόμενη νομολογία). Όπως, όμως, ανέφερε ο γενικός εισαγγελέας στο σημείο 74 των προτάσεών του, η βελγική κανονιστική ρύθμιση δεν αφορά τα ίδια τα είδη πυροτεχνίας ή τη συσκευασία τους, και επομένως η ρύθμιση αυτή δεν καθορίζει κάποιο από τα απαιτούμενα χαρακτηριστικά των εν λόγω προϊόντων. Επομένως, η ρύθμιση αυτή δεν συνιστά «τεχνική προδιαγραφή», κατά την έννοια του άρθρου 1, σημείο 3, της οδηγίας 98/34.»</w:t>
      </w:r>
    </w:p>
    <w:p w14:paraId="3C1C0D5D" w14:textId="77777777">
      <w:pPr>
        <w:spacing w:after="0" w:line="240" w:lineRule="auto"/>
      </w:pPr>
    </w:p>
    <w:p w14:paraId="1B398E2A" w14:textId="0E921DB9">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4" w:anchor="ctx1" w:history="1">
        <w:r>
          <w:rPr>
            <w:color w:val="0000FF"/>
            <w:u w:val="single"/>
          </w:rPr>
          <w:t xml:space="preserve">Απόφαση της 28 Μαΐου 2020</w:t>
        </w:r>
      </w:hyperlink>
      <w:r>
        <w:t xml:space="preserve"> στην υπόθεση C-727/17, ECO-WIND Construction, σκέψεις 36 και 37</w:t>
      </w:r>
      <w:bookmarkEnd w:id="41"/>
    </w:p>
    <w:p w14:paraId="0A0FB1E2" w14:textId="77777777">
      <w:pPr>
        <w:widowControl w:val="0"/>
        <w:autoSpaceDE w:val="0"/>
        <w:autoSpaceDN w:val="0"/>
        <w:spacing w:after="0" w:line="240" w:lineRule="auto"/>
        <w:jc w:val="both"/>
        <w:rPr>
          <w:rFonts w:ascii="Times New Roman" w:hAnsi="Times New Roman" w:cs="Times New Roman" w:eastAsia="Times New Roman"/>
          <w:szCs w:val="20"/>
        </w:rPr>
      </w:pPr>
    </w:p>
    <w:p w14:paraId="1727EFAA" w14:textId="2501EFD3">
      <w:pPr>
        <w:pStyle w:val="P68B1DB1-P68B1DB1-Normal135"/>
        <w:widowControl w:val="0"/>
        <w:autoSpaceDE w:val="0"/>
        <w:autoSpaceDN w:val="0"/>
        <w:spacing w:after="0" w:line="240" w:lineRule="auto"/>
        <w:jc w:val="both"/>
        <w:rPr>
          <w:b w:val="0"/>
          <w:bCs/>
          <w:i w:val="0"/>
          <w:iCs/>
        </w:rPr>
      </w:pPr>
      <w:r>
        <w:t xml:space="preserve">Κανονισμός που επιβάλλει ελάχιστη απόσταση για την εγκατάσταση ανεμογεννητριών δεν συνιστά «τεχνική προδιαγραφή», δεδομένου ότι δεν καθορίζει τα χαρακτηριστικά του προϊόντος. </w:t>
      </w:r>
    </w:p>
    <w:p w14:paraId="722207F3" w14:textId="77777777">
      <w:pPr>
        <w:widowControl w:val="0"/>
        <w:autoSpaceDE w:val="0"/>
        <w:autoSpaceDN w:val="0"/>
        <w:spacing w:after="0" w:line="240" w:lineRule="auto"/>
        <w:jc w:val="both"/>
        <w:rPr>
          <w:rFonts w:ascii="Times New Roman" w:hAnsi="Times New Roman" w:cs="Times New Roman" w:eastAsia="Times New Roman"/>
          <w:szCs w:val="20"/>
        </w:rPr>
      </w:pPr>
    </w:p>
    <w:p w14:paraId="1E97E227" w14:textId="71BD8F6B">
      <w:pPr>
        <w:pStyle w:val="P68B1DB1-P68B1DB1-Normal1820"/>
        <w:widowControl w:val="0"/>
        <w:autoSpaceDE w:val="0"/>
        <w:autoSpaceDN w:val="0"/>
        <w:spacing w:after="0" w:line="240" w:lineRule="auto"/>
        <w:ind w:left="567"/>
        <w:jc w:val="both"/>
        <w:rPr>
          <w:sz w:val="18"/>
          <w:szCs w:val="18"/>
        </w:rPr>
      </w:pPr>
      <w:r>
        <w:t xml:space="preserve">«36. [...] όσον αφορά τον ενδεχόμενο χαρακτηρισμό της ίδιας απαιτήσεως ως τεχνικού κανόνα βάσει του ότι εμπίπτει στην κατηγορία των «τεχνικών προδιαγραφών», πρέπει να υπομνησθεί ότι μια τεχνική προδιαγραφή προϋποθέτει ότι το εθνικό μέτρο που την προβλέπει αφορά το προϊόν ή τη συσκευασία του και ότι, ως εκ τούτου, καθορίζει ένα από τα απαιτούμενα χαρακτηριστικά του προϊόντος αυτού (αποφάσεις της 21 Απριλίου 2005, Lindberg, C-267/03, σκέψη 57, και της 19 Ιουλίου 2012, Fortuna κ.λπ., C-213/11, C-214/11 και C-217/11, σκέψη 28).</w:t>
      </w:r>
    </w:p>
    <w:p w14:paraId="43CBA2CC" w14:textId="77777777">
      <w:pPr>
        <w:pStyle w:val="P68B1DB1-Normal18"/>
        <w:widowControl w:val="0"/>
        <w:autoSpaceDE w:val="0"/>
        <w:autoSpaceDN w:val="0"/>
        <w:spacing w:after="0" w:line="240" w:lineRule="auto"/>
        <w:ind w:left="567"/>
        <w:jc w:val="both"/>
        <w:rPr>
          <w:sz w:val="18"/>
          <w:szCs w:val="18"/>
        </w:rPr>
      </w:pPr>
    </w:p>
    <w:p w14:paraId="76314186" w14:textId="0AD1E5B8">
      <w:pPr>
        <w:pStyle w:val="P68B1DB1-P68B1DB1-Normal1820"/>
        <w:widowControl w:val="0"/>
        <w:autoSpaceDE w:val="0"/>
        <w:autoSpaceDN w:val="0"/>
        <w:spacing w:after="0" w:line="240" w:lineRule="auto"/>
        <w:ind w:left="567"/>
        <w:jc w:val="both"/>
        <w:rPr>
          <w:iCs/>
          <w:sz w:val="18"/>
          <w:szCs w:val="18"/>
        </w:rPr>
      </w:pPr>
      <w:r>
        <w:t xml:space="preserve">37. Εν προκειμένω όμως, η επίμαχη στην υπόθεση της κύριας δίκης κανονιστική ρύθμιση περιορίζεται στη ρύθμιση της χωροθέτησης των ανεμογεννητριών καθορίζοντας όρια ελάχιστων αποστάσεων που επιβάλλεται να τηρούνται για την εγκατάστασή τους. Κατά συνέπεια, η νομοθεσία αυτή δεν αναφέρεται σε προϊόν αυτό καθεαυτό, εν προκειμένω στην ανεμογεννήτρια, και, ως εκ τούτου, δεν προβλέπει κάποιο από τα απαιτούμενα χαρακτηριστικά του προϊόντος αυτού κατά την έννοια του άρθρου 1 παράγραφος στοιχείο στ) ́, της οδηγίας 2015/1535, ερμηνευόμενου υπό το πρίσμα του άρθρου 1 παράγραφος στοιχείο γ) ́, της οδηγίας αυτής.»</w:t>
      </w:r>
    </w:p>
    <w:p w14:paraId="5AABB494" w14:textId="77777777">
      <w:pPr>
        <w:spacing w:after="0" w:line="240" w:lineRule="auto"/>
      </w:pPr>
    </w:p>
    <w:p w14:paraId="083B7832" w14:textId="56CC78C4">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5" w:history="1">
        <w:r>
          <w:rPr>
            <w:color w:val="0000FF"/>
            <w:u w:val="single"/>
          </w:rPr>
          <w:t xml:space="preserve">Απόφαση της 22 Οκτωβρίου 2020</w:t>
        </w:r>
      </w:hyperlink>
      <w:r>
        <w:t xml:space="preserve"> στην υπόθεση C-275/19, Sportingbet και Internet Opportunity Entertainment, σκέψεις 42 και 43.</w:t>
      </w:r>
      <w:bookmarkEnd w:id="42"/>
    </w:p>
    <w:p w14:paraId="6C7ED54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8C7F634" w14:textId="48937F16">
      <w:pPr>
        <w:widowControl w:val="0"/>
        <w:autoSpaceDE w:val="0"/>
        <w:autoSpaceDN w:val="0"/>
        <w:spacing w:after="0" w:line="240" w:lineRule="auto"/>
        <w:jc w:val="both"/>
        <w:outlineLvl w:val="1"/>
        <w:rPr>
          <w:rFonts w:ascii="Times New Roman" w:hAnsi="Times New Roman" w:cs="Times New Roman" w:eastAsia="Times New Roman"/>
          <w:szCs w:val="20"/>
        </w:rPr>
        <w:pStyle w:val="P68B1DB1-Normal14"/>
      </w:pPr>
      <w:bookmarkStart w:id="43" w:name="_Toc198043809"/>
      <w:r>
        <w:t xml:space="preserve">Εθνική ρύθμιση η οποία επιφυλάσσει την εκμετάλλευση τυχηρών παιγνίων στο κράτος και επιβάλλει τη χορήγηση αδειών μόνο σε δημόσιες επιχειρήσεις δεν αποτελεί «τεχνική προδιαγραφή», δεδομένου ότι δεν καθορίζει τα απαιτούμενα χαρακτηριστικά ενός προϊόντος.</w:t>
      </w:r>
      <w:bookmarkEnd w:id="43"/>
    </w:p>
    <w:p w14:paraId="0A3D0FC5" w14:textId="77777777">
      <w:pPr>
        <w:widowControl w:val="0"/>
        <w:autoSpaceDE w:val="0"/>
        <w:autoSpaceDN w:val="0"/>
        <w:spacing w:after="0" w:line="240" w:lineRule="auto"/>
        <w:jc w:val="both"/>
        <w:outlineLvl w:val="1"/>
        <w:rPr>
          <w:rFonts w:ascii="Times New Roman" w:hAnsi="Times New Roman" w:cs="Times New Roman" w:eastAsia="Times New Roman"/>
          <w:szCs w:val="20"/>
        </w:rPr>
      </w:pPr>
    </w:p>
    <w:p w14:paraId="6392BB1A" w14:textId="67B2E488">
      <w:pPr>
        <w:pStyle w:val="P68B1DB1-P68B1DB1-Normal147"/>
        <w:widowControl w:val="0"/>
        <w:autoSpaceDE w:val="0"/>
        <w:autoSpaceDN w:val="0"/>
        <w:spacing w:after="0" w:line="240" w:lineRule="auto"/>
        <w:ind w:left="567"/>
        <w:jc w:val="both"/>
        <w:outlineLvl w:val="1"/>
        <w:rPr>
          <w:i/>
          <w:iCs/>
          <w:sz w:val="20"/>
          <w:szCs w:val="18"/>
        </w:rPr>
      </w:pPr>
      <w:bookmarkStart w:id="44" w:name="_Toc198043810"/>
      <w:r>
        <w:t xml:space="preserve">«42. Κατά το άρθρο 1 παράγραφος 1, της οδηγίας 83/189, ως «τεχνική προδιαγραφή», κατά την έννοια της οδηγίας αυτής, νοείται η προδιαγραφή που περιέχεται σε έγγραφο το οποίο καθορίζει τα απαιτούμενα χαρακτηριστικά ενός προϊόντος, όπως τα επίπεδα ποιότητας, οι επιδόσεις, η ασφάλεια ή οι διαστάσεις του, συμπεριλαμβανομένων των απαιτήσεων που ισχύουν για το προϊόν όσον αφορά την ορολογία, τα σύμβολα, τις δοκιμές και τις μεθόδους δοκιμής, τη συσκευασία, τη σήμανση ή την τοποθέτηση ετικετών (πρβλ. απόφαση της 8 Μαρτίου 2001, van der Burg, C-278/99, σκέψη 20).</w:t>
      </w:r>
      <w:bookmarkEnd w:id="44"/>
    </w:p>
    <w:p w14:paraId="0F20B9AD" w14:textId="77777777">
      <w:pPr>
        <w:pStyle w:val="P68B1DB1-Normal14"/>
        <w:widowControl w:val="0"/>
        <w:autoSpaceDE w:val="0"/>
        <w:autoSpaceDN w:val="0"/>
        <w:spacing w:after="0" w:line="240" w:lineRule="auto"/>
        <w:ind w:left="567"/>
        <w:jc w:val="both"/>
        <w:outlineLvl w:val="1"/>
        <w:rPr>
          <w:i/>
          <w:iCs/>
          <w:sz w:val="20"/>
          <w:szCs w:val="18"/>
        </w:rPr>
      </w:pPr>
    </w:p>
    <w:p w14:paraId="757FE488" w14:textId="2F0812B7">
      <w:pPr>
        <w:pStyle w:val="P68B1DB1-P68B1DB1-Normal147"/>
        <w:widowControl w:val="0"/>
        <w:autoSpaceDE w:val="0"/>
        <w:autoSpaceDN w:val="0"/>
        <w:spacing w:after="0" w:line="240" w:lineRule="auto"/>
        <w:ind w:left="567"/>
        <w:jc w:val="both"/>
        <w:outlineLvl w:val="1"/>
        <w:rPr>
          <w:i/>
          <w:iCs/>
          <w:sz w:val="20"/>
          <w:szCs w:val="18"/>
        </w:rPr>
      </w:pPr>
      <w:bookmarkStart w:id="45" w:name="_Toc198043811"/>
      <w:r>
        <w:t xml:space="preserve">43. Δεδομένου ότι τα άρθρα 3 και 9 του νομοθετικού διατάγματος 422/89 προβλέπουν κανόνες παραχωρήσεως για την εκμετάλλευση τυχηρών παιγνίων καθώς και τους όρους και τις ζώνες ασκήσεως της δραστηριότητας αυτής, δεν προκύπτει ότι οι διατάξεις αυτές αφορούν τα χαρακτηριστικά που απαιτούνται για ένα προϊόν, κατά την έννοια του άρθρου 1 παράγραφος 1, της οδηγίας 83/189, οπότε δεν μπορούν να χαρακτηριστούν ως «τεχνικοί κανόνες» κατά την έννοια του άρθρου 1 παράγραφος 5, της οδηγίας αυτής.»</w:t>
      </w:r>
      <w:bookmarkEnd w:id="45"/>
    </w:p>
    <w:p w14:paraId="317449EC" w14:textId="20C2AD43">
      <w:pPr>
        <w:spacing w:after="0" w:line="240" w:lineRule="auto"/>
      </w:pPr>
      <w:r>
        <w:br w:type="page"/>
      </w:r>
    </w:p>
    <w:p w14:paraId="5544B741" w14:textId="1E79FEAA">
      <w:pPr>
        <w:pStyle w:val="P68B1DB1-Heading24"/>
        <w:numPr>
          <w:ilvl w:val="0"/>
          <w:numId w:val="35"/>
        </w:numPr>
        <w:spacing w:before="0" w:after="0"/>
        <w:jc w:val="center"/>
        <w:rPr>
          <w:bCs/>
          <w:color w:val="auto"/>
        </w:rPr>
      </w:pPr>
      <w:bookmarkStart w:id="46" w:name="_Ref194484250"/>
      <w:bookmarkStart w:id="47" w:name="_Toc203035668"/>
      <w:r>
        <w:t xml:space="preserve">Άλλες απαιτήσεις</w:t>
      </w:r>
      <w:bookmarkEnd w:id="46"/>
      <w:bookmarkEnd w:id="47"/>
    </w:p>
    <w:p w14:paraId="48370E42" w14:textId="77777777">
      <w:pPr>
        <w:pStyle w:val="BodyText"/>
      </w:pPr>
    </w:p>
    <w:p w14:paraId="032AC50F" w14:textId="77777777">
      <w:pPr>
        <w:pStyle w:val="P68B1DB1-BodyText11"/>
        <w:ind w:left="567"/>
        <w:rPr>
          <w:i/>
        </w:rPr>
      </w:pPr>
      <w:r>
        <w:t xml:space="preserve">«“άλλες απαιτήσεις”: απαίτηση, εκτός των τεχνικών προδιαγραφών, η οποία επιβάλλεται σε ένα προϊόν με σκοπό την προστασία, ιδίως, των καταναλωτών ή του περιβάλλοντος, και η οποία επηρεάζει τον κύκλο ζωής του προϊόντος μετά τη διάθεσή του στην αγορά, όπως οι συνθήκες χρήσης, ανακύκλωσης, επαναχρησιμοποίησης ή διάθεσης, όταν οι συνθήκες αυτές μπορούν να επηρεάσουν σημαντικά τη σύνθεση ή τη φύση του προϊόντος ή την εμπορία του·»</w:t>
      </w:r>
    </w:p>
    <w:p w14:paraId="1AD68414" w14:textId="77777777">
      <w:pPr>
        <w:pStyle w:val="BodyText"/>
        <w:ind w:left="567"/>
        <w:rPr>
          <w:i/>
          <w:iCs/>
        </w:rPr>
      </w:pPr>
    </w:p>
    <w:p w14:paraId="3295AC84" w14:textId="258D2B2D">
      <w:pPr>
        <w:pStyle w:val="BodyText"/>
        <w:ind w:left="1440"/>
        <w:jc w:val="right"/>
      </w:pPr>
      <w:r>
        <w:t xml:space="preserve">(Άρθρο 1 παράγραφος στοιχείο δ) της οδηγίας (ΕΕ) 2015/1535)</w:t>
      </w:r>
    </w:p>
    <w:p w14:paraId="330805BE" w14:textId="77777777">
      <w:pPr>
        <w:spacing w:after="0" w:line="240" w:lineRule="auto"/>
      </w:pPr>
    </w:p>
    <w:p w14:paraId="55D10FEE" w14:textId="55169F6A">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6" w:history="1">
        <w:r>
          <w:rPr>
            <w:color w:val="0000FF"/>
            <w:u w:val="single"/>
          </w:rPr>
          <w:t xml:space="preserve">Απόφαση της 21 Απριλίου 2005</w:t>
        </w:r>
      </w:hyperlink>
      <w:r>
        <w:t xml:space="preserve"> στην υπόθεση C-267/03, Lindberg, σκέψεις 68 έως 78</w:t>
      </w:r>
      <w:bookmarkEnd w:id="48"/>
    </w:p>
    <w:p w14:paraId="505D095B"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C3CD77B" w14:textId="14D45A80">
      <w:pPr>
        <w:pStyle w:val="P68B1DB1-P68B1DB1-Normal135"/>
        <w:widowControl w:val="0"/>
        <w:tabs>
          <w:tab w:val="left" w:pos="396"/>
          <w:tab w:val="left" w:pos="425"/>
        </w:tabs>
        <w:autoSpaceDE w:val="0"/>
        <w:autoSpaceDN w:val="0"/>
        <w:spacing w:after="0" w:line="240" w:lineRule="auto"/>
        <w:jc w:val="both"/>
        <w:rPr>
          <w:b w:val="0"/>
          <w:bCs/>
          <w:i w:val="0"/>
          <w:iCs/>
        </w:rPr>
      </w:pPr>
      <w:r>
        <w:t xml:space="preserve">Η εθνική απαγόρευση ορισμένων τυχηρών παιγνίων μπορεί να χαρακτηριστεί ως «άλλη απαίτηση» αν είναι ικανή να επηρεάσει τη σύνθεση, τη φύση ή την εμπορία του προϊόντος. Ωστόσο, εάν η απαγόρευση δεν αφήνει περιθώρια για τη χρήση του προϊόντος, θα περιγράφεται ως διάταξη απαγόρευσης (βλ. μέρος I, τμήμα ε. «Διατάξεις απαγόρευσης» του παρόντος εγγράφου).</w:t>
      </w:r>
    </w:p>
    <w:p w14:paraId="652340FB"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1480B8F9" w14:textId="6F01164B">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«68. [...] πρέπει να γίνει δεκτό ότι ένα εθνικό μέτρο, όπως η επίμαχη στην κύρια δίκη απαγόρευση, φαίνεται να καλύπτεται ειδικώς από τον όρο «άλλες απαιτήσεις» που εισήγαγε η οδηγία 94/10 στην οδηγία 83/189 προκειμένου να διευρύνει το πεδίο εφαρμογής του και ότι, ως εκ τούτου, δεν εμπίπτει στην κατηγορία των τεχνικών προδιαγραφών.</w:t>
      </w:r>
    </w:p>
    <w:p w14:paraId="2944EF7E"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54A46FBE" w14:textId="533DD288">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69. Πρόκειται, συγκεκριμένα, για μια υποχρέωση όσον αφορά το προϊόν, ήτοι τα αυτόματα μηχανήματα παιγνίων, η οποία επιβάλλεται κυρίως για λόγους προστασίας των καταναλωτών, ήτοι των οικείων παικτών.</w:t>
      </w:r>
    </w:p>
    <w:p w14:paraId="435FA3FD"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47230431" w14:textId="24C978CF">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70. Επομένως, απαγόρευση όπως αυτή που προβλέπουν οι σχετικές διατάξεις του τροποποιηθέντος νόμου περί λαχειοφόρων αγορών αφορά τη χρήση προϊόντος κατά την έννοια του άρθρου 1 παράγραφος 9, της οδηγίας 83/189.</w:t>
      </w:r>
    </w:p>
    <w:p w14:paraId="25649921"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1F534BDA" w14:textId="11B53D06">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71. Επιπλέον, η επίμαχη στην κύρια δίκη απαίτηση δεν επιβάλλεται στις μηχανές τυχερών παιχνιδιών με σκοπό τη διάθεσή τους στην αγορά, αλλά αφορά τον κύκλο ζωής τους μετά τη διάθεσή τους στην αγορά κατά την έννοια του ορισμού των «άλλων απαιτήσεων» του άρθρου 1 παράγραφος 3, της οδηγίας 83/189.</w:t>
      </w:r>
    </w:p>
    <w:p w14:paraId="59919AE6"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41F045F1" w14:textId="2B5F0180">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72. Για να εμπίπτει σε «άλλες απαιτήσεις» κατά την έννοια του άρθρου 1 παράγραφος 3, της οδηγίας 83/189, μια απαίτηση όπως η απαγόρευση της χρήσεως των επίμαχων στην κύρια δίκη μηχανημάτων παιγνίων πρέπει να συνιστά «προϋπόθεση», εν προκειμένω, της χρήσεως, η οποία μπορεί να επηρεάσει σημαντικά τη σύνθεση ή τη φύση του προϊόντος ή την εμπορία του.</w:t>
      </w:r>
    </w:p>
    <w:p w14:paraId="39B806F8"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63F01875" w14:textId="05AA70B3">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73. Εντούτοις, τίθεται το ερώτημα αν η απαγόρευση αυτή πρέπει να θεωρηθεί ως «προϋπόθεση» της χρήσεως του οικείου προϊόντος ή αν πρόκειται μάλλον για εθνικό μέτρο εμπίπτον στην τρίτη κατηγορία τεχνικών κανόνων του άρθρου 1 παράγραφος 9, της οδηγίας 83/189, το οποίο επίσης προστέθηκε με την οδηγία 94/10, ήτοι το μέτρο των «νομοθεσιών [...] των κρατών μελών [...] που απαγορεύουν την κατασκευή, την εισαγωγή, την εμπορία ή τη χρήση ενός προϊόντος».</w:t>
      </w:r>
    </w:p>
    <w:p w14:paraId="0CE71B78"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191591B4" w14:textId="6B2734B5">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74. Το ζήτημα σε ποια από τις δύο αυτές κατηγορίες τεχνικών κανόνων υπάγεται ένα εθνικό μέτρο όπως το επίδικο της κύριας δίκης εξαρτάται από το περιεχόμενο της απαγορεύσεως που προβλέπει το εν λόγω μέτρο.</w:t>
      </w:r>
    </w:p>
    <w:p w14:paraId="6B836853"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2B46325D" w14:textId="0B469170">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75. Συναφώς, είναι σημαντικό ότι, σε αντίθεση με τη δεύτερη κατηγορία που αποτελείται από άλλες απαιτήσεις κατά την έννοια του άρθρου 1 παράγραφος 3, η τρίτη αυτή κατηγορία τεχνικών κανόνων που ορίζεται στο άρθρο 1 παράγραφος 9, της οδηγίας 83/189 δεν περιλαμβάνει την προϋπόθεση ότι η επίμαχη απαγόρευση πρέπει να είναι ικανή να επηρεάσει σημαντικά τη σύνθεση ή τη φύση του προϊόντος ή την εμπορία του.</w:t>
      </w:r>
    </w:p>
    <w:p w14:paraId="3F06D727"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0478C3F2" w14:textId="527C7CD0">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76. Δεδομένου ότι αυτή η τρίτη κατηγορία τεχνικών κανόνων αφορά ιδίως την απαγόρευση χρησιμοποιήσεως, πρέπει να πρόκειται για μέτρα των οποίων το περιεχόμενο βαίνει σαφώς πέραν του περιορισμού ορισμένων πιθανών χρήσεων του επίδικου προϊόντος και τα οποία, επομένως, δεν περιορίζονται στον απλό περιορισμό της χρήσεως του εν λόγω προϊόντος.</w:t>
      </w:r>
    </w:p>
    <w:p w14:paraId="2801C70C"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673DF0AC" w14:textId="160B2A71">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77. Όπως επισήμανε ο γενικός εισαγγελέας με το σημείο 70 των προτάσεών του, αυτή η κατηγορία τεχνικών κανόνων αφορά ειδικότερα εθνικά μέτρα που δεν αφήνουν περιθώριο για καμία άλλη χρήση πλην των ευλόγως αναμενόμενων για το οικείο προϊόν αμιγώς περιθωριακών χρήσεων. Στο αιτούν δικαστήριο απόκειται να εξακριβώσει αν αυτό συμβαίνει στην περίπτωση της απαγορεύσεως που περιλαμβάνει η επίδικη της κύριας δίκης εθνική διάταξη.</w:t>
      </w:r>
    </w:p>
    <w:p w14:paraId="4E46E41B"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10A9AFAF" w14:textId="62EB4C43">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78. Αν αποδειχθεί, κατόπιν της εξετάσεως αυτής από το αιτούν δικαστήριο, ότι τούτο δεν συμβαίνει στην υπόθεση της κύριας δίκης, η εν λόγω εθνική διάταξη θα μπορούσε να θεωρηθεί ως «άλλη απαίτηση», δεδομένου ότι δεν αμφισβητείται ότι η τήρηση της εν λόγω απαιτήσεως είναι εκ του νόμου υποχρεωτική για τη χρήση του προϊόντος στο οικείο κράτος μέλος, κατά την έννοια του άρθρου 1 παράγραφος 9, της οδηγίας 83/189. Ωστόσο, στην περίπτωση αυτή, εναπόκειται επίσης στο αιτούν δικαστήριο να εξακριβώσει ότι η επίμαχη απαγόρευση μπορεί να επηρεάσει σημαντικά τη σύνθεση ή τη φύση του προϊόντος ή την εμπορία του κατά την έννοια του άρθρου 1 παράγραφος 3.»</w:t>
      </w:r>
    </w:p>
    <w:p w14:paraId="58C5982D" w14:textId="77777777">
      <w:pPr>
        <w:widowControl w:val="0"/>
        <w:autoSpaceDE w:val="0"/>
        <w:autoSpaceDN w:val="0"/>
        <w:spacing w:after="0" w:line="240" w:lineRule="auto"/>
        <w:jc w:val="both"/>
        <w:outlineLvl w:val="1"/>
      </w:pPr>
    </w:p>
    <w:p w14:paraId="2F6BDAC1" w14:textId="2FA8E91B">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7" w:history="1">
        <w:r>
          <w:rPr>
            <w:color w:val="0000FF"/>
            <w:u w:val="single"/>
          </w:rPr>
          <w:t xml:space="preserve">Απόφαση της 9 Ιουνίου 2011</w:t>
        </w:r>
      </w:hyperlink>
      <w:r>
        <w:t xml:space="preserve"> στην υπόθεση C-361/10, Intercommunale Intermosane και Fédération de l’industrie et du gaz, σκέψεις 20 και 21.</w:t>
      </w:r>
      <w:bookmarkEnd w:id="49"/>
    </w:p>
    <w:p w14:paraId="57B3E0E0"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2AC6C525" w14:textId="4FA3F43D">
      <w:pPr>
        <w:pStyle w:val="P68B1DB1-P68B1DB1-Normal135"/>
        <w:widowControl w:val="0"/>
        <w:autoSpaceDE w:val="0"/>
        <w:autoSpaceDN w:val="0"/>
        <w:spacing w:after="0" w:line="240" w:lineRule="auto"/>
        <w:jc w:val="both"/>
        <w:rPr>
          <w:b w:val="0"/>
          <w:bCs/>
          <w:i w:val="0"/>
          <w:iCs/>
        </w:rPr>
      </w:pPr>
      <w:r>
        <w:t xml:space="preserve">Οι εθνικές διατάξεις που καθορίζουν τις ελάχιστες προδιαγραφές για την κατασκευή ηλεκτρικών εγκαταστάσεων και την ασφάλεια των εργαζομένων δεν μπορούν να χαρακτηριστούν ως «άλλες απαιτήσεις», δεδομένου ότι η γενική φύση τους δεν επιτρέπει να επηρεάσουν σημαντικά τη σύνθεση, τη φύση ή την εμπορία των οικείων προϊόντων.</w:t>
      </w:r>
    </w:p>
    <w:p w14:paraId="2685F921" w14:textId="77777777">
      <w:pPr>
        <w:pStyle w:val="P68B1DB1-Normal14"/>
        <w:widowControl w:val="0"/>
        <w:autoSpaceDE w:val="0"/>
        <w:autoSpaceDN w:val="0"/>
        <w:spacing w:after="0" w:line="240" w:lineRule="auto"/>
        <w:ind w:left="567"/>
        <w:jc w:val="both"/>
      </w:pPr>
    </w:p>
    <w:p w14:paraId="7CB334E9" w14:textId="5A4E49E5">
      <w:pPr>
        <w:pStyle w:val="P68B1DB1-P68B1DB1-Normal147"/>
        <w:widowControl w:val="0"/>
        <w:autoSpaceDE w:val="0"/>
        <w:autoSpaceDN w:val="0"/>
        <w:spacing w:after="0" w:line="240" w:lineRule="auto"/>
        <w:ind w:left="567"/>
        <w:jc w:val="both"/>
        <w:rPr>
          <w:i/>
          <w:iCs/>
          <w:sz w:val="20"/>
          <w:szCs w:val="18"/>
        </w:rPr>
      </w:pPr>
      <w:r>
        <w:t xml:space="preserve">«20. Κατά τη νομολογία, για να χαρακτηριστούν ως «άλλες απαιτήσεις», κατά την έννοια του άρθρου 1 παράγραφος 4, της οδηγίας 98/34, οι ελάχιστες απαιτήσεις που προβλέπουν οι επίμαχες διατάξεις πρέπει να συνιστούν «όρους» ικανούς να επηρεάσουν σημαντικά τη σύνθεση ή τη φύση του οικείου προϊόντος ή την εμπορία του (βλ., υπό την έννοια αυτή, προπαρατεθείσα απόφαση Lindberg, σκέψη 72).</w:t>
      </w:r>
    </w:p>
    <w:p w14:paraId="0201CB41" w14:textId="77777777">
      <w:pPr>
        <w:pStyle w:val="P68B1DB1-Normal14"/>
        <w:widowControl w:val="0"/>
        <w:autoSpaceDE w:val="0"/>
        <w:autoSpaceDN w:val="0"/>
        <w:spacing w:after="0" w:line="240" w:lineRule="auto"/>
        <w:ind w:left="567"/>
        <w:jc w:val="both"/>
        <w:rPr>
          <w:i/>
          <w:iCs/>
          <w:sz w:val="20"/>
          <w:szCs w:val="18"/>
        </w:rPr>
      </w:pPr>
    </w:p>
    <w:p w14:paraId="19DF32CA" w14:textId="1B626E8C">
      <w:pPr>
        <w:pStyle w:val="P68B1DB1-P68B1DB1-Normal147"/>
        <w:widowControl w:val="0"/>
        <w:autoSpaceDE w:val="0"/>
        <w:autoSpaceDN w:val="0"/>
        <w:spacing w:after="0" w:line="240" w:lineRule="auto"/>
        <w:ind w:left="567"/>
        <w:jc w:val="both"/>
        <w:rPr>
          <w:bCs/>
          <w:i/>
          <w:iCs/>
          <w:sz w:val="20"/>
          <w:szCs w:val="18"/>
        </w:rPr>
      </w:pPr>
      <w:r>
        <w:t xml:space="preserve">21. Λαμβανομένου υπόψη του γενικού χαρακτήρα των εν λόγω απαιτήσεων, δεν μπορούν να συνιστούν τέτοιες προϋποθέσεις ούτε, κατά συνέπεια, να χαρακτηριστούν ως «άλλες απαιτήσεις», κατά την έννοια του άρθρου 1 παράγραφος 4, της οδηγίας.»</w:t>
      </w:r>
    </w:p>
    <w:p w14:paraId="22AC2F60" w14:textId="77777777">
      <w:pPr>
        <w:spacing w:after="0" w:line="240" w:lineRule="auto"/>
      </w:pPr>
    </w:p>
    <w:p w14:paraId="42A24500" w14:textId="38331ADD">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8" w:history="1">
        <w:r>
          <w:rPr>
            <w:color w:val="0000FF"/>
            <w:u w:val="single"/>
          </w:rPr>
          <w:t xml:space="preserve">Απόφαση της 19 Ιουλίου 2012</w:t>
        </w:r>
      </w:hyperlink>
      <w:r>
        <w:t xml:space="preserve">, Fortuna κ.λπ., C-213/11, C-214/11 και C-217/11, σκέψεις 35, 36 και 40</w:t>
      </w:r>
      <w:bookmarkEnd w:id="50"/>
    </w:p>
    <w:p w14:paraId="663DE3A5"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F531831" w14:textId="1178CA17">
      <w:pPr>
        <w:pStyle w:val="P68B1DB1-P68B1DB1-Normal135"/>
        <w:widowControl w:val="0"/>
        <w:tabs>
          <w:tab w:val="left" w:pos="451"/>
        </w:tabs>
        <w:autoSpaceDE w:val="0"/>
        <w:autoSpaceDN w:val="0"/>
        <w:spacing w:after="0" w:line="240" w:lineRule="auto"/>
        <w:jc w:val="both"/>
        <w:rPr>
          <w:b w:val="0"/>
          <w:bCs/>
          <w:i w:val="0"/>
          <w:iCs/>
        </w:rPr>
      </w:pPr>
      <w:r>
        <w:t xml:space="preserve">Οι εθνικές διατάξεις που περιορίζουν τη λειτουργία μηχανών τυχερών παιχνιδιών εκτός των καζίνων μπορούν να χαρακτηριστούν ως «άλλες απαιτήσεις» και, ως εκ τούτου, ως «τεχνικοί κανόνες», εφόσον επηρεάζουν σημαντικά τη φύση ή την εμπορία των οικείων προϊόντων. </w:t>
      </w:r>
    </w:p>
    <w:p w14:paraId="61D3F52D" w14:textId="77777777">
      <w:pPr>
        <w:widowControl w:val="0"/>
        <w:tabs>
          <w:tab w:val="left" w:pos="451"/>
        </w:tabs>
        <w:autoSpaceDE w:val="0"/>
        <w:autoSpaceDN w:val="0"/>
        <w:spacing w:after="0" w:line="240" w:lineRule="auto"/>
        <w:jc w:val="both"/>
        <w:rPr>
          <w:rFonts w:ascii="Times New Roman" w:hAnsi="Times New Roman" w:cs="Times New Roman" w:eastAsia="Times New Roman"/>
          <w:i/>
          <w:iCs/>
          <w:sz w:val="20"/>
          <w:szCs w:val="16"/>
        </w:rPr>
      </w:pPr>
    </w:p>
    <w:p w14:paraId="1B71B669" w14:textId="30006E3D">
      <w:pPr>
        <w:pStyle w:val="P68B1DB1-P68B1DB1-Normal147"/>
        <w:widowControl w:val="0"/>
        <w:tabs>
          <w:tab w:val="left" w:pos="451"/>
        </w:tabs>
        <w:autoSpaceDE w:val="0"/>
        <w:autoSpaceDN w:val="0"/>
        <w:spacing w:after="0" w:line="240" w:lineRule="auto"/>
        <w:ind w:left="567"/>
        <w:jc w:val="both"/>
        <w:rPr>
          <w:i/>
          <w:sz w:val="20"/>
          <w:szCs w:val="18"/>
        </w:rPr>
      </w:pPr>
      <w:r>
        <w:t xml:space="preserve">«35. [...] το Δικαστήριο έχει κρίνει ότι, για να χαρακτηριστούν ως «άλλες απαιτήσεις» κατά την έννοια του άρθρου 1 παράγραφος 4, της οδηγίας 98/34, τα επίμαχα εθνικά μέτρα πρέπει να αποτελούν «όρους» ικανούς να επηρεάσουν σημαντικά τη σύνθεση, τη φύση ή την εμπορία του οικείου προϊόντος (βλ., υπό την έννοια αυτή, προπαρατεθείσες αποφάσεις Lindberg, σκέψη 72, καθώς και Intercommunale Intermosane και Fédération de l’industrie et du gaz, σκέψη 20).</w:t>
      </w:r>
    </w:p>
    <w:p w14:paraId="746FA5AB" w14:textId="77777777">
      <w:pPr>
        <w:pStyle w:val="P68B1DB1-Normal14"/>
        <w:widowControl w:val="0"/>
        <w:tabs>
          <w:tab w:val="left" w:pos="451"/>
        </w:tabs>
        <w:autoSpaceDE w:val="0"/>
        <w:autoSpaceDN w:val="0"/>
        <w:spacing w:after="0" w:line="240" w:lineRule="auto"/>
        <w:ind w:left="567"/>
        <w:jc w:val="both"/>
        <w:rPr>
          <w:i/>
          <w:sz w:val="20"/>
          <w:szCs w:val="18"/>
        </w:rPr>
      </w:pPr>
    </w:p>
    <w:p w14:paraId="7A3394EB" w14:textId="0B6B76F9">
      <w:pPr>
        <w:pStyle w:val="P68B1DB1-P68B1DB1-Normal147"/>
        <w:widowControl w:val="0"/>
        <w:tabs>
          <w:tab w:val="left" w:pos="451"/>
        </w:tabs>
        <w:autoSpaceDE w:val="0"/>
        <w:autoSpaceDN w:val="0"/>
        <w:spacing w:after="0" w:line="240" w:lineRule="auto"/>
        <w:ind w:left="567"/>
        <w:jc w:val="both"/>
        <w:rPr>
          <w:i/>
          <w:sz w:val="20"/>
          <w:szCs w:val="18"/>
        </w:rPr>
      </w:pPr>
      <w:r>
        <w:t xml:space="preserve">36. Συναφώς, πρέπει να παρατηρηθεί ότι οι μεταβατικές διατάξεις του νόμου περί τυχερών παιγνίων επιβάλλουν όρους δυνάμενους να επηρεάσουν την εμπορία των μηχανημάτων αυτόματων μηχανικών παιγνίων για μικρά κέρδη. Η απαγόρευση χορήγησης, παράτασης ή τροποποίησης των αδειών για δραστηριότητες σχετικές με μηχανήματα τυχερών παιχνιδιών για μικρά κέρδη εκτός των καζίνων είναι ικανή να επηρεάσει άμεσα το εμπόριο μηχανών τυχερών παιχνιδιών με μικρά κέρδη.»</w:t>
      </w:r>
    </w:p>
    <w:p w14:paraId="27E4E8B1" w14:textId="77777777">
      <w:pPr>
        <w:widowControl w:val="0"/>
        <w:tabs>
          <w:tab w:val="left" w:pos="451"/>
        </w:tabs>
        <w:autoSpaceDE w:val="0"/>
        <w:autoSpaceDN w:val="0"/>
        <w:spacing w:after="0" w:line="240" w:lineRule="auto"/>
        <w:ind w:left="567"/>
        <w:jc w:val="both"/>
        <w:rPr>
          <w:rFonts w:ascii="Times New Roman" w:hAnsi="Times New Roman" w:cs="Times New Roman" w:eastAsia="Times New Roman"/>
          <w:i/>
          <w:sz w:val="18"/>
          <w:szCs w:val="14"/>
        </w:rPr>
      </w:pPr>
    </w:p>
    <w:p w14:paraId="13BFA8BE" w14:textId="303CF5F4">
      <w:pPr>
        <w:pStyle w:val="P68B1DB1-P68B1DB1-Normal147"/>
        <w:widowControl w:val="0"/>
        <w:tabs>
          <w:tab w:val="left" w:pos="451"/>
        </w:tabs>
        <w:autoSpaceDE w:val="0"/>
        <w:autoSpaceDN w:val="0"/>
        <w:spacing w:after="0" w:line="240" w:lineRule="auto"/>
        <w:ind w:left="567"/>
        <w:jc w:val="both"/>
        <w:rPr>
          <w:i/>
          <w:sz w:val="20"/>
          <w:szCs w:val="18"/>
        </w:rPr>
      </w:pPr>
      <w:r>
        <w:t xml:space="preserve">«40. [...] στα υποβληθέντα ερωτήματα πρέπει να δοθεί η απάντηση ότι το άρθρο 1 παράγραφος 11, της οδηγίας 98/34 έχει την έννοια ότι εθνικές διατάξεις, όπως οι διατάξεις του νόμου περί τυχηρών παιγνίων, οι οποίες θα μπορούσαν να έχουν ως αποτέλεσμα τον περιορισμό, ή ακόμη και τη βαθμιαία αδυναμία, της εκμεταλλεύσεως μηχανών παιγνίων με μικρά κέρδη οπουδήποτε εκτός των καζίνων και των αιθουσών παιγνίων, μπορούν να συνιστούν «τεχνικούς κανόνες», κατά την έννοια της διατάξεως αυτής, τα σχέδια των οποίων πρέπει να παρουσιάζονται κατά την έννοια του άρθρου 8 παράγραφος 1, πρώτο εδάφιο, της οδηγίας, στο μέτρο που αποδεικνύεται ότι οι διατάξεις αυτές αποτελούν προϋποθέσεις δυνάμενες να επηρεάσουν σημαντικά τη φύση ή την εμπορία του οικείου προϊόντος, όπερ εναπόκειται στο αιτούν δικαστήριο να εξακριβώσει.»</w:t>
      </w:r>
    </w:p>
    <w:p w14:paraId="3AB93DB7" w14:textId="77777777">
      <w:pPr>
        <w:spacing w:after="0" w:line="240" w:lineRule="auto"/>
      </w:pPr>
    </w:p>
    <w:p w14:paraId="6F817443" w14:textId="50BA543B">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4"/>
      </w:pPr>
      <w:hyperlink r:id="rId39" w:history="1">
        <w:r>
          <w:rPr>
            <w:b/>
            <w:i/>
            <w:color w:val="0000FF"/>
            <w:u w:val="single"/>
          </w:rPr>
          <w:t xml:space="preserve">Απόφαση της 10 Ιουλίου 2014</w:t>
        </w:r>
      </w:hyperlink>
      <w:r>
        <w:rPr>
          <w:sz w:val="25"/>
        </w:rPr>
        <w:t>στην</w:t>
      </w:r>
      <w:r>
        <w:rPr>
          <w:b/>
          <w:i/>
        </w:rPr>
        <w:t>υπόθεση</w:t>
      </w:r>
      <w:r>
        <w:rPr>
          <w:b/>
          <w:i/>
        </w:rPr>
        <w:t xml:space="preserve"> C-307/13, Ivansson κ.λπ.</w:t>
      </w:r>
      <w:r>
        <w:rPr>
          <w:b/>
          <w:i/>
        </w:rPr>
        <w:t xml:space="preserve">, σκέψεις 26 έως 28</w:t>
      </w:r>
      <w:bookmarkEnd w:id="51"/>
    </w:p>
    <w:p w14:paraId="545625E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7F9CB0B" w14:textId="6B35A590">
      <w:pPr>
        <w:pStyle w:val="P68B1DB1-P68B1DB1-Normal135"/>
        <w:widowControl w:val="0"/>
        <w:tabs>
          <w:tab w:val="left" w:pos="396"/>
          <w:tab w:val="left" w:pos="407"/>
        </w:tabs>
        <w:autoSpaceDE w:val="0"/>
        <w:autoSpaceDN w:val="0"/>
        <w:spacing w:after="0" w:line="240" w:lineRule="auto"/>
        <w:jc w:val="both"/>
        <w:rPr>
          <w:b w:val="0"/>
          <w:bCs/>
          <w:i w:val="0"/>
          <w:iCs/>
        </w:rPr>
      </w:pPr>
      <w:r>
        <w:t xml:space="preserve">Ένας κανόνας που καθορίζει γενικό στόχο άνεσης των πουλερικών και ποιότητας των εγκαταστάσεων εκτροφής δεν αποτελεί «άλλη απαίτηση», δεδομένου ότι ο γενικός χαρακτήρας του δεν είναι πιθανό να επηρεάσει τη σύνθεση, τη φύση ή την εμπορία του τελικού προϊόντος. </w:t>
      </w:r>
    </w:p>
    <w:p w14:paraId="14EF2596" w14:textId="77777777">
      <w:pPr>
        <w:widowControl w:val="0"/>
        <w:autoSpaceDE w:val="0"/>
        <w:autoSpaceDN w:val="0"/>
        <w:spacing w:after="0" w:line="240" w:lineRule="auto"/>
        <w:ind w:left="567"/>
        <w:jc w:val="both"/>
        <w:rPr>
          <w:rFonts w:ascii="Times New Roman" w:hAnsi="Times New Roman" w:cs="Times New Roman" w:eastAsia="Times New Roman"/>
          <w:bCs/>
          <w:i/>
          <w:sz w:val="20"/>
          <w:szCs w:val="16"/>
        </w:rPr>
      </w:pPr>
    </w:p>
    <w:p w14:paraId="3581B4FF" w14:textId="624DB181">
      <w:pPr>
        <w:pStyle w:val="P68B1DB1-P68B1DB1-Normal147"/>
        <w:spacing w:after="0" w:line="240" w:lineRule="auto"/>
        <w:ind w:left="567"/>
        <w:jc w:val="both"/>
        <w:rPr>
          <w:i/>
          <w:iCs/>
          <w:sz w:val="20"/>
          <w:szCs w:val="18"/>
        </w:rPr>
      </w:pPr>
      <w:r>
        <w:t xml:space="preserve">«26. [...] το Δικαστήριο έχει κρίνει ότι, για να χαρακτηριστούν ως «άλλες απαιτήσεις» κατά την έννοια του άρθρου 1 παράγραφος 4, της οδηγίας 98/34, τα επίμαχα εθνικά μέτρα πρέπει να αποτελούν «προϋποθέσεις» δυνάμενες να επηρεάσουν σημαντικά τη σύνθεση ή τη φύση του οικείου προϊόντος ή την εμπορία του (βλ. απόφαση Fortuna κ.λπ., προπαρατεθείσα, σκέψη 35 και εκεί παρατιθέμενη νομολογία).</w:t>
      </w:r>
    </w:p>
    <w:p w14:paraId="4C097BBE" w14:textId="77777777">
      <w:pPr>
        <w:pStyle w:val="P68B1DB1-Normal14"/>
        <w:spacing w:after="0" w:line="240" w:lineRule="auto"/>
        <w:ind w:left="567"/>
        <w:jc w:val="both"/>
        <w:rPr>
          <w:i/>
          <w:iCs/>
          <w:sz w:val="20"/>
          <w:szCs w:val="18"/>
        </w:rPr>
      </w:pPr>
    </w:p>
    <w:p w14:paraId="22DD1173" w14:textId="5E72285F">
      <w:pPr>
        <w:pStyle w:val="P68B1DB1-P68B1DB1-Normal147"/>
        <w:spacing w:after="0" w:line="240" w:lineRule="auto"/>
        <w:ind w:left="567"/>
        <w:jc w:val="both"/>
        <w:rPr>
          <w:i/>
          <w:iCs/>
          <w:sz w:val="20"/>
          <w:szCs w:val="18"/>
        </w:rPr>
      </w:pPr>
      <w:r>
        <w:t xml:space="preserve">27. Το Δικαστήριο έχει επίσης κρίνει ότι, όταν οι διατάξεις ενός εθνικού μέτρου έχουν γενικό χαρακτήρα, δεν μπορούν να συνιστούν τέτοιες προϋποθέσεις ούτε, κατά συνέπεια, να χαρακτηρίζονται ως «άλλες απαιτήσεις», κατά την έννοια του άρθρου 1 παράγραφος 4, της οδηγίας (βλ., υπό την έννοια αυτή, απόφαση Intercommunale Intermosane και Fédération de l’Industrie et du gaz, προπαρατεθείσα, σκέψη 21).</w:t>
      </w:r>
    </w:p>
    <w:p w14:paraId="15F3320F" w14:textId="77777777">
      <w:pPr>
        <w:pStyle w:val="P68B1DB1-Normal14"/>
        <w:spacing w:after="0" w:line="240" w:lineRule="auto"/>
        <w:ind w:left="567"/>
        <w:jc w:val="both"/>
        <w:rPr>
          <w:i/>
          <w:iCs/>
          <w:sz w:val="20"/>
          <w:szCs w:val="18"/>
        </w:rPr>
      </w:pPr>
    </w:p>
    <w:p w14:paraId="2DD435A7" w14:textId="30F8D24A">
      <w:pPr>
        <w:pStyle w:val="P68B1DB1-P68B1DB1-Normal147"/>
        <w:spacing w:after="0" w:line="240" w:lineRule="auto"/>
        <w:ind w:left="567"/>
        <w:jc w:val="both"/>
        <w:rPr>
          <w:bCs/>
          <w:i/>
          <w:iCs/>
          <w:sz w:val="20"/>
          <w:szCs w:val="18"/>
        </w:rPr>
      </w:pPr>
      <w:r>
        <w:t xml:space="preserve">28. Επομένως, η πολύ γενική διατύπωση του άρθρου 9 του DSF, όπως υπομνήσθηκε στις σκέψεις 22 και 23 της παρούσας αποφάσεως, δεν επιτρέπει να θεωρηθεί ότι η διάταξη αυτή θέτει όρους σχετικά με τη σύνθεση ή τη φύση των οικείων προϊόντων ή την εμπορία τους.»</w:t>
      </w:r>
    </w:p>
    <w:p w14:paraId="411B1718" w14:textId="77777777">
      <w:pPr>
        <w:spacing w:after="0" w:line="240" w:lineRule="auto"/>
        <w:rPr>
          <w:rFonts w:ascii="Times New Roman" w:hAnsi="Times New Roman" w:cs="Times New Roman" w:eastAsia="Times New Roman"/>
          <w:bCs/>
          <w:i/>
          <w:sz w:val="20"/>
          <w:szCs w:val="16"/>
        </w:rPr>
      </w:pPr>
    </w:p>
    <w:p w14:paraId="4751BBE0" w14:textId="22592B08">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0" w:anchor="ctx1" w:history="1">
        <w:r>
          <w:rPr>
            <w:color w:val="0000FF"/>
            <w:u w:val="single"/>
          </w:rPr>
          <w:t xml:space="preserve">Απόφαση της 11 Ιουνίου 2015</w:t>
        </w:r>
      </w:hyperlink>
      <w:r>
        <w:t xml:space="preserve"> στην υπόθεση C-98/14, Berlington Hungary κ.λπ., σκέψεις 98 και 99</w:t>
      </w:r>
      <w:bookmarkEnd w:id="52"/>
    </w:p>
    <w:p w14:paraId="25A15725"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998E6F5" w14:textId="77777777">
      <w:pPr>
        <w:pStyle w:val="P68B1DB1-P68B1DB1-Normal135"/>
        <w:widowControl w:val="0"/>
        <w:tabs>
          <w:tab w:val="left" w:pos="396"/>
          <w:tab w:val="left" w:pos="449"/>
        </w:tabs>
        <w:autoSpaceDE w:val="0"/>
        <w:autoSpaceDN w:val="0"/>
        <w:spacing w:after="0" w:line="240" w:lineRule="auto"/>
        <w:jc w:val="both"/>
        <w:rPr>
          <w:b w:val="0"/>
          <w:bCs/>
          <w:i w:val="0"/>
          <w:iCs/>
        </w:rPr>
      </w:pPr>
      <w:r>
        <w:t xml:space="preserve">Οι εθνικές διατάξεις που απαγορεύουν την εκμετάλλευση των μηχανημάτων τυχερών παιχνιδιών εκτός των καζίνων συνιστούν «άλλες απαιτήσεις», δεδομένου ότι μπορούν να επηρεάσουν σημαντικά τη φύση ή την εμπορία των μηχανημάτων αυτών.</w:t>
      </w:r>
    </w:p>
    <w:p w14:paraId="39E1078A" w14:textId="77777777">
      <w:pPr>
        <w:widowControl w:val="0"/>
        <w:tabs>
          <w:tab w:val="left" w:pos="396"/>
          <w:tab w:val="left" w:pos="449"/>
        </w:tabs>
        <w:autoSpaceDE w:val="0"/>
        <w:autoSpaceDN w:val="0"/>
        <w:spacing w:after="0" w:line="240" w:lineRule="auto"/>
        <w:jc w:val="both"/>
        <w:rPr>
          <w:rFonts w:ascii="Times New Roman" w:hAnsi="Times New Roman" w:cs="Times New Roman" w:eastAsia="Times New Roman"/>
          <w:i/>
          <w:iCs/>
          <w:sz w:val="20"/>
          <w:szCs w:val="16"/>
        </w:rPr>
      </w:pPr>
    </w:p>
    <w:p w14:paraId="08EB1E5D" w14:textId="2E1379BD">
      <w:pPr>
        <w:pStyle w:val="P68B1DB1-P68B1DB1-Normal147"/>
        <w:widowControl w:val="0"/>
        <w:tabs>
          <w:tab w:val="left" w:pos="396"/>
          <w:tab w:val="left" w:pos="449"/>
        </w:tabs>
        <w:autoSpaceDE w:val="0"/>
        <w:autoSpaceDN w:val="0"/>
        <w:spacing w:after="0" w:line="240" w:lineRule="auto"/>
        <w:ind w:left="567"/>
        <w:jc w:val="both"/>
        <w:rPr>
          <w:i/>
          <w:iCs/>
          <w:sz w:val="20"/>
          <w:szCs w:val="18"/>
        </w:rPr>
      </w:pPr>
      <w:bookmarkStart w:id="53" w:name="point98"/>
      <w:r>
        <w:t>«</w:t>
      </w:r>
      <w:bookmarkEnd w:id="53"/>
      <w:r>
        <w:t xml:space="preserve">98. [...] το Δικαστήριο έχει κρίνει ότι εθνικό μέτρο το οποίο περιορίζει τη διοργάνωση ορισμένων τυχερών παιγνίων μόνο στα καζίνα συνιστά «τεχνικό κανόνα», κατά την έννοια του άρθρου 1 παράγραφος 11, της οδηγίας, στο μέτρο που μπορεί να επηρεάσει σημαντικά τη φύση ή την εμπορία των προϊόντων που χρησιμοποιούνται στο πλαίσιο αυτό (βλ., υπό την έννοια αυτή, αποφάσεις Επιτροπή κατά Ελλάδας, C-65/05, σκέψη 61, και Fortuna κ.λπ., συνεκδικασθείσες υποθέσεις C-213/11, C-214/11 και C-217/11, συνεκδικασθείσες υποθέσεις 24 και 40).</w:t>
      </w:r>
    </w:p>
    <w:p w14:paraId="3EF89879" w14:textId="77777777">
      <w:pPr>
        <w:pStyle w:val="P68B1DB1-Normal14"/>
        <w:widowControl w:val="0"/>
        <w:tabs>
          <w:tab w:val="left" w:pos="396"/>
          <w:tab w:val="left" w:pos="449"/>
        </w:tabs>
        <w:autoSpaceDE w:val="0"/>
        <w:autoSpaceDN w:val="0"/>
        <w:spacing w:after="0" w:line="240" w:lineRule="auto"/>
        <w:ind w:left="567"/>
        <w:jc w:val="both"/>
        <w:rPr>
          <w:i/>
          <w:iCs/>
          <w:sz w:val="20"/>
          <w:szCs w:val="18"/>
        </w:rPr>
      </w:pPr>
    </w:p>
    <w:p w14:paraId="61FE26C2" w14:textId="47FD8C72">
      <w:pPr>
        <w:pStyle w:val="P68B1DB1-P68B1DB1-Normal147"/>
        <w:widowControl w:val="0"/>
        <w:tabs>
          <w:tab w:val="left" w:pos="396"/>
          <w:tab w:val="left" w:pos="449"/>
        </w:tabs>
        <w:autoSpaceDE w:val="0"/>
        <w:autoSpaceDN w:val="0"/>
        <w:spacing w:after="0" w:line="240" w:lineRule="auto"/>
        <w:ind w:left="567"/>
        <w:jc w:val="both"/>
        <w:rPr>
          <w:i/>
          <w:iCs/>
          <w:sz w:val="20"/>
          <w:szCs w:val="18"/>
        </w:rPr>
      </w:pPr>
      <w:r>
        <w:t xml:space="preserve">99. Ωστόσο, η απαγόρευση της λειτουργίας παιγνιομηχανημάτων εκτός των καζίνων, όπως αυτή που θεσπίστηκε με τον τροποποιητικό νόμο του 2012, μπορεί να επηρεάσει σημαντικά τη φύση ή την εμπορία των εν λόγω μηχανημάτων, τα οποία αποτελούν προϊόντα που μπορούν να καλύπτονται από το άρθρο 34 ΣΛΕΕ (βλ. απόφαση Läärä κ.λπ., C-124/97, συνεκδικασθείσες σκέψεις 20 και 24), μειώνοντας τα σημεία πώλησης στα οποία μπορούν να χρησιμοποιηθούν.»</w:t>
      </w:r>
    </w:p>
    <w:p w14:paraId="6E21C148" w14:textId="77777777">
      <w:pPr>
        <w:pStyle w:val="P68B1DB1-Normal14"/>
        <w:widowControl w:val="0"/>
        <w:tabs>
          <w:tab w:val="left" w:pos="396"/>
          <w:tab w:val="left" w:pos="449"/>
        </w:tabs>
        <w:autoSpaceDE w:val="0"/>
        <w:autoSpaceDN w:val="0"/>
        <w:spacing w:after="0" w:line="240" w:lineRule="auto"/>
        <w:ind w:left="567"/>
        <w:jc w:val="both"/>
      </w:pPr>
    </w:p>
    <w:p w14:paraId="2000DB13" w14:textId="27A949A7">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1" w:history="1">
        <w:r>
          <w:rPr>
            <w:color w:val="0000FF"/>
            <w:u w:val="single"/>
          </w:rPr>
          <w:t xml:space="preserve">Απόφαση της 13 Οκτωβρίου 2016</w:t>
        </w:r>
      </w:hyperlink>
      <w:r>
        <w:t xml:space="preserve"> στην υπόθεση C-303/15, Naczelnik Urzędu Celnego I, σκέψεις 25 έως 30.</w:t>
      </w:r>
      <w:bookmarkEnd w:id="54"/>
    </w:p>
    <w:p w14:paraId="5BE11B60"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Pr>
    </w:p>
    <w:p w14:paraId="65E429E8"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Style w:val="P68B1DB1-Normal14"/>
      </w:pPr>
      <w:r>
        <w:t xml:space="preserve">Διάταξη που εξαρτά την άσκηση των δραστηριοτήτων τυχερών παιγνίων από την κατοχή άδειας εκμεταλλεύσεως καζίνο δεν συνιστά «άλλη προϋπόθεση». Πράγματι, ενώ οι διατάξεις που περιορίζουν τη διοργάνωση τυχερών παιγνίων στα καζίνα μπορούν να επηρεάσουν σημαντικά την εμπορία συναφών προϊόντων μειώνοντας τους διαύλους διανομής τους, οι κανόνες που διέπουν τους όρους εγκατάστασης των επιχειρήσεων δεν είναι πιθανό να επηρεάσουν σημαντικά τη φύση ή την εμπορία των χρησιμοποιούμενων προϊόντων.</w:t>
      </w:r>
    </w:p>
    <w:p w14:paraId="7D28A908"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 w:val="20"/>
          <w:szCs w:val="18"/>
        </w:rPr>
      </w:pPr>
    </w:p>
    <w:p w14:paraId="1BE98C7F" w14:textId="7F54B5A4">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«25. Τέλος, προκειμένου να καθοριστεί αν το άρθρο 6 παράγραφος 1, του νόμου για τα τυχερά παιχνίδια εμπίπτει στο πεδίο εφαρμογής είτε του άρθρου 1 παράγραφος 4, της οδηγίας 98/34 είτε του άρθρου 1 παράγραφος 11, της οδηγίας αυτής, πρέπει να εξακριβωθεί αν μια τέτοια διάταξη μπορεί να επηρεάσει σημαντικά τη σύνθεση, τη φύση ή την εμπορία του οικείου προϊόντος, εν προκειμένω των αυτόματων παιγνίων, ως «προϋπόθεση» σχετικά με τη χρήση του οικείου προϊόντος ή αν πρόκειται για εθνικό μέτρο που εμπίπτει στην κατηγορία των απαγορεύσεων του άρθρου 1 παράγραφος 11, της οδηγίας αυτής.</w:t>
      </w:r>
    </w:p>
    <w:p w14:paraId="69BFAFE3"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9CB89CD" w14:textId="3DFDE1A5">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26. Συναφώς, πρέπει να υπομνησθεί ότι το άρθρο 14 παράγραφος 1, του νόμου περί τυχερών παιγνίων είναι εκείνο που ορίζει ότι η διοργάνωση τυχερών παιγνίων με ρουλέτα, χαρτιά τράπουλας, ζάρια καθώς και με αυτόματα μηχανήματα τυχερών παιγνίων λαμβάνει χώρα αποκλειστικώς εντός των καζίνο. Η διάταξη αυτή κοινοποιήθηκε στην Επιτροπή ως «τεχνικός κανόνας», λαμβανομένου υπόψη ότι το Δικαστήριο έχει κρίνει, αφενός, ότι εθνικό μέτρο το οποίο επιφυλάσσει τη διοργάνωση ορισμένων τυχερών παιγνίων μόνο στα καζίνα συνιστά «τεχνικό κανόνα», κατά την έννοια του άρθρου 1 παράγραφος 11, της οδηγίας 98/34, στο μέτρο που μπορεί να επηρεάσει σημαντικά τη φύση ή την εμπορία των προϊόντων που χρησιμοποιούνται στο πλαίσιο αυτό και, αφετέρου, ότι η απαγόρευση της εκμεταλλεύσεως ορισμένων προϊόντων εκτός των καζίνων μπορεί να επηρεάσει σημαντικά την εμπορία των προϊόντων αυτών, μειώνοντας τα σημεία πωλήσεως στα οποία μπορούν να χρησιμοποιηθούν (πρβλ. απόφαση της 11 Ιουνίου 2015, Berlington Hungary κ.λπ., C-98/14, σκέψεις 98 και 99).</w:t>
      </w:r>
    </w:p>
    <w:p w14:paraId="107284B9"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145A5B71" w14:textId="6CEF0E10">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27. Αντιθέτως, το άρθρο 6 παράγραφος 1, του νόμου αυτού, το οποίο προβλέπει ότι η κατοχή αδείας εκμεταλλεύσεως καζίνο είναι αναγκαία για την άσκηση των δραστηριοτήτων τυχερών παιγνίων με ρουλέτα, χαρτιά τράπουλας, ζάρια καθώς και με αυτόματα μηχανήματα τυχερών παιγνίων, δεν έχει γνωστοποιηθεί.</w:t>
      </w:r>
    </w:p>
    <w:p w14:paraId="6972B44C"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07BB4ED" w14:textId="2BEC0401">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28.Το επιχείρημα της Επιτροπής ότι ο στενός σύνδεσμος μεταξύ των δύο επίμαχων διατάξεων του εθνικού δικαίου έχει ως συνέπεια ότι το άρθρο 14 παράγραφος 1, του νόμου περί τυχερών παιγνίων δεν μπορεί να απομονωθεί από το άρθρο 6 παράγραφος 1, του νόμου αυτού δεν μπορεί να γίνει δεκτό. Συγκεκριμένα, όπως επισήμανε ο γενικός εισαγγελέας στα σημεία 38 έως 44 των προτάσεών του, το άρθρο 6 παράγραφος 1, του εν λόγω νόμου και το άρθρο 14 παράγραφος 1, του ίδιου νόμου έχουν διαφορετικά πεδία εφαρμογής και λειτουργίες. Το περιλαμβανόμενο στο άρθρο 6 παράγραφος 1, του νόμου αυτού περιγραφικό στοιχείο, που χρησιμεύει στον χαρακτηρισμό της επίμαχης άδειας ως άδειας «εκμεταλλεύσεως καζίνο», δεν μεταβάλλει το συμπέρασμα αυτό.</w:t>
      </w:r>
    </w:p>
    <w:p w14:paraId="54D8E8D3"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2068C2E4" w14:textId="0FD51152">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29. Κατά συνέπεια, πρέπει να γίνει δεκτό ότι το άρθρο 6 παράγραφος 1, του νόμου για τα τυχερά παιχνίδια δεν μπορεί να θεωρηθεί ότι εμπίπτει στην κατηγορία των «άλλων απαιτήσεων», κατά την έννοια του άρθρου 1 παράγραφος 4, της οδηγίας 98/34, δεδομένου ότι η άδεια που απαιτείται από την εν λόγω διάταξη του εθνικού δικαίου για τη διοργάνωση τυχερών παιγνίων συνιστά προϋπόθεση που επιβάλλεται όσον αφορά τη δραστηριότητα διοργάνωσης τέτοιων παιγνίων, διακριτή από το άρθρο 14 παράγραφος 1, του εν λόγω νόμου, το οποίο επιβάλλει προϋποθέσεις για τα οικεία προϊόντα απαγορεύοντας τη χρήση τους εκτός των καζίνων.</w:t>
      </w:r>
    </w:p>
    <w:p w14:paraId="6E096F4E"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AFFF24D" w14:textId="079610FD">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30. Επιπλέον, κατά πάγια νομολογία, δεν συνιστούν τεχνικούς κανόνες κατά την έννοια του άρθρου 1 παράγραφος 11, της οδηγίας 98/34 διατάξεις του εθνικού δικαίου οι οποίες απλώς προβλέπουν προϋποθέσεις για την εγκατάσταση ή την παροχή υπηρεσιών από επιχειρήσεις, όπως διατάξεις που εξαρτούν την άσκηση επιχειρηματικής δραστηριότητας από προηγούμενη άδεια (πρβλ. απόφαση της 4 Φεβρουαρίου 2016, Ince, C-336/14, σκέψη 76 και εκεί μνημονευόμενη νομολογία).»</w:t>
      </w:r>
    </w:p>
    <w:p w14:paraId="47FF74A0" w14:textId="77777777">
      <w:pPr>
        <w:spacing w:after="0" w:line="240" w:lineRule="auto"/>
        <w:rPr>
          <w:sz w:val="20"/>
          <w:szCs w:val="20"/>
        </w:rPr>
      </w:pPr>
    </w:p>
    <w:p w14:paraId="2E29F352" w14:textId="7C1F042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2" w:history="1">
        <w:r>
          <w:rPr>
            <w:color w:val="0000FF"/>
            <w:u w:val="single"/>
          </w:rPr>
          <w:t xml:space="preserve">Απόφαση της 27 Οκτωβρίου 2016</w:t>
        </w:r>
      </w:hyperlink>
      <w:r>
        <w:t xml:space="preserve"> στην υπόθεση C-613/14, James Elliott Construction, σκέψεις 67 έως 69.</w:t>
      </w:r>
      <w:bookmarkEnd w:id="55"/>
    </w:p>
    <w:p w14:paraId="1A68586C"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ED19EDB" w14:textId="566C76FE">
      <w:pPr>
        <w:widowControl w:val="0"/>
        <w:tabs>
          <w:tab w:val="left" w:pos="430"/>
        </w:tabs>
        <w:autoSpaceDE w:val="0"/>
        <w:autoSpaceDN w:val="0"/>
        <w:spacing w:after="0" w:line="240" w:lineRule="auto"/>
        <w:jc w:val="both"/>
        <w:rPr>
          <w:rFonts w:ascii="Times New Roman" w:hAnsi="Times New Roman" w:cs="Times New Roman" w:eastAsia="Times New Roman"/>
          <w:bCs/>
          <w:iCs/>
          <w:szCs w:val="20"/>
        </w:rPr>
        <w:pStyle w:val="P68B1DB1-Normal14"/>
      </w:pPr>
      <w:r>
        <w:t xml:space="preserve">Οι εθνικές διατάξεις που καθορίζουν σιωπηρώς συμβατικούς όρους σχετικά με την εμπορεύσιμη ποιότητα, την καταλληλότητα προς χρήση ή την ποιότητα των πωλούμενων προϊόντων δεν συνιστούν «άλλες απαιτήσεις», δεδομένου ότι η γενική φύση τους τα καθιστά απίθανο να επηρεάσουν σημαντικά τη σύνθεση, τη φύση ή την εμπορία των σχετικών προϊόντων.</w:t>
      </w:r>
    </w:p>
    <w:p w14:paraId="030038CF" w14:textId="77777777">
      <w:pPr>
        <w:widowControl w:val="0"/>
        <w:tabs>
          <w:tab w:val="left" w:pos="430"/>
        </w:tabs>
        <w:autoSpaceDE w:val="0"/>
        <w:autoSpaceDN w:val="0"/>
        <w:spacing w:after="0" w:line="240" w:lineRule="auto"/>
        <w:jc w:val="both"/>
        <w:rPr>
          <w:rFonts w:ascii="Times New Roman" w:hAnsi="Times New Roman" w:cs="Times New Roman" w:eastAsia="Times New Roman"/>
          <w:sz w:val="20"/>
          <w:szCs w:val="18"/>
        </w:rPr>
      </w:pPr>
    </w:p>
    <w:p w14:paraId="3AC7F779" w14:textId="3E2215BE">
      <w:pPr>
        <w:pStyle w:val="P68B1DB1-P68B1DB1-Normal147"/>
        <w:widowControl w:val="0"/>
        <w:tabs>
          <w:tab w:val="left" w:pos="430"/>
        </w:tabs>
        <w:autoSpaceDE w:val="0"/>
        <w:autoSpaceDN w:val="0"/>
        <w:spacing w:after="0" w:line="240" w:lineRule="auto"/>
        <w:ind w:left="567"/>
        <w:jc w:val="both"/>
        <w:rPr>
          <w:i/>
          <w:iCs/>
          <w:sz w:val="20"/>
          <w:szCs w:val="18"/>
        </w:rPr>
      </w:pPr>
      <w:r>
        <w:t xml:space="preserve">«67. Εν προκειμένω, αφενός, διατάξεις όπως οι επίμαχες στην κύρια δίκη, είτε αυτές καθεαυτές είτε όπως ερμηνεύονται από τα ιρλανδικά δικαστήρια, δεν εμπίπτουν στην έννοια της «τεχνικής προδιαγραφής» κατά το άρθρο 1 παράγραφος 3, της οδηγίας 98/34. Πράγματι, η έννοια αυτή καλύπτει μόνον τα εθνικά μέτρα που αφορούν ένα προϊόν ή τη συσκευασία του καθαυτό και, ως εκ τούτου, καθορίζουν ένα από τα απαιτούμενα χαρακτηριστικά ενός προϊόντος (απόφαση της 10 Ιουλίου 2014, Ivansson κ.λπ., C-307/13, σκέψη 19 και εκεί μνημονευόμενη νομολογία). Είναι προφανές ότι αυτό δεν συμβαίνει στην περίπτωση απαιτήσεως που ισχύει, με την επιφύλαξη αντίθετης βουλήσεως των συμβαλλομένων, κατά τρόπο γενικό στην πώληση κάθε προϊόντος.</w:t>
      </w:r>
    </w:p>
    <w:p w14:paraId="246DB47A" w14:textId="77777777">
      <w:pPr>
        <w:pStyle w:val="P68B1DB1-Normal14"/>
        <w:widowControl w:val="0"/>
        <w:tabs>
          <w:tab w:val="left" w:pos="430"/>
        </w:tabs>
        <w:autoSpaceDE w:val="0"/>
        <w:autoSpaceDN w:val="0"/>
        <w:spacing w:after="0" w:line="240" w:lineRule="auto"/>
        <w:ind w:left="567"/>
        <w:jc w:val="both"/>
        <w:rPr>
          <w:i/>
          <w:iCs/>
          <w:sz w:val="20"/>
          <w:szCs w:val="18"/>
        </w:rPr>
      </w:pPr>
    </w:p>
    <w:p w14:paraId="1FB165CB" w14:textId="02F7A50F">
      <w:pPr>
        <w:pStyle w:val="P68B1DB1-P68B1DB1-Normal147"/>
        <w:widowControl w:val="0"/>
        <w:tabs>
          <w:tab w:val="left" w:pos="430"/>
        </w:tabs>
        <w:autoSpaceDE w:val="0"/>
        <w:autoSpaceDN w:val="0"/>
        <w:spacing w:after="0" w:line="240" w:lineRule="auto"/>
        <w:ind w:left="567"/>
        <w:jc w:val="both"/>
        <w:rPr>
          <w:i/>
          <w:iCs/>
          <w:sz w:val="20"/>
          <w:szCs w:val="18"/>
        </w:rPr>
      </w:pPr>
      <w:r>
        <w:t xml:space="preserve">68. Αφετέρου και για τον ίδιο λόγο, οι διατάξεις αυτές δεν μπορούν να χαρακτηριστούν ως «άλλες απαιτήσεις» κατά την έννοια του άρθρου 1 παράγραφος 4, της οδηγίας 98/34.</w:t>
      </w:r>
    </w:p>
    <w:p w14:paraId="739ADC6F" w14:textId="77777777">
      <w:pPr>
        <w:pStyle w:val="P68B1DB1-Normal14"/>
        <w:widowControl w:val="0"/>
        <w:tabs>
          <w:tab w:val="left" w:pos="430"/>
        </w:tabs>
        <w:autoSpaceDE w:val="0"/>
        <w:autoSpaceDN w:val="0"/>
        <w:spacing w:after="0" w:line="240" w:lineRule="auto"/>
        <w:ind w:left="567"/>
        <w:jc w:val="both"/>
        <w:rPr>
          <w:i/>
          <w:iCs/>
          <w:sz w:val="20"/>
          <w:szCs w:val="18"/>
        </w:rPr>
      </w:pPr>
    </w:p>
    <w:p w14:paraId="1707774D" w14:textId="76CDFE30">
      <w:pPr>
        <w:pStyle w:val="P68B1DB1-P68B1DB1-Normal147"/>
        <w:widowControl w:val="0"/>
        <w:tabs>
          <w:tab w:val="left" w:pos="430"/>
        </w:tabs>
        <w:autoSpaceDE w:val="0"/>
        <w:autoSpaceDN w:val="0"/>
        <w:spacing w:after="0" w:line="240" w:lineRule="auto"/>
        <w:ind w:left="567"/>
        <w:jc w:val="both"/>
        <w:rPr>
          <w:i/>
          <w:iCs/>
          <w:sz w:val="20"/>
          <w:szCs w:val="18"/>
        </w:rPr>
      </w:pPr>
      <w:r>
        <w:t xml:space="preserve">69. Συναφώς, το Δικαστήριο έχει διευκρινίσει ότι, για να χαρακτηριστούν ως «άλλες απαιτήσεις» κατά την έννοια της διατάξεως αυτής, τα επίμαχα εθνικά μέτρα πρέπει να αποτελούν προϋποθέσεις ικανές να επηρεάσουν σημαντικά τη σύνθεση ή τη φύση του οικείου προϊόντος ή την εμπορία του, δεδομένου ότι απαιτήσεις γενικής φύσεως δεν μπορούν να συνιστούν τέτοιες προϋποθέσεις ούτε, κατά συνέπεια, να χαρακτηριστούν ως «άλλες απαιτήσεις» (βλ. απόφαση της 10 Ιουλίου 2014, Ivansson κ.λπ., C-307/13, σκέψεις 26 και 27 και εκεί μνημονευόμενη νομολογία).»</w:t>
      </w:r>
    </w:p>
    <w:p w14:paraId="14788AE2" w14:textId="77777777">
      <w:pPr>
        <w:pStyle w:val="P68B1DB1-Normal14"/>
        <w:widowControl w:val="0"/>
        <w:tabs>
          <w:tab w:val="left" w:pos="430"/>
        </w:tabs>
        <w:autoSpaceDE w:val="0"/>
        <w:autoSpaceDN w:val="0"/>
        <w:spacing w:after="0" w:line="240" w:lineRule="auto"/>
        <w:ind w:left="567"/>
        <w:jc w:val="both"/>
      </w:pPr>
    </w:p>
    <w:p w14:paraId="6F74C5A2" w14:textId="059511E4">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3" w:history="1">
        <w:r>
          <w:rPr>
            <w:color w:val="0000FF"/>
            <w:u w:val="single"/>
          </w:rPr>
          <w:t xml:space="preserve">Απόφαση της 1 Φεβρουαρίου 2017</w:t>
        </w:r>
      </w:hyperlink>
      <w:r>
        <w:t xml:space="preserve"> στην υπόθεση C-144/16, Município de Palmela, σκέψεις 23 και 33.</w:t>
      </w:r>
      <w:bookmarkEnd w:id="56"/>
    </w:p>
    <w:p w14:paraId="6DCEC74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0BF7FCE" w14:textId="77777777">
      <w:pPr>
        <w:pStyle w:val="P68B1DB1-P68B1DB1-Normal135"/>
        <w:widowControl w:val="0"/>
        <w:tabs>
          <w:tab w:val="left" w:pos="396"/>
          <w:tab w:val="left" w:pos="435"/>
        </w:tabs>
        <w:autoSpaceDE w:val="0"/>
        <w:autoSpaceDN w:val="0"/>
        <w:spacing w:after="0" w:line="240" w:lineRule="auto"/>
        <w:jc w:val="both"/>
        <w:rPr>
          <w:b w:val="0"/>
          <w:bCs/>
          <w:i w:val="0"/>
          <w:iCs/>
        </w:rPr>
      </w:pPr>
      <w:r>
        <w:t xml:space="preserve">Μια διάταξη που καθορίζει τις απαιτήσεις συσκευασίας που επιβάλλονται σε ένα προϊόν για λόγους προστασίας των καταναλωτών αποτελεί «άλλη απαίτηση», διότι αφορά τον κύκλο ζωής των προϊόντων μετά τη διάθεσή τους στην αγορά και επηρεάζει σημαντικά τη σύνθεση και την εμπορία τους.</w:t>
      </w:r>
    </w:p>
    <w:p w14:paraId="3D96BE4E" w14:textId="77777777">
      <w:pPr>
        <w:widowControl w:val="0"/>
        <w:tabs>
          <w:tab w:val="left" w:pos="396"/>
          <w:tab w:val="left" w:pos="435"/>
        </w:tabs>
        <w:autoSpaceDE w:val="0"/>
        <w:autoSpaceDN w:val="0"/>
        <w:spacing w:after="0" w:line="240" w:lineRule="auto"/>
        <w:ind w:hanging="142"/>
        <w:jc w:val="both"/>
        <w:rPr>
          <w:rFonts w:ascii="Times New Roman" w:hAnsi="Times New Roman" w:cs="Times New Roman" w:eastAsia="Times New Roman"/>
          <w:bCs/>
          <w:iCs/>
          <w:szCs w:val="20"/>
        </w:rPr>
      </w:pPr>
    </w:p>
    <w:p w14:paraId="5B0F8037" w14:textId="25CE703A">
      <w:pPr>
        <w:pStyle w:val="P68B1DB1-P68B1DB1-Normal135"/>
        <w:widowControl w:val="0"/>
        <w:tabs>
          <w:tab w:val="left" w:pos="396"/>
          <w:tab w:val="left" w:pos="399"/>
        </w:tabs>
        <w:autoSpaceDE w:val="0"/>
        <w:autoSpaceDN w:val="0"/>
        <w:spacing w:after="0" w:line="240" w:lineRule="auto"/>
        <w:jc w:val="both"/>
        <w:rPr>
          <w:b w:val="0"/>
          <w:bCs/>
          <w:i w:val="0"/>
          <w:iCs/>
        </w:rPr>
      </w:pPr>
      <w:r>
        <w:t xml:space="preserve">Αντιθέτως, δεν συνιστά «άλλη απαίτηση», λόγω του γενικού χαρακτήρα της, ένας κανονισμός ο οποίος επιβάλλει την αναγραφή πληροφοριών σχετικά με τη μέγιστη χωρητικότητα μιας ζώνης αναψυχής σε διάφορα σημεία της εν λόγω ζώνης.</w:t>
      </w:r>
    </w:p>
    <w:p w14:paraId="7CB69B90" w14:textId="77777777">
      <w:pPr>
        <w:widowControl w:val="0"/>
        <w:tabs>
          <w:tab w:val="left" w:pos="396"/>
          <w:tab w:val="left" w:pos="399"/>
        </w:tabs>
        <w:autoSpaceDE w:val="0"/>
        <w:autoSpaceDN w:val="0"/>
        <w:spacing w:after="0" w:line="240" w:lineRule="auto"/>
        <w:ind w:hanging="142"/>
        <w:jc w:val="both"/>
        <w:rPr>
          <w:rFonts w:ascii="Times New Roman" w:hAnsi="Times New Roman" w:cs="Times New Roman" w:eastAsia="Times New Roman"/>
          <w:szCs w:val="20"/>
        </w:rPr>
      </w:pPr>
    </w:p>
    <w:p w14:paraId="047ADE80" w14:textId="3A89FEEF">
      <w:pPr>
        <w:pStyle w:val="P68B1DB1-P68B1DB1-Normal1421"/>
        <w:widowControl w:val="0"/>
        <w:tabs>
          <w:tab w:val="left" w:pos="396"/>
          <w:tab w:val="left" w:pos="399"/>
        </w:tabs>
        <w:autoSpaceDE w:val="0"/>
        <w:autoSpaceDN w:val="0"/>
        <w:spacing w:after="0" w:line="240" w:lineRule="auto"/>
        <w:ind w:left="567" w:hanging="142"/>
        <w:jc w:val="both"/>
        <w:rPr>
          <w:i/>
          <w:iCs/>
        </w:rPr>
      </w:pPr>
      <w:r>
        <w:tab/>
        <w:t>«</w:t>
      </w:r>
      <w:bookmarkStart w:id="57" w:name="point23"/>
      <w:r>
        <w:t>23</w:t>
      </w:r>
      <w:bookmarkEnd w:id="57"/>
      <w:r>
        <w:t xml:space="preserve">. Όσον αφορά το άρθρο 16 παράγραφος 1 και (2) του κανονισμού PRA, όπως τροποποιήθηκε με το νομοθετικό διάταγμα 119/2009, επισημαίνεται, όπως επισήμανε το αιτούν δικαστήριο, ότι πρόκειται για τεχνικό κανόνα κατά την έννοια των οδηγιών 83/189 και 98/34, στο μέτρο που η διάταξη αυτή προβλέπει απαιτήσεις που επιβάλλονται σε ένα προϊόν, με σκοπό την προστασία των καταναλωτών, οι οποίες επηρεάζουν τον κύκλο ζωής του προϊόντος μετά τη διάθεσή του στην αγορά και επηρεάζουν σημαντικά τη σύνθεση και την εμπορία του προϊόντος αυτού. Επομένως, η διάταξη αυτή εμπίπτει στην κατηγορία των «άλλων απαιτήσεων» κατά την έννοια τόσο του άρθρου 1 παράγραφος 3, της οδηγίας 83/189 όσο και του άρθρου 1 παράγραφος 4, της οδηγίας 98/34.»</w:t>
      </w:r>
    </w:p>
    <w:p w14:paraId="78B67949"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0B57ECD8" w14:textId="7EBBFF11">
      <w:pPr>
        <w:pStyle w:val="P68B1DB1-P68B1DB1-Normal1421"/>
        <w:widowControl w:val="0"/>
        <w:autoSpaceDE w:val="0"/>
        <w:autoSpaceDN w:val="0"/>
        <w:spacing w:after="0" w:line="240" w:lineRule="auto"/>
        <w:ind w:left="567"/>
        <w:jc w:val="both"/>
        <w:rPr>
          <w:i/>
          <w:iCs/>
        </w:rPr>
      </w:pPr>
      <w:r>
        <w:t>«</w:t>
      </w:r>
      <w:bookmarkStart w:id="58" w:name="point33"/>
      <w:r>
        <w:t>33</w:t>
      </w:r>
      <w:bookmarkEnd w:id="58"/>
      <w:r>
        <w:t xml:space="preserve">. [...] διάταξη όπως η επίμαχη στην υπόθεση της κύριας δίκης δεν συνιστά «άλλη απαίτηση» κατά την έννοια του άρθρου 1 παράγραφος 4, της οδηγίας 98/34, λαμβανομένου υπόψη του γενικού χαρακτήρα των απαιτήσεων που θέτει (πρβλ. απόφαση της 9 Ιουνίου 2011, Intercommunale Intermosane και Fédération de l’industrie et du</w:t>
        <w:noBreakHyphen/>
        <w:t xml:space="preserve">gaz, 361/10, σκέψη 21). Αντιθέτως, δεν περιέχει απαγορεύσεις που θα μπορούσαν να την εντάξουν στην κατηγορία των απαγορεύσεων του άρθρου 1 παράγραφος 11, της εν λόγω οδηγίας.»</w:t>
      </w:r>
    </w:p>
    <w:p w14:paraId="4725CFBE" w14:textId="77777777">
      <w:pPr>
        <w:spacing w:after="0" w:line="240" w:lineRule="auto"/>
      </w:pPr>
    </w:p>
    <w:bookmarkStart w:id="59" w:name="_Hlk193299811"/>
    <w:p w14:paraId="109F8B7C" w14:textId="6B0FA9E0">
      <w:pPr>
        <w:pStyle w:val="P68B1DB1-P68B1DB1-Normal1622"/>
        <w:widowControl w:val="0"/>
        <w:autoSpaceDE w:val="0"/>
        <w:autoSpaceDN w:val="0"/>
        <w:spacing w:after="0" w:line="240" w:lineRule="auto"/>
        <w:jc w:val="both"/>
        <w:outlineLvl w:val="1"/>
        <w:rPr>
          <w:b/>
          <w:bCs/>
          <w:i/>
          <w:iCs/>
          <w:sz w:val="22"/>
          <w:szCs w:val="22"/>
        </w:rPr>
      </w:pPr>
      <w:r>
        <w:fldChar w:fldCharType="begin"/>
      </w:r>
      <w:r>
        <w:rPr>
          <w:b/>
          <w:bCs/>
          <w:i/>
          <w:iCs/>
          <w:sz w:val="22"/>
          <w:szCs w:val="22"/>
        </w:rPr>
        <w:instrText>HYPERLINK "https://curia.europa.eu/juris/document/document.jsf?text=&amp;docid=206117&amp;pageIndex=0&amp;doclang=EN&amp;mode=lst&amp;dir=&amp;occ=first&amp;part=1&amp;cid=9777324"</w:instrText>
      </w:r>
      <w:r>
        <w:rPr>
          <w:b/>
          <w:bCs/>
          <w:i/>
          <w:iCs/>
          <w:sz w:val="22"/>
          <w:szCs w:val="22"/>
        </w:rPr>
      </w:r>
      <w:r>
        <w:rPr>
          <w:b/>
          <w:bCs/>
          <w:i/>
          <w:iCs/>
          <w:sz w:val="22"/>
          <w:szCs w:val="22"/>
        </w:rPr>
        <w:fldChar w:fldCharType="separate"/>
      </w:r>
      <w:bookmarkStart w:id="60" w:name="_Toc198043820"/>
      <w:r>
        <w:rPr>
          <w:b/>
          <w:bCs/>
          <w:i/>
          <w:iCs/>
          <w:color w:val="0000FF"/>
          <w:sz w:val="22"/>
          <w:szCs w:val="22"/>
          <w:u w:val="single"/>
        </w:rPr>
        <w:t xml:space="preserve">Απόφαση της 26 Σεπτεμβρίου 2018 στην υπόθεση C-137/17</w:t>
      </w:r>
      <w:r>
        <w:rPr>
          <w:b/>
          <w:bCs/>
          <w:i/>
          <w:iCs/>
          <w:color w:val="0000FF"/>
          <w:sz w:val="22"/>
          <w:szCs w:val="22"/>
          <w:u w:val="single"/>
        </w:rPr>
        <w:fldChar w:fldCharType="end"/>
        <w:t xml:space="preserve">, Van Gennip κ.λπ., σκέψεις 39 και 40</w:t>
      </w:r>
      <w:bookmarkEnd w:id="60"/>
    </w:p>
    <w:p w14:paraId="53B6D74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86CD632" w14:textId="77777777">
      <w:pPr>
        <w:pStyle w:val="P68B1DB1-P68B1DB1-Normal135"/>
        <w:widowControl w:val="0"/>
        <w:tabs>
          <w:tab w:val="left" w:pos="404"/>
        </w:tabs>
        <w:autoSpaceDE w:val="0"/>
        <w:autoSpaceDN w:val="0"/>
        <w:spacing w:after="0" w:line="240" w:lineRule="auto"/>
        <w:jc w:val="both"/>
        <w:rPr>
          <w:b w:val="0"/>
          <w:bCs/>
          <w:i w:val="0"/>
          <w:iCs/>
        </w:rPr>
      </w:pPr>
      <w:r>
        <w:t xml:space="preserve">Οι εθνικές διατάξεις που εξαρτούν την εμπορία των προϊόντων από την προϋπόθεση να διαθέτει ο αγοραστής άδεια δεν εμπίπτουν στην έννοια των «άλλων απαιτήσεων», διότι πρόκειται για προϋπόθεση που δεν επιβάλλεται στα προϊόντα, αλλά στους αγοραστές.</w:t>
      </w:r>
    </w:p>
    <w:bookmarkEnd w:id="59"/>
    <w:p w14:paraId="7262001F" w14:textId="77777777">
      <w:pPr>
        <w:widowControl w:val="0"/>
        <w:tabs>
          <w:tab w:val="left" w:pos="404"/>
        </w:tabs>
        <w:autoSpaceDE w:val="0"/>
        <w:autoSpaceDN w:val="0"/>
        <w:spacing w:after="0" w:line="240" w:lineRule="auto"/>
        <w:jc w:val="both"/>
        <w:rPr>
          <w:rFonts w:ascii="Times New Roman" w:hAnsi="Times New Roman" w:cs="Times New Roman" w:eastAsia="Times New Roman"/>
          <w:i/>
          <w:iCs/>
          <w:sz w:val="20"/>
          <w:szCs w:val="16"/>
        </w:rPr>
      </w:pPr>
    </w:p>
    <w:p w14:paraId="34AB9BCD" w14:textId="723202BE">
      <w:pPr>
        <w:pStyle w:val="P68B1DB1-P68B1DB1-Normal147"/>
        <w:widowControl w:val="0"/>
        <w:tabs>
          <w:tab w:val="left" w:pos="404"/>
        </w:tabs>
        <w:autoSpaceDE w:val="0"/>
        <w:autoSpaceDN w:val="0"/>
        <w:spacing w:after="0" w:line="240" w:lineRule="auto"/>
        <w:ind w:left="567"/>
        <w:jc w:val="both"/>
        <w:rPr>
          <w:i/>
          <w:iCs/>
          <w:sz w:val="20"/>
          <w:szCs w:val="18"/>
        </w:rPr>
      </w:pPr>
      <w:r>
        <w:t xml:space="preserve">«39. [...] όσον αφορά την κατηγορία των «άλλων απαιτήσεων», επισημαίνεται ότι, για να χαρακτηριστεί ως «άλλη απαίτηση», κατά την έννοια του άρθρου 1, σημείο 4, της οδηγίας 98/34, ένα εθνικό μέτρο πρέπει να συνιστά «προϋπόθεση» δυνάμενη να επηρεάσει σημαντικά τη σύνθεση, τη φύση ή την εμπορία του οικείου προϊόντος (απόφαση της 13 Οκτωβρίου 2016, M. και S., C-303/15, σκέψη 20 και εκεί μνημονευόμενη νομολογία).</w:t>
      </w:r>
    </w:p>
    <w:p w14:paraId="3684C8BC" w14:textId="77777777">
      <w:pPr>
        <w:pStyle w:val="P68B1DB1-Normal14"/>
        <w:widowControl w:val="0"/>
        <w:tabs>
          <w:tab w:val="left" w:pos="404"/>
        </w:tabs>
        <w:autoSpaceDE w:val="0"/>
        <w:autoSpaceDN w:val="0"/>
        <w:spacing w:after="0" w:line="240" w:lineRule="auto"/>
        <w:ind w:left="567"/>
        <w:jc w:val="both"/>
        <w:rPr>
          <w:i/>
          <w:iCs/>
          <w:sz w:val="20"/>
          <w:szCs w:val="18"/>
        </w:rPr>
      </w:pPr>
    </w:p>
    <w:p w14:paraId="1F15B628" w14:textId="0E023F78">
      <w:pPr>
        <w:pStyle w:val="P68B1DB1-P68B1DB1-Normal147"/>
        <w:widowControl w:val="0"/>
        <w:tabs>
          <w:tab w:val="left" w:pos="404"/>
        </w:tabs>
        <w:autoSpaceDE w:val="0"/>
        <w:autoSpaceDN w:val="0"/>
        <w:spacing w:after="0" w:line="240" w:lineRule="auto"/>
        <w:ind w:left="567"/>
        <w:jc w:val="both"/>
        <w:rPr>
          <w:i/>
          <w:iCs/>
          <w:sz w:val="20"/>
          <w:szCs w:val="18"/>
        </w:rPr>
      </w:pPr>
      <w:r>
        <w:t xml:space="preserve">40. Συναφώς, επισημαίνεται, όπως επισήμανε και ο γενικός εισαγγελέας στο σημείο 76 των προτάσεών του, ότι η βελγική νομοθεσία εξαρτά την πώληση ειδών πυροτεχνίας των οποίων η σύνθεση πυροτεχνίας υπερβαίνει τα 1 kg από την προϋπόθεση ότι ο αγοραστής αποκτά άδεια. Επομένως, η απαιτούμενη άδεια δεν συνιστά απαίτηση για το οικείο προϊόν, αλλά για τους δυνητικούς αγοραστές και, εμμέσως, για τους επιχειρηματίες που πωλούν είδη πυροτεχνίας (πρβλ. αποφάσεις της 21 Απριλίου 2005, Lindberg, C-267/03, σκέψη 87, και της 13 Οκτωβρίου 2016, M. και S., C-303/15, ΕΣΕ, σκέψη 29).»</w:t>
      </w:r>
    </w:p>
    <w:p w14:paraId="1EF9D88D" w14:textId="77777777">
      <w:pPr>
        <w:spacing w:after="0" w:line="240" w:lineRule="auto"/>
      </w:pPr>
    </w:p>
    <w:p w14:paraId="71F55FA7" w14:textId="4326F279">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4" w:anchor="ctx1" w:history="1">
        <w:r>
          <w:rPr>
            <w:color w:val="0000FF"/>
            <w:u w:val="single"/>
          </w:rPr>
          <w:t xml:space="preserve">Απόφαση της 28 Μαΐου 2020</w:t>
        </w:r>
      </w:hyperlink>
      <w:r>
        <w:t xml:space="preserve"> στην υπόθεση C-727/17, ECO-WIND Construction, σκέψεις 40 και 41</w:t>
      </w:r>
      <w:bookmarkEnd w:id="61"/>
    </w:p>
    <w:p w14:paraId="6D637FFA" w14:textId="77777777">
      <w:pPr>
        <w:widowControl w:val="0"/>
        <w:autoSpaceDE w:val="0"/>
        <w:autoSpaceDN w:val="0"/>
        <w:spacing w:after="0" w:line="240" w:lineRule="auto"/>
        <w:jc w:val="both"/>
        <w:rPr>
          <w:rFonts w:ascii="Times New Roman" w:hAnsi="Times New Roman" w:cs="Times New Roman" w:eastAsia="Times New Roman"/>
          <w:szCs w:val="20"/>
        </w:rPr>
      </w:pPr>
    </w:p>
    <w:p w14:paraId="1D3192D5" w14:textId="77777777">
      <w:pPr>
        <w:pStyle w:val="P68B1DB1-P68B1DB1-Normal135"/>
        <w:widowControl w:val="0"/>
        <w:autoSpaceDE w:val="0"/>
        <w:autoSpaceDN w:val="0"/>
        <w:spacing w:after="0" w:line="240" w:lineRule="auto"/>
        <w:jc w:val="both"/>
        <w:rPr>
          <w:b w:val="0"/>
          <w:bCs/>
          <w:i w:val="0"/>
          <w:iCs/>
        </w:rPr>
      </w:pPr>
      <w:r>
        <w:t xml:space="preserve">Κανονισμός που επιβάλλει ελάχιστη απόσταση για την εγκατάσταση ανεμογεννητριών δεν εμπίπτει στην κατηγορία των «άλλων απαιτήσεων», διότι ο αντίκτυπός του στην εμπορία των οικείων προϊόντων δεν είναι επαρκώς άμεσος.</w:t>
      </w:r>
    </w:p>
    <w:p w14:paraId="11DAB658" w14:textId="77777777">
      <w:pPr>
        <w:widowControl w:val="0"/>
        <w:autoSpaceDE w:val="0"/>
        <w:autoSpaceDN w:val="0"/>
        <w:spacing w:after="0" w:line="240" w:lineRule="auto"/>
        <w:jc w:val="both"/>
        <w:rPr>
          <w:rFonts w:ascii="Times New Roman" w:hAnsi="Times New Roman" w:cs="Times New Roman" w:eastAsia="Times New Roman"/>
          <w:szCs w:val="20"/>
        </w:rPr>
      </w:pPr>
    </w:p>
    <w:p w14:paraId="0E9213F5" w14:textId="153822EB">
      <w:pPr>
        <w:pStyle w:val="P68B1DB1-BodyText19"/>
        <w:ind w:left="567"/>
        <w:rPr>
          <w:iCs/>
        </w:rPr>
      </w:pPr>
      <w:r>
        <w:t xml:space="preserve">«40. [...] από πάγια νομολογία προκύπτει ότι η κατηγορία αυτή περιλαμβάνει ρύθμιση η οποία προβλέπει προϋπόθεση δυνάμενη να επηρεάσει σημαντικά τη σύνθεση, τη φύση ή την εμπορία ενός προϊόντος (αποφάσεις της 21 Απριλίου 2005, Lindberg, C-267/03, σκέψεις 69 έως 72, και της 19 Ιουλίου 2012, Fortuna κ.λπ., C-213/11, C-214/11 και C-217/11, σκέψη 35), οι δε «άλλες απαιτήσεις» που καλύπτουν τις απαιτήσεις που απορρέουν από την εξέταση του κύκλου ζωής του οικείου προϊόντος μετά τη διάθεσή του στην αγορά και αφορούν, μεταξύ άλλων, τη χρήση του.</w:t>
      </w:r>
    </w:p>
    <w:p w14:paraId="15144425" w14:textId="77777777">
      <w:pPr>
        <w:pStyle w:val="P68B1DB1-BodyText19"/>
        <w:ind w:left="567"/>
        <w:rPr>
          <w:iCs/>
        </w:rPr>
      </w:pPr>
    </w:p>
    <w:p w14:paraId="45870460" w14:textId="6B88BEBE">
      <w:pPr>
        <w:pStyle w:val="P68B1DB1-BodyText19"/>
        <w:ind w:left="567"/>
        <w:rPr>
          <w:iCs/>
        </w:rPr>
      </w:pPr>
      <w:r>
        <w:t xml:space="preserve">41. Εν προκειμένω όμως, όπως επισημαίνεται και στο πλαίσιο της εκτίμησης που περιλαμβάνεται στη σκέψη 37 της παρούσας απόφασης, η απαίτηση κατά την οποία η εγκατάσταση ανεμογεννήτριας υπόκειται στην τήρηση ελάχιστης απόστασης μεταξύ αυτής και των κτιρίων που επιτελούν οικιστική λειτουργία δεν συνδέεται άμεσα με τη σύνθεση, τη φύση ή την εμπορία ενός προϊόντος όπως η ανεμογεννήτρια. Συναφώς, ακόμη και αν υποτεθεί ότι η απαίτηση αυτή θα οδηγούσε σε περιορισμό των τοποθεσιών που είναι κατάλληλες για την εγκατάσταση ανεμογεννητριών και, ως εκ τούτου, θα επηρέαζε την εμπορία των ανεμογεννητριών, το αποτέλεσμα αυτό δεν θα ήταν αρκούντως άμεσο ώστε η απαίτηση αυτή να εμπίπτει στην κατηγορία των «άλλων απαιτήσεων» του άρθρου 1 παράγραφος στοιχείο στ) ́, της οδηγίας 2015/1535.»</w:t>
      </w:r>
    </w:p>
    <w:p w14:paraId="67BFB4E8" w14:textId="77777777">
      <w:pPr>
        <w:spacing w:after="0" w:line="240" w:lineRule="auto"/>
      </w:pPr>
    </w:p>
    <w:p w14:paraId="408C26E9" w14:textId="6A65B075">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45" w:history="1">
        <w:r>
          <w:rPr>
            <w:rStyle w:val="Hyperlink"/>
            <w:rFonts w:ascii="Times New Roman" w:hAnsi="Times New Roman" w:cs="Times New Roman" w:eastAsia="Times New Roman"/>
            <w:b/>
            <w:i/>
            <w:color w:val="0000FF"/>
            <w:szCs w:val="20"/>
          </w:rPr>
          <w:t xml:space="preserve">Απόφαση της 4 Νοεμβρίου 2022</w:t>
        </w:r>
      </w:hyperlink>
      <w:r>
        <w:rPr>
          <w:rFonts w:ascii="Times New Roman" w:hAnsi="Times New Roman" w:cs="Times New Roman" w:eastAsia="Times New Roman"/>
          <w:b/>
          <w:i/>
          <w:szCs w:val="20"/>
        </w:rPr>
        <w:t xml:space="preserve">, Phytofar, C</w:t>
        <w:noBreakHyphen/>
        <w:t xml:space="preserve">658/21, σκέψεις 36 έως 42.</w:t>
      </w:r>
      <w:bookmarkEnd w:id="62"/>
    </w:p>
    <w:p w14:paraId="5BBD916F" w14:textId="77777777">
      <w:pPr>
        <w:widowControl w:val="0"/>
        <w:autoSpaceDE w:val="0"/>
        <w:autoSpaceDN w:val="0"/>
        <w:spacing w:after="0" w:line="240" w:lineRule="auto"/>
        <w:jc w:val="both"/>
        <w:rPr>
          <w:rFonts w:ascii="Times New Roman" w:hAnsi="Times New Roman" w:cs="Times New Roman" w:eastAsia="Times New Roman"/>
          <w:szCs w:val="20"/>
        </w:rPr>
      </w:pPr>
    </w:p>
    <w:p w14:paraId="12813288" w14:textId="64B11198">
      <w:pPr>
        <w:pStyle w:val="P68B1DB1-P68B1DB1-Normal135"/>
        <w:widowControl w:val="0"/>
        <w:autoSpaceDE w:val="0"/>
        <w:autoSpaceDN w:val="0"/>
        <w:spacing w:after="0" w:line="240" w:lineRule="auto"/>
        <w:jc w:val="both"/>
        <w:outlineLvl w:val="1"/>
        <w:rPr>
          <w:b w:val="0"/>
          <w:bCs/>
          <w:i w:val="0"/>
          <w:iCs/>
          <w:sz w:val="20"/>
        </w:rPr>
      </w:pPr>
      <w:bookmarkStart w:id="63" w:name="_Toc198043823"/>
      <w:r>
        <w:t xml:space="preserve">Ρύθμιση η οποία απαγορεύει στα πρόσωπα που δεν διαθέτουν άδεια για επαγγελματίες να χρησιμοποιούν φυτοφάρμακα που περιέχουν glyphosate μπορεί να συνιστά «άλλη απαίτηση», δεδομένου ότι θα μπορούσε να επηρεάσει σημαντικά την εμπορία του glyphosate. Η σημασία της επιρροής αυτής εκτιμάται υπό το πρίσμα του όγκου των αγορών των οικείων προϊόντων και των μεταβολών των συνηθειών πωλήσεων.</w:t>
      </w:r>
      <w:bookmarkEnd w:id="63"/>
    </w:p>
    <w:p w14:paraId="017C51C5" w14:textId="77777777">
      <w:pPr>
        <w:widowControl w:val="0"/>
        <w:autoSpaceDE w:val="0"/>
        <w:autoSpaceDN w:val="0"/>
        <w:spacing w:after="0" w:line="240" w:lineRule="auto"/>
        <w:ind w:left="567"/>
        <w:jc w:val="both"/>
        <w:outlineLvl w:val="1"/>
        <w:rPr>
          <w:rFonts w:ascii="Times New Roman" w:hAnsi="Times New Roman" w:cs="Times New Roman"/>
          <w:i/>
          <w:iCs/>
          <w:sz w:val="20"/>
          <w:szCs w:val="20"/>
        </w:rPr>
      </w:pPr>
    </w:p>
    <w:p w14:paraId="19599530" w14:textId="17AE1EBB">
      <w:pPr>
        <w:spacing w:after="0" w:line="240" w:lineRule="auto"/>
        <w:ind w:left="567"/>
        <w:jc w:val="both"/>
        <w:rPr>
          <w:rFonts w:ascii="Times New Roman" w:hAnsi="Times New Roman" w:cs="Times New Roman"/>
          <w:i/>
          <w:sz w:val="20"/>
          <w:szCs w:val="20"/>
        </w:rPr>
        <w:pStyle w:val="P68B1DB1-Normal20"/>
      </w:pPr>
      <w:r>
        <w:t xml:space="preserve">«36. Εν προκειμένω, από το προοίμιο της αποφάσεως της 14 Ιουλίου 2017 συνάγεται, κατ’ αρχάς, ότι η απαγόρευση την οποία θεσπίζει η ως άνω απόφαση επιβάλλεται για λόγους προστασίας της ανθρώπινης υγείας και του περιβάλλοντος.</w:t>
      </w:r>
    </w:p>
    <w:p w14:paraId="1CBD02C5" w14:textId="77777777">
      <w:pPr>
        <w:spacing w:after="0" w:line="240" w:lineRule="auto"/>
        <w:ind w:left="567"/>
        <w:jc w:val="both"/>
        <w:rPr>
          <w:rFonts w:ascii="Times New Roman" w:hAnsi="Times New Roman" w:cs="Times New Roman"/>
          <w:i/>
          <w:sz w:val="20"/>
          <w:szCs w:val="20"/>
        </w:rPr>
      </w:pPr>
    </w:p>
    <w:p w14:paraId="1A20049E" w14:textId="08504F01">
      <w:pPr>
        <w:spacing w:after="0" w:line="240" w:lineRule="auto"/>
        <w:ind w:left="567"/>
        <w:jc w:val="both"/>
        <w:rPr>
          <w:rFonts w:ascii="Times New Roman" w:hAnsi="Times New Roman" w:cs="Times New Roman"/>
          <w:i/>
          <w:sz w:val="20"/>
          <w:szCs w:val="20"/>
        </w:rPr>
        <w:pStyle w:val="P68B1DB1-Normal20"/>
      </w:pPr>
      <w:r>
        <w:t xml:space="preserve">37. Εν συνεχεία, επισημαίνεται ότι η απαγόρευση αυτή αφορά τον κύκλο ζωής των γεωργικών φαρμάκων που περιέχουν γλυφοσάτη μετά τη διάθεσή τους στην αγορά, αφού θέτει έναν όρο που συνδέεται με τη χρήση των προϊόντων αυτών, υπό την έννοια ότι μόνον οι επαγγελματίες οι οποίοι είναι κάτοχοι άδειας χρήσεως φυτοπροστατευτικών προϊόντων επιτρέπεται να τα χρησιμοποιούν.</w:t>
      </w:r>
    </w:p>
    <w:p w14:paraId="595DD057" w14:textId="77777777">
      <w:pPr>
        <w:spacing w:after="0" w:line="240" w:lineRule="auto"/>
        <w:ind w:left="567"/>
        <w:jc w:val="both"/>
        <w:rPr>
          <w:rFonts w:ascii="Times New Roman" w:hAnsi="Times New Roman" w:cs="Times New Roman"/>
          <w:i/>
          <w:sz w:val="20"/>
          <w:szCs w:val="20"/>
        </w:rPr>
      </w:pPr>
    </w:p>
    <w:p w14:paraId="7F0E7EDE" w14:textId="698ECA01">
      <w:pPr>
        <w:spacing w:after="0" w:line="240" w:lineRule="auto"/>
        <w:ind w:left="567"/>
        <w:jc w:val="both"/>
        <w:rPr>
          <w:rFonts w:ascii="Times New Roman" w:hAnsi="Times New Roman" w:cs="Times New Roman"/>
          <w:i/>
          <w:sz w:val="20"/>
          <w:szCs w:val="20"/>
        </w:rPr>
        <w:pStyle w:val="P68B1DB1-Normal20"/>
      </w:pPr>
      <w:r>
        <w:t xml:space="preserve">38. Τέλος, επιβάλλεται η διαπίστωση ότι ένα τέτοιο μέτρο απαγόρευσης είναι ικανό να επηρεάσει την εμπορία των οικείων προϊόντων.</w:t>
      </w:r>
    </w:p>
    <w:p w14:paraId="6A260A53" w14:textId="77777777">
      <w:pPr>
        <w:spacing w:after="0" w:line="240" w:lineRule="auto"/>
        <w:ind w:left="567"/>
        <w:jc w:val="both"/>
        <w:rPr>
          <w:rFonts w:ascii="Times New Roman" w:hAnsi="Times New Roman" w:cs="Times New Roman"/>
          <w:i/>
          <w:sz w:val="20"/>
          <w:szCs w:val="20"/>
        </w:rPr>
      </w:pPr>
    </w:p>
    <w:p w14:paraId="5066FFC6" w14:textId="1BDD0139">
      <w:pPr>
        <w:spacing w:after="0" w:line="240" w:lineRule="auto"/>
        <w:ind w:left="567"/>
        <w:jc w:val="both"/>
        <w:rPr>
          <w:rFonts w:ascii="Times New Roman" w:hAnsi="Times New Roman" w:cs="Times New Roman"/>
          <w:i/>
          <w:sz w:val="20"/>
          <w:szCs w:val="20"/>
        </w:rPr>
        <w:pStyle w:val="P68B1DB1-Normal20"/>
      </w:pPr>
      <w:r>
        <w:t xml:space="preserve">39. Πράγματι, το μέτρο αυτό συνεπάγεται την εξαφάνιση μιας κατηγορίας δυνητικών αγοραστών γεωργικών φαρμάκων που περιέχουν γλυφοσάτη, ήτοι των ιδιωτών που επιθυμούν να χρησιμοποιήσουν οι ίδιοι τέτοια γεωργικά φάρμακα, χωρίς να προσφύγουν στις υπηρεσίες επαγγελματιών που είναι κάτοχοι της απαιτούμενης άδειας χρήσεως φυτοπροστατευτικών προϊόντων. Επομένως, ένας τέτοιος περιορισμός της δυνατότητας χρήσεως φυτοφαρμάκων που περιέχουν glyphosate επηρεάζει την εμπορία τους (βλ., κατ’ αναλογίαν, απόφαση της 13 Οκτωβρίου 2016, M. και S., C-303/15, σκέψη 26 και εκεί μνημονευόμενη νομολογία).</w:t>
      </w:r>
    </w:p>
    <w:p w14:paraId="1A6F1ECE" w14:textId="77777777">
      <w:pPr>
        <w:spacing w:after="0" w:line="240" w:lineRule="auto"/>
        <w:ind w:left="567"/>
        <w:jc w:val="both"/>
        <w:rPr>
          <w:rFonts w:ascii="Times New Roman" w:hAnsi="Times New Roman" w:cs="Times New Roman"/>
          <w:i/>
          <w:sz w:val="20"/>
          <w:szCs w:val="20"/>
        </w:rPr>
      </w:pPr>
    </w:p>
    <w:p w14:paraId="33FD9071" w14:textId="2955C650">
      <w:pPr>
        <w:spacing w:after="0" w:line="240" w:lineRule="auto"/>
        <w:ind w:left="567"/>
        <w:jc w:val="both"/>
        <w:rPr>
          <w:rFonts w:ascii="Times New Roman" w:hAnsi="Times New Roman" w:cs="Times New Roman"/>
          <w:i/>
          <w:sz w:val="20"/>
          <w:szCs w:val="20"/>
        </w:rPr>
        <w:pStyle w:val="P68B1DB1-Normal20"/>
      </w:pPr>
      <w:r>
        <w:t xml:space="preserve">40. Ωστόσο, όπως επισημαίνει η Επιτροπή με τις γραπτές παρατηρήσεις της, για να χαρακτηριστεί το μέτρο που θεσπίστηκε με την απόφαση της 14 Ιουλίου 2017 ως «τεχνικός κανόνας», ο οποίος εμπίπτει στην κατηγορία των «άλλων απαιτήσεων» κατά την έννοια του άρθρου 1 παράγραφος στοιχείο δ) ́ και στ ́, της οδηγίας 2015/1535, η εμπορία φυτοφαρμάκων που περιέχουν glyphosate πρέπει να επηρεάζεται «σημαντικά» από το μέτρο αυτό.</w:t>
      </w:r>
    </w:p>
    <w:p w14:paraId="219AFD18" w14:textId="77777777">
      <w:pPr>
        <w:spacing w:after="0" w:line="240" w:lineRule="auto"/>
        <w:ind w:left="567"/>
        <w:jc w:val="both"/>
        <w:rPr>
          <w:rFonts w:ascii="Times New Roman" w:hAnsi="Times New Roman" w:cs="Times New Roman"/>
          <w:i/>
          <w:sz w:val="20"/>
          <w:szCs w:val="20"/>
        </w:rPr>
      </w:pPr>
    </w:p>
    <w:p w14:paraId="51EC447B" w14:textId="2F0134D7">
      <w:pPr>
        <w:spacing w:after="0" w:line="240" w:lineRule="auto"/>
        <w:ind w:left="567"/>
        <w:jc w:val="both"/>
        <w:rPr>
          <w:rFonts w:ascii="Times New Roman" w:hAnsi="Times New Roman" w:cs="Times New Roman"/>
          <w:i/>
          <w:sz w:val="20"/>
          <w:szCs w:val="20"/>
        </w:rPr>
        <w:pStyle w:val="P68B1DB1-Normal20"/>
      </w:pPr>
      <w:r>
        <w:t xml:space="preserve">41. Στο αιτούν δικαστήριο απόκειται να εξακριβώσει αν τούτο συμβαίνει εν προκειμένω.</w:t>
      </w:r>
    </w:p>
    <w:p w14:paraId="700BF673" w14:textId="77777777">
      <w:pPr>
        <w:spacing w:after="0" w:line="240" w:lineRule="auto"/>
        <w:ind w:left="567"/>
        <w:jc w:val="both"/>
        <w:rPr>
          <w:rFonts w:ascii="Times New Roman" w:hAnsi="Times New Roman" w:cs="Times New Roman"/>
          <w:i/>
          <w:sz w:val="20"/>
          <w:szCs w:val="20"/>
        </w:rPr>
      </w:pPr>
    </w:p>
    <w:p w14:paraId="15FA9CD4" w14:textId="12DBE6E1">
      <w:pPr>
        <w:spacing w:after="0" w:line="240" w:lineRule="auto"/>
        <w:ind w:left="567"/>
        <w:jc w:val="both"/>
        <w:rPr>
          <w:rFonts w:ascii="Times New Roman" w:hAnsi="Times New Roman" w:cs="Times New Roman"/>
          <w:i/>
          <w:sz w:val="20"/>
          <w:szCs w:val="20"/>
        </w:rPr>
        <w:pStyle w:val="P68B1DB1-Normal20"/>
      </w:pPr>
      <w:r>
        <w:t xml:space="preserve">42. Κατά την εξέταση του ζητήματος αυτού, το αιτούν δικαστήριο θα μπορεί να λάβει υπόψη, μεταξύ άλλων, τον συνολικό όγκο των πωλήσεων γεωργικών φαρμάκων που περιέχουν γλυφοσάτη εντός της Περιφέρειας της Φλάνδρας και το κατά πόσον μεταβλήθηκαν οι αγοραστικές συνήθειες κάθε κατηγορίας αγοραστών, βάσει της συχνότητας των αγορών τους και της ποσότητας του αγορασθέντος προϊόντος, καθώς και τη μεταβολή των τόπων αγοράς και των δικτύων διανομής. Στο πλαίσιο αυτό, το εν λόγω δικαστήριο μπορεί να λάβει υπόψη κατά πόσον, αφενός, η απαίτηση των επαγγελματιών χρηστών αντικαθιστά την απαίτηση των ιδιωτών που κάνουν χρήση των υπηρεσιών των επαγγελματιών χρηστών και, αφετέρου, οι μεμονωμένοι χρήστες αποκτούν πλέον φυτοφάρμακα χωρίς γλυφοσάτη αντί για εκείνα που περιέχουν την εν λόγω ουσία.»</w:t>
      </w:r>
    </w:p>
    <w:p w14:paraId="4A5F3F04" w14:textId="77777777">
      <w:pPr>
        <w:spacing w:after="0" w:line="240" w:lineRule="auto"/>
        <w:ind w:left="567"/>
        <w:jc w:val="both"/>
      </w:pPr>
    </w:p>
    <w:p w14:paraId="430159AA" w14:textId="501CF887">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46" w:history="1">
        <w:r>
          <w:rPr>
            <w:rStyle w:val="Hyperlink"/>
            <w:rFonts w:ascii="Times New Roman" w:hAnsi="Times New Roman" w:cs="Times New Roman" w:eastAsia="Times New Roman"/>
            <w:b/>
            <w:i/>
            <w:color w:val="0000FF"/>
            <w:szCs w:val="20"/>
          </w:rPr>
          <w:t xml:space="preserve">Απόφαση της 9 Μαρτίου 2023</w:t>
        </w:r>
      </w:hyperlink>
      <w:r>
        <w:rPr>
          <w:rFonts w:ascii="Times New Roman" w:hAnsi="Times New Roman" w:cs="Times New Roman" w:eastAsia="Times New Roman"/>
          <w:b/>
          <w:i/>
          <w:szCs w:val="20"/>
        </w:rPr>
        <w:t xml:space="preserve"> στην υπόθεση C-604/21, Vapo Atlantic, σκέψεις 40 και 41</w:t>
      </w:r>
      <w:bookmarkEnd w:id="64"/>
    </w:p>
    <w:p w14:paraId="25D9A71A" w14:textId="77777777">
      <w:pPr>
        <w:widowControl w:val="0"/>
        <w:autoSpaceDE w:val="0"/>
        <w:autoSpaceDN w:val="0"/>
        <w:spacing w:after="0" w:line="240" w:lineRule="auto"/>
        <w:jc w:val="both"/>
        <w:rPr>
          <w:rFonts w:ascii="Times New Roman" w:hAnsi="Times New Roman" w:cs="Times New Roman" w:eastAsia="Times New Roman"/>
          <w:szCs w:val="20"/>
        </w:rPr>
      </w:pPr>
    </w:p>
    <w:p w14:paraId="68D99C30" w14:textId="07845CAB">
      <w:pPr>
        <w:widowControl w:val="0"/>
        <w:autoSpaceDE w:val="0"/>
        <w:autoSpaceDN w:val="0"/>
        <w:spacing w:after="0" w:line="240" w:lineRule="auto"/>
        <w:jc w:val="both"/>
        <w:outlineLvl w:val="1"/>
        <w:rPr>
          <w:rFonts w:ascii="Times New Roman" w:hAnsi="Times New Roman" w:cs="Times New Roman" w:eastAsia="Times New Roman"/>
          <w:bCs/>
          <w:iCs/>
          <w:szCs w:val="20"/>
        </w:rPr>
        <w:pStyle w:val="P68B1DB1-Normal14"/>
      </w:pPr>
      <w:bookmarkStart w:id="65" w:name="_Toc198043825"/>
      <w:r>
        <w:t xml:space="preserve">Η εθνική νομοθεσία που απαιτεί από τους φορείς εκμετάλλευσης που θέτουν σε ανάλωση καύσιμα κίνησης να συμβάλλουν στην επίτευξη των στόχων για την ενσωμάτωση βιοκαυσίμων στα καύσιμα κινητήρων και των οποίων η παραβίαση μπορεί να οδηγήσει σε οικονομικές κυρώσεις μπορεί να επηρεάσει σημαντικά την εμπορία των καυσίμων. Επομένως, συνιστά «άλλη απαίτηση».</w:t>
      </w:r>
      <w:bookmarkEnd w:id="65"/>
    </w:p>
    <w:p w14:paraId="397991CE"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7F49CA88" w14:textId="0C6B3003">
      <w:pPr>
        <w:pStyle w:val="P68B1DB1-Normal20"/>
        <w:widowControl w:val="0"/>
        <w:autoSpaceDE w:val="0"/>
        <w:autoSpaceDN w:val="0"/>
        <w:spacing w:after="0" w:line="240" w:lineRule="auto"/>
        <w:ind w:left="567"/>
        <w:jc w:val="both"/>
        <w:outlineLvl w:val="1"/>
      </w:pPr>
      <w:bookmarkStart w:id="66" w:name="_Toc198043826"/>
      <w:r>
        <w:t xml:space="preserve">«40. Εν προκειμένω, οι προβληματισμοί του αιτούντος δικαστηρίου αφορούν εθνική ρύθμιση η οποία απαιτεί από τους οικονομικούς φορείς που διαθέτουν προς κατανάλωση καύσιμα κίνησης, εξαιρουμένου του LPG και του φυσικού αερίου, να συμβάλλουν στην επίτευξη των στόχων ανάμειξης βιοκαυσίμων στις ετήσιες ποσότητες καυσίμων κίνησης που διαθέτουν στην κατανάλωση, και συγκεκριμένα του στόχου ανάμειξης σε ποσοστό 10 % για το έτος 2020. Ακόμη και στην περίπτωση που η ρύθμιση αυτή δεν διευκρινίζει το είδος του οικείου καυσίμου κίνησης, δεν καθορίζει το ποσοστό του βιοκαυσίμου που πρέπει να αναμειχθεί υλικώς στα καύσιμα κίνησης, ούτε διευκρινίζει το είδος του προς ανάμειξη βιοκαυσίμου, γεγονός παραμένει ότι η απαίτηση που επιβάλλει με σκοπό την προστασία του περιβάλλοντος αφορά τον κύκλο ζωής των καυσίμων κίνησης μετά τη διάθεσή τους στην αγορά και μπορεί να επηρεάσει σημαντικά την εμπορία των εν λόγω προϊόντων, καθόσον η παράβαση της υποχρέωσης ανάμειξης βιοκαυσίμων που τάσσει η ρύθμιση αυτή μπορεί να επιφέρει την επιβολή οικονομικής αντιστάθμισης.</w:t>
      </w:r>
      <w:bookmarkEnd w:id="66"/>
    </w:p>
    <w:p w14:paraId="4CEBAF3A" w14:textId="77777777">
      <w:pPr>
        <w:pStyle w:val="P68B1DB1-Normal20"/>
        <w:widowControl w:val="0"/>
        <w:autoSpaceDE w:val="0"/>
        <w:autoSpaceDN w:val="0"/>
        <w:spacing w:after="0" w:line="240" w:lineRule="auto"/>
        <w:ind w:left="567"/>
        <w:jc w:val="both"/>
        <w:outlineLvl w:val="1"/>
      </w:pPr>
    </w:p>
    <w:p w14:paraId="08AE2C99" w14:textId="38734870">
      <w:pPr>
        <w:pStyle w:val="P68B1DB1-Normal20"/>
        <w:widowControl w:val="0"/>
        <w:autoSpaceDE w:val="0"/>
        <w:autoSpaceDN w:val="0"/>
        <w:spacing w:after="0" w:line="240" w:lineRule="auto"/>
        <w:ind w:left="567"/>
        <w:jc w:val="both"/>
        <w:outlineLvl w:val="1"/>
        <w:rPr>
          <w:iCs/>
        </w:rPr>
      </w:pPr>
      <w:bookmarkStart w:id="67" w:name="_Toc198043827"/>
      <w:r>
        <w:t xml:space="preserve">41. Επομένως, εθνικός νόμος ο οποίος θέτει ως στόχο την ενσωμάτωση του 10 % των βιοκαυσίμων στα καύσιμα κινητήρων που τίθενται σε ανάλωση από οικονομικό φορέα για το έτος 2020 εμπίπτει στην έννοια των «άλλων απαιτήσεων» κατά το άρθρο 1 παράγραφος 4, της οδηγίας 98/34 και, ως εκ τούτου, συνιστά «τεχνικό κανόνα» κατά την έννοια του άρθρου 1 παράγραφος 11, της οδηγίας αυτής.»</w:t>
      </w:r>
      <w:bookmarkEnd w:id="67"/>
    </w:p>
    <w:p w14:paraId="6064CE7D" w14:textId="77777777">
      <w:pPr>
        <w:pStyle w:val="P68B1DB1-BodyText10"/>
        <w:rPr>
          <w:bCs/>
        </w:rPr>
      </w:pPr>
    </w:p>
    <w:p w14:paraId="3F05E4B7" w14:textId="77777777">
      <w:pPr>
        <w:spacing w:after="0" w:line="278" w:lineRule="auto"/>
        <w:rPr>
          <w:rFonts w:ascii="Times New Roman" w:hAnsi="Times New Roman" w:cs="Times New Roman" w:eastAsia="Times New Roman"/>
          <w:b/>
          <w:sz w:val="24"/>
          <w:szCs w:val="20"/>
        </w:rPr>
      </w:pPr>
      <w:r>
        <w:br w:type="page"/>
      </w:r>
    </w:p>
    <w:p w14:paraId="39F57DA0" w14:textId="51AFFAF0">
      <w:pPr>
        <w:pStyle w:val="P68B1DB1-Heading24"/>
        <w:numPr>
          <w:ilvl w:val="0"/>
          <w:numId w:val="35"/>
        </w:numPr>
        <w:spacing w:before="0" w:after="0"/>
        <w:jc w:val="center"/>
        <w:rPr>
          <w:bCs/>
          <w:color w:val="auto"/>
        </w:rPr>
      </w:pPr>
      <w:bookmarkStart w:id="68" w:name="_Ref196314214"/>
      <w:bookmarkStart w:id="69" w:name="_Toc203035669"/>
      <w:r>
        <w:t xml:space="preserve">Κανόνες για τις υπηρεσίες</w:t>
      </w:r>
      <w:bookmarkEnd w:id="5"/>
      <w:bookmarkEnd w:id="68"/>
      <w:bookmarkEnd w:id="69"/>
    </w:p>
    <w:p w14:paraId="19E12A03" w14:textId="77777777">
      <w:pPr>
        <w:pStyle w:val="BodyText"/>
      </w:pPr>
    </w:p>
    <w:p w14:paraId="6D8B2150" w14:textId="77777777">
      <w:pPr>
        <w:pStyle w:val="P68B1DB1-BodyText11"/>
        <w:ind w:left="567"/>
        <w:rPr>
          <w:iCs/>
        </w:rPr>
      </w:pPr>
      <w:r>
        <w:t xml:space="preserve">«“κανόνας σχετικά με τις υπηρεσίες”: απαίτηση γενικού χαρακτήρα σχετικά με την πρόσβαση σε δραστηριότητες παροχής υπηρεσιών κατά την έννοια του στοιχείου β) και την άσκησή τους, ιδίως διατάξεις που αφορούν τον πάροχο υπηρεσιών, τις υπηρεσίες και τον αποδέκτη των υπηρεσιών, εξαιρουμένων των κανόνων που δεν αφορούν ειδικά τις υπηρεσίες που ορίζονται στο εν λόγω σημείο. </w:t>
      </w:r>
    </w:p>
    <w:p w14:paraId="7C9B8AC3" w14:textId="77777777">
      <w:pPr>
        <w:pStyle w:val="P68B1DB1-BodyText11"/>
        <w:ind w:left="567"/>
        <w:rPr>
          <w:iCs/>
        </w:rPr>
      </w:pPr>
    </w:p>
    <w:p w14:paraId="46FCE36C" w14:textId="0D89DACC">
      <w:pPr>
        <w:pStyle w:val="P68B1DB1-BodyText11"/>
        <w:ind w:left="567"/>
        <w:rPr>
          <w:iCs/>
        </w:rPr>
      </w:pPr>
      <w:r>
        <w:t xml:space="preserve">Για τους σκοπούς του παρόντος ορισμού: </w:t>
      </w:r>
    </w:p>
    <w:p w14:paraId="0FA17B64" w14:textId="77777777">
      <w:pPr>
        <w:pStyle w:val="P68B1DB1-BodyText11"/>
        <w:ind w:left="567"/>
        <w:rPr>
          <w:iCs/>
        </w:rPr>
      </w:pPr>
    </w:p>
    <w:p w14:paraId="5287D99C" w14:textId="40B4253E">
      <w:pPr>
        <w:pStyle w:val="P68B1DB1-BodyText11"/>
        <w:numPr>
          <w:ilvl w:val="0"/>
          <w:numId w:val="30"/>
        </w:numPr>
        <w:rPr>
          <w:iCs/>
        </w:rPr>
      </w:pPr>
      <w:r>
        <w:t xml:space="preserve">ένας κανόνας θεωρείται ότι αφορά ειδικά τις υπηρεσίες της κοινωνίας των πληροφοριών όταν, αν ληφθεί υπόψη η αιτιολογία και το κείμενό του, έχει συγκεκριμένο σκοπό και αντικείμενο, είτε εξ ολοκλήρου είτε σε επί μέρους διατάξεις, να ρυθμίσει με σαφή και εύστοχο τρόπο τις υπηρεσίες αυτές, </w:t>
      </w:r>
    </w:p>
    <w:p w14:paraId="112BC54B" w14:textId="13ACB17B">
      <w:pPr>
        <w:pStyle w:val="P68B1DB1-BodyText11"/>
        <w:numPr>
          <w:ilvl w:val="0"/>
          <w:numId w:val="30"/>
        </w:numPr>
        <w:rPr>
          <w:iCs/>
        </w:rPr>
      </w:pPr>
      <w:r>
        <w:t xml:space="preserve">ένας κανόνας δεν θεωρείται ότι αφορά ειδικά τις υπηρεσίες της κοινωνίας των πληροφοριών εάν επηρεάζει τις υπηρεσίες αυτές μόνο κατά τρόπο έμμεσο ή περιστασιακό·»</w:t>
      </w:r>
    </w:p>
    <w:p w14:paraId="573C811F" w14:textId="77777777">
      <w:pPr>
        <w:pStyle w:val="BodyText"/>
        <w:ind w:left="567"/>
        <w:rPr>
          <w:i/>
          <w:iCs/>
        </w:rPr>
      </w:pPr>
    </w:p>
    <w:p w14:paraId="2735376A" w14:textId="709F0465">
      <w:pPr>
        <w:pStyle w:val="BodyText"/>
        <w:ind w:left="1440"/>
        <w:jc w:val="right"/>
      </w:pPr>
      <w:r>
        <w:t xml:space="preserve">(Άρθρο 1 παράγραφος στοιχείο ε) της οδηγίας (ΕΕ) 2015/1535)</w:t>
      </w:r>
    </w:p>
    <w:p w14:paraId="2412BA9D" w14:textId="7742CFA6">
      <w:pPr>
        <w:spacing w:after="0" w:line="240" w:lineRule="auto"/>
      </w:pPr>
    </w:p>
    <w:p w14:paraId="047B2ADB" w14:textId="17E336C2">
      <w:pPr>
        <w:spacing w:after="0" w:line="240" w:lineRule="auto"/>
        <w:ind w:left="567"/>
        <w:jc w:val="both"/>
        <w:rPr>
          <w:rFonts w:ascii="Times New Roman" w:hAnsi="Times New Roman" w:cs="Times New Roman"/>
          <w:i/>
          <w:sz w:val="24"/>
          <w:szCs w:val="24"/>
        </w:rPr>
        <w:pStyle w:val="P68B1DB1-Normal12"/>
      </w:pPr>
      <w:r>
        <w:t xml:space="preserve">«υπηρεσία»: κάθε υπηρεσία της κοινωνίας των πληροφοριών, δηλαδή κάθε υπηρεσία που συνήθως παρέχεται έναντι αμοιβής, με ηλεκτρονικά μέσα εξ αποστάσεως και κατόπιν προσωπικής επιλογής ενός αποδέκτη υπηρεσιών. </w:t>
      </w:r>
    </w:p>
    <w:p w14:paraId="0A07BEF1" w14:textId="77777777">
      <w:pPr>
        <w:spacing w:after="0" w:line="240" w:lineRule="auto"/>
        <w:ind w:left="567"/>
        <w:jc w:val="both"/>
        <w:rPr>
          <w:rFonts w:ascii="Times New Roman" w:hAnsi="Times New Roman" w:cs="Times New Roman"/>
          <w:i/>
          <w:sz w:val="24"/>
          <w:szCs w:val="24"/>
        </w:rPr>
      </w:pPr>
    </w:p>
    <w:p w14:paraId="0427D520" w14:textId="77777777">
      <w:pPr>
        <w:spacing w:after="0" w:line="240" w:lineRule="auto"/>
        <w:ind w:left="567"/>
        <w:jc w:val="both"/>
        <w:rPr>
          <w:rFonts w:ascii="Times New Roman" w:hAnsi="Times New Roman" w:cs="Times New Roman"/>
          <w:i/>
          <w:sz w:val="24"/>
          <w:szCs w:val="24"/>
        </w:rPr>
        <w:pStyle w:val="P68B1DB1-Normal12"/>
      </w:pPr>
      <w:r>
        <w:t xml:space="preserve">Για τους σκοπούς του παρόντος ορισμού: </w:t>
      </w:r>
    </w:p>
    <w:p w14:paraId="14B11324" w14:textId="77777777">
      <w:pPr>
        <w:spacing w:after="0" w:line="240" w:lineRule="auto"/>
        <w:ind w:left="567"/>
        <w:jc w:val="both"/>
        <w:rPr>
          <w:rFonts w:ascii="Times New Roman" w:hAnsi="Times New Roman" w:cs="Times New Roman"/>
          <w:i/>
          <w:sz w:val="24"/>
          <w:szCs w:val="24"/>
        </w:rPr>
      </w:pPr>
    </w:p>
    <w:p w14:paraId="0727DDA2" w14:textId="77777777">
      <w:pPr>
        <w:spacing w:after="0" w:line="240" w:lineRule="auto"/>
        <w:ind w:left="1440"/>
        <w:jc w:val="both"/>
        <w:rPr>
          <w:rFonts w:ascii="Times New Roman" w:hAnsi="Times New Roman" w:cs="Times New Roman"/>
          <w:i/>
          <w:sz w:val="24"/>
          <w:szCs w:val="24"/>
        </w:rPr>
        <w:pStyle w:val="P68B1DB1-Normal12"/>
      </w:pPr>
      <w:r>
        <w:t xml:space="preserve">I) «εξ αποστάσεως» σημαίνει ότι η υπηρεσία παρέχεται χωρίς τα μέρη να είναι ταυτόχρονα παρόντα· </w:t>
      </w:r>
    </w:p>
    <w:p w14:paraId="21A0956B" w14:textId="56365680">
      <w:pPr>
        <w:spacing w:after="0" w:line="240" w:lineRule="auto"/>
        <w:ind w:left="1440"/>
        <w:jc w:val="both"/>
        <w:rPr>
          <w:rFonts w:ascii="Times New Roman" w:hAnsi="Times New Roman" w:cs="Times New Roman"/>
          <w:i/>
          <w:sz w:val="24"/>
          <w:szCs w:val="24"/>
        </w:rPr>
        <w:pStyle w:val="P68B1DB1-Normal12"/>
      </w:pPr>
      <w:r>
        <w:t xml:space="preserve">II) «με ηλεκτρονικά μέσα»: υπηρεσία που παρέχεται αρχικά και λαμβάνεται στον προορισμό της μέσω ηλεκτρονικού εξοπλισμού επεξεργασίας (συμπεριλαμβανομένης της ψηφιακής συμπίεσης) και αποθήκευσης δεδομένων, και η οποία διαβιβάζεται, μεταφέρεται και λαμβάνεται εξ ολοκλήρου με ενσύρματα, ασύρματα, οπτικά μέσα ή με άλλα ηλεκτρομαγνητικά μέσα· </w:t>
      </w:r>
    </w:p>
    <w:p w14:paraId="5C56E529" w14:textId="12F1F1E7">
      <w:pPr>
        <w:spacing w:after="0" w:line="240" w:lineRule="auto"/>
        <w:ind w:left="1440"/>
        <w:jc w:val="both"/>
        <w:rPr>
          <w:rFonts w:ascii="Times New Roman" w:hAnsi="Times New Roman" w:cs="Times New Roman"/>
          <w:i/>
          <w:sz w:val="24"/>
          <w:szCs w:val="24"/>
        </w:rPr>
        <w:pStyle w:val="P68B1DB1-Normal12"/>
      </w:pPr>
      <w:r>
        <w:t xml:space="preserve">III) «κατόπιν μεμονωμένου αιτήματος αποδέκτη υπηρεσιών» σημαίνει ότι η υπηρεσία παρέχεται μέσω της διαβίβασης δεδομένων κατόπιν μεμονωμένου αιτήματος. </w:t>
      </w:r>
    </w:p>
    <w:p w14:paraId="514F222E" w14:textId="77777777">
      <w:pPr>
        <w:spacing w:after="0" w:line="240" w:lineRule="auto"/>
        <w:jc w:val="both"/>
        <w:rPr>
          <w:rFonts w:ascii="Times New Roman" w:hAnsi="Times New Roman" w:cs="Times New Roman"/>
          <w:i/>
          <w:sz w:val="24"/>
          <w:szCs w:val="24"/>
        </w:rPr>
      </w:pPr>
    </w:p>
    <w:p w14:paraId="11E4DACC" w14:textId="7501B95E">
      <w:pPr>
        <w:spacing w:after="0" w:line="240" w:lineRule="auto"/>
        <w:ind w:left="567"/>
        <w:jc w:val="both"/>
        <w:rPr>
          <w:rFonts w:ascii="Times New Roman" w:hAnsi="Times New Roman" w:cs="Times New Roman"/>
          <w:i/>
          <w:sz w:val="24"/>
          <w:szCs w:val="24"/>
        </w:rPr>
        <w:pStyle w:val="P68B1DB1-Normal12"/>
      </w:pPr>
      <w:r>
        <w:t xml:space="preserve">Ενδεικτικός κατάλογος των υπηρεσιών που δεν καλύπτονται από τον παρόντα ορισμό παρατίθεται στο παράρτημα Ι·»</w:t>
      </w:r>
    </w:p>
    <w:p w14:paraId="1FF17DD0" w14:textId="77777777">
      <w:pPr>
        <w:spacing w:after="0" w:line="240" w:lineRule="auto"/>
        <w:ind w:left="567"/>
        <w:jc w:val="both"/>
        <w:rPr>
          <w:rFonts w:ascii="Times New Roman" w:hAnsi="Times New Roman" w:cs="Times New Roman"/>
          <w:i/>
          <w:iCs/>
          <w:sz w:val="24"/>
          <w:szCs w:val="24"/>
        </w:rPr>
      </w:pPr>
    </w:p>
    <w:p w14:paraId="6EAE1680" w14:textId="066C5520">
      <w:pPr>
        <w:pStyle w:val="BodyText"/>
        <w:ind w:left="1440"/>
        <w:jc w:val="right"/>
      </w:pPr>
      <w:r>
        <w:t xml:space="preserve">(Άρθρο 1 παράγραφος στοιχείο β) της οδηγίας (ΕΕ) 2015/1535)</w:t>
      </w:r>
    </w:p>
    <w:p w14:paraId="3979F0D8" w14:textId="77777777">
      <w:pPr>
        <w:spacing w:after="0" w:line="240" w:lineRule="auto"/>
        <w:ind w:left="567"/>
        <w:jc w:val="both"/>
        <w:rPr>
          <w:rFonts w:ascii="Times New Roman" w:hAnsi="Times New Roman" w:cs="Times New Roman"/>
          <w:i/>
          <w:iCs/>
          <w:sz w:val="24"/>
          <w:szCs w:val="24"/>
        </w:rPr>
      </w:pPr>
    </w:p>
    <w:p w14:paraId="325579F5" w14:textId="5717D74C">
      <w:pPr>
        <w:pStyle w:val="P68B1DB1-Normal12"/>
        <w:spacing w:after="0" w:line="240" w:lineRule="auto"/>
        <w:ind w:left="567"/>
        <w:jc w:val="both"/>
        <w:rPr>
          <w:iCs/>
        </w:rPr>
      </w:pPr>
      <w:r>
        <w:t xml:space="preserve">«Ενδεικτικός κατάλογος υπηρεσιών που δεν καλύπτονται από το άρθρο 1 παράγραφος στοιχείο β) δεύτερο εδάφιο </w:t>
      </w:r>
    </w:p>
    <w:p w14:paraId="2833D888" w14:textId="77777777">
      <w:pPr>
        <w:spacing w:after="0" w:line="240" w:lineRule="auto"/>
        <w:ind w:left="567"/>
        <w:jc w:val="both"/>
        <w:rPr>
          <w:rFonts w:ascii="Times New Roman" w:hAnsi="Times New Roman" w:cs="Times New Roman"/>
          <w:i/>
          <w:iCs/>
          <w:sz w:val="24"/>
          <w:szCs w:val="24"/>
        </w:rPr>
      </w:pPr>
    </w:p>
    <w:p w14:paraId="45BC8C0F" w14:textId="59EDD8A8">
      <w:pPr>
        <w:pStyle w:val="P68B1DB1-ListParagraph21"/>
        <w:numPr>
          <w:ilvl w:val="0"/>
          <w:numId w:val="33"/>
        </w:numPr>
        <w:spacing w:after="0" w:line="240" w:lineRule="auto"/>
        <w:jc w:val="center"/>
        <w:rPr>
          <w:rFonts w:ascii="Times New Roman" w:hAnsi="Times New Roman" w:cs="Times New Roman"/>
          <w:i/>
          <w:sz w:val="24"/>
          <w:szCs w:val="24"/>
        </w:rPr>
      </w:pPr>
      <w:r>
        <w:t xml:space="preserve">Υπηρεσίες που δεν παρέχονται «εξ αποστάσεως»</w:t>
      </w:r>
    </w:p>
    <w:p w14:paraId="0869B267" w14:textId="77777777">
      <w:pPr>
        <w:pStyle w:val="ListParagraph"/>
        <w:spacing w:after="0" w:line="240" w:lineRule="auto"/>
        <w:ind w:left="927"/>
        <w:rPr>
          <w:rFonts w:ascii="Times New Roman" w:hAnsi="Times New Roman" w:cs="Times New Roman"/>
          <w:i/>
          <w:sz w:val="24"/>
          <w:szCs w:val="24"/>
        </w:rPr>
      </w:pPr>
    </w:p>
    <w:p w14:paraId="15316F3F" w14:textId="637F4A7C">
      <w:pPr>
        <w:spacing w:after="0" w:line="240" w:lineRule="auto"/>
        <w:ind w:left="567"/>
        <w:rPr>
          <w:rFonts w:ascii="Times New Roman" w:hAnsi="Times New Roman" w:cs="Times New Roman"/>
          <w:i/>
          <w:sz w:val="24"/>
          <w:szCs w:val="24"/>
        </w:rPr>
        <w:pStyle w:val="P68B1DB1-Normal12"/>
      </w:pPr>
      <w:r>
        <w:t xml:space="preserve">Υπηρεσίες που παρέχονται παρουσία του παρέχοντος και του αποδέκτη, ακόμη και όταν προϋποθέτουν τη χρησιμοποίηση ηλεκτρονικών συσκευών: </w:t>
      </w:r>
    </w:p>
    <w:p w14:paraId="3362CCDE" w14:textId="74A453DA">
      <w:pPr>
        <w:spacing w:after="0" w:line="240" w:lineRule="auto"/>
        <w:ind w:left="1287"/>
        <w:rPr>
          <w:rFonts w:ascii="Times New Roman" w:hAnsi="Times New Roman" w:cs="Times New Roman"/>
          <w:i/>
          <w:sz w:val="24"/>
          <w:szCs w:val="24"/>
        </w:rPr>
        <w:pStyle w:val="P68B1DB1-Normal12"/>
      </w:pPr>
      <w:r>
        <w:t xml:space="preserve">α) ιατρικές εξετάσεις ή θεραπευτικές αγωγές σε ιατρείο με χρήση ηλεκτρονικού εξοπλισμού, όταν ο ασθενής είναι φυσικώς παρών· </w:t>
      </w:r>
    </w:p>
    <w:p w14:paraId="705A25A8" w14:textId="77777777">
      <w:pPr>
        <w:spacing w:after="0" w:line="240" w:lineRule="auto"/>
        <w:ind w:left="567" w:firstLine="720"/>
        <w:rPr>
          <w:rFonts w:ascii="Times New Roman" w:hAnsi="Times New Roman" w:cs="Times New Roman"/>
          <w:i/>
          <w:sz w:val="24"/>
          <w:szCs w:val="24"/>
        </w:rPr>
        <w:pStyle w:val="P68B1DB1-Normal12"/>
      </w:pPr>
      <w:r>
        <w:t xml:space="preserve">β) πρόσβαση σε ηλεκτρονικό κατάλογο σε κατάστημα με τον πελάτη επί τόπου· </w:t>
      </w:r>
    </w:p>
    <w:p w14:paraId="7DA6C469" w14:textId="5F31D5B1">
      <w:pPr>
        <w:spacing w:after="0" w:line="240" w:lineRule="auto"/>
        <w:ind w:left="1287"/>
        <w:rPr>
          <w:rFonts w:ascii="Times New Roman" w:hAnsi="Times New Roman" w:cs="Times New Roman"/>
          <w:i/>
          <w:sz w:val="24"/>
          <w:szCs w:val="24"/>
        </w:rPr>
        <w:pStyle w:val="P68B1DB1-Normal12"/>
      </w:pPr>
      <w:r>
        <w:t xml:space="preserve">γ) κράτηση αεροπορικού εισιτηρίου σε ταξιδιωτικό γραφείο με φυσική παρουσία του πελάτη μέσω δικτύου υπολογιστών· </w:t>
      </w:r>
    </w:p>
    <w:p w14:paraId="01C9EFAD" w14:textId="77777777">
      <w:pPr>
        <w:spacing w:after="0" w:line="240" w:lineRule="auto"/>
        <w:ind w:left="1287"/>
        <w:rPr>
          <w:rFonts w:ascii="Times New Roman" w:hAnsi="Times New Roman" w:cs="Times New Roman"/>
          <w:i/>
          <w:sz w:val="24"/>
          <w:szCs w:val="24"/>
        </w:rPr>
        <w:pStyle w:val="P68B1DB1-Normal12"/>
      </w:pPr>
      <w:r>
        <w:t xml:space="preserve">δ) ηλεκτρονικά παιχνίδια που διατίθενται σε αίθουσα βίντεο στην οποία είναι παρών ο πελάτης. </w:t>
      </w:r>
    </w:p>
    <w:p w14:paraId="487F2005" w14:textId="77777777">
      <w:pPr>
        <w:spacing w:after="0" w:line="240" w:lineRule="auto"/>
        <w:ind w:left="567"/>
        <w:rPr>
          <w:rFonts w:ascii="Times New Roman" w:hAnsi="Times New Roman" w:cs="Times New Roman"/>
          <w:i/>
          <w:sz w:val="24"/>
          <w:szCs w:val="24"/>
        </w:rPr>
      </w:pPr>
    </w:p>
    <w:p w14:paraId="3AFC7951" w14:textId="251CDA9A">
      <w:pPr>
        <w:pStyle w:val="P68B1DB1-ListParagraph21"/>
        <w:numPr>
          <w:ilvl w:val="0"/>
          <w:numId w:val="33"/>
        </w:numPr>
        <w:spacing w:after="0" w:line="240" w:lineRule="auto"/>
        <w:jc w:val="center"/>
        <w:rPr>
          <w:rFonts w:ascii="Times New Roman" w:hAnsi="Times New Roman" w:cs="Times New Roman"/>
          <w:i/>
          <w:sz w:val="24"/>
          <w:szCs w:val="24"/>
        </w:rPr>
      </w:pPr>
      <w:r>
        <w:t xml:space="preserve">Υπηρεσίες που δεν παρέχονται «με ηλεκτρονικά μέσα»</w:t>
      </w:r>
    </w:p>
    <w:p w14:paraId="7F20B717" w14:textId="77777777">
      <w:pPr>
        <w:pStyle w:val="ListParagraph"/>
        <w:spacing w:after="0" w:line="240" w:lineRule="auto"/>
        <w:ind w:left="927"/>
        <w:rPr>
          <w:rFonts w:ascii="Times New Roman" w:hAnsi="Times New Roman" w:cs="Times New Roman"/>
          <w:i/>
          <w:sz w:val="24"/>
          <w:szCs w:val="24"/>
        </w:rPr>
      </w:pPr>
    </w:p>
    <w:p w14:paraId="02C6FE7C" w14:textId="77777777">
      <w:pPr>
        <w:spacing w:after="0" w:line="240" w:lineRule="auto"/>
        <w:ind w:left="567"/>
        <w:rPr>
          <w:rFonts w:ascii="Times New Roman" w:hAnsi="Times New Roman" w:cs="Times New Roman"/>
          <w:i/>
          <w:sz w:val="24"/>
          <w:szCs w:val="24"/>
        </w:rPr>
        <w:pStyle w:val="P68B1DB1-Normal12"/>
      </w:pPr>
      <w:r>
        <w:t xml:space="preserve">— υπηρεσίες με υλικό περιεχόμενο ακόμη και αν παρέχονται μέσω ηλεκτρονικών συσκευών: </w:t>
      </w:r>
    </w:p>
    <w:p w14:paraId="271D8E4D" w14:textId="77777777">
      <w:pPr>
        <w:spacing w:after="0" w:line="240" w:lineRule="auto"/>
        <w:ind w:left="567" w:firstLine="720"/>
        <w:rPr>
          <w:rFonts w:ascii="Times New Roman" w:hAnsi="Times New Roman" w:cs="Times New Roman"/>
          <w:i/>
          <w:sz w:val="24"/>
          <w:szCs w:val="24"/>
        </w:rPr>
        <w:pStyle w:val="P68B1DB1-Normal12"/>
      </w:pPr>
      <w:r>
        <w:t xml:space="preserve">α) αυτόματα μηχανήματα διανομής μετρητών ή εισιτηρίων (τραπεζογραμμάτια, σιδηροδρομικά εισιτήρια)· </w:t>
      </w:r>
    </w:p>
    <w:p w14:paraId="07693B6B" w14:textId="1A59726A">
      <w:pPr>
        <w:spacing w:after="0" w:line="240" w:lineRule="auto"/>
        <w:ind w:left="1287"/>
        <w:rPr>
          <w:rFonts w:ascii="Times New Roman" w:hAnsi="Times New Roman" w:cs="Times New Roman"/>
          <w:i/>
          <w:sz w:val="24"/>
          <w:szCs w:val="24"/>
        </w:rPr>
        <w:pStyle w:val="P68B1DB1-Normal12"/>
      </w:pPr>
      <w:r>
        <w:t xml:space="preserve">β) πρόσβαση σε οδικά δίκτυα, χώρους στάθμευσης κ.λπ., χρέωση χρήσης, ακόμη και αν υπάρχουν ηλεκτρονικές συσκευές στην είσοδο/έξοδο που ελέγχουν την πρόσβαση και/ή διασφαλίζουν την ορθή πληρωμή, </w:t>
      </w:r>
    </w:p>
    <w:p w14:paraId="6B193BE7" w14:textId="77777777">
      <w:pPr>
        <w:spacing w:after="0" w:line="240" w:lineRule="auto"/>
        <w:ind w:left="567"/>
        <w:rPr>
          <w:rFonts w:ascii="Times New Roman" w:hAnsi="Times New Roman" w:cs="Times New Roman"/>
          <w:i/>
          <w:sz w:val="24"/>
          <w:szCs w:val="24"/>
        </w:rPr>
        <w:pStyle w:val="P68B1DB1-Normal12"/>
      </w:pPr>
      <w:r>
        <w:t xml:space="preserve">— υπηρεσίες εκτός διαδικτύου: διανομή CD-ROM ή λογισμικού σε δισκέτες. </w:t>
      </w:r>
    </w:p>
    <w:p w14:paraId="421C0A6C" w14:textId="77777777">
      <w:pPr>
        <w:spacing w:after="0" w:line="240" w:lineRule="auto"/>
        <w:ind w:left="567"/>
        <w:rPr>
          <w:rFonts w:ascii="Times New Roman" w:hAnsi="Times New Roman" w:cs="Times New Roman"/>
          <w:i/>
          <w:sz w:val="24"/>
          <w:szCs w:val="24"/>
        </w:rPr>
        <w:pStyle w:val="P68B1DB1-Normal12"/>
      </w:pPr>
      <w:r>
        <w:t xml:space="preserve">— υπηρεσίες που δεν παρέχονται μέσω ηλεκτρονικών συστημάτων επεξεργασίας/απογραφής: </w:t>
      </w:r>
    </w:p>
    <w:p w14:paraId="48C8B4AA" w14:textId="77777777">
      <w:pPr>
        <w:spacing w:after="0" w:line="240" w:lineRule="auto"/>
        <w:ind w:left="567" w:firstLine="720"/>
        <w:rPr>
          <w:rFonts w:ascii="Times New Roman" w:hAnsi="Times New Roman" w:cs="Times New Roman"/>
          <w:i/>
          <w:sz w:val="24"/>
          <w:szCs w:val="24"/>
        </w:rPr>
        <w:pStyle w:val="P68B1DB1-Normal12"/>
      </w:pPr>
      <w:r>
        <w:t xml:space="preserve">α) υπηρεσίες φωνητικής τηλεφωνίας· </w:t>
      </w:r>
    </w:p>
    <w:p w14:paraId="56C7B905" w14:textId="77777777">
      <w:pPr>
        <w:spacing w:after="0" w:line="240" w:lineRule="auto"/>
        <w:ind w:left="567" w:firstLine="720"/>
        <w:rPr>
          <w:rFonts w:ascii="Times New Roman" w:hAnsi="Times New Roman" w:cs="Times New Roman"/>
          <w:i/>
          <w:sz w:val="24"/>
          <w:szCs w:val="24"/>
        </w:rPr>
        <w:pStyle w:val="P68B1DB1-Normal12"/>
      </w:pPr>
      <w:r>
        <w:t xml:space="preserve">β) υπηρεσίες τηλεομοιοτυπίας/τέλεξ· </w:t>
      </w:r>
    </w:p>
    <w:p w14:paraId="4711D7CC" w14:textId="77777777">
      <w:pPr>
        <w:spacing w:after="0" w:line="240" w:lineRule="auto"/>
        <w:ind w:left="567" w:firstLine="720"/>
        <w:rPr>
          <w:rFonts w:ascii="Times New Roman" w:hAnsi="Times New Roman" w:cs="Times New Roman"/>
          <w:i/>
          <w:sz w:val="24"/>
          <w:szCs w:val="24"/>
        </w:rPr>
        <w:pStyle w:val="P68B1DB1-Normal12"/>
      </w:pPr>
      <w:r>
        <w:t xml:space="preserve">γ) υπηρεσίες που παρέχονται μέσω φωνητικής τηλεφωνίας ή τηλεομοιοτυπίας· </w:t>
      </w:r>
    </w:p>
    <w:p w14:paraId="129084EE" w14:textId="77777777">
      <w:pPr>
        <w:spacing w:after="0" w:line="240" w:lineRule="auto"/>
        <w:ind w:left="567" w:firstLine="720"/>
        <w:rPr>
          <w:rFonts w:ascii="Times New Roman" w:hAnsi="Times New Roman" w:cs="Times New Roman"/>
          <w:i/>
          <w:sz w:val="24"/>
          <w:szCs w:val="24"/>
        </w:rPr>
        <w:pStyle w:val="P68B1DB1-Normal12"/>
      </w:pPr>
      <w:r>
        <w:t xml:space="preserve">δ) επίσκεψη σε ιατρό μέσω τηλεφώνου/τηλεομοιοτυπίας· </w:t>
      </w:r>
    </w:p>
    <w:p w14:paraId="4D484D71" w14:textId="77777777">
      <w:pPr>
        <w:spacing w:after="0" w:line="240" w:lineRule="auto"/>
        <w:ind w:left="567" w:firstLine="720"/>
        <w:rPr>
          <w:rFonts w:ascii="Times New Roman" w:hAnsi="Times New Roman" w:cs="Times New Roman"/>
          <w:i/>
          <w:sz w:val="24"/>
          <w:szCs w:val="24"/>
        </w:rPr>
        <w:pStyle w:val="P68B1DB1-Normal12"/>
      </w:pPr>
      <w:r>
        <w:t xml:space="preserve">Ε) πρόσβαση σε δικηγόρο μέσω τηλεφώνου/τηλεομοιοτυπίας· </w:t>
      </w:r>
    </w:p>
    <w:p w14:paraId="69CFBD9E" w14:textId="77777777">
      <w:pPr>
        <w:spacing w:after="0" w:line="240" w:lineRule="auto"/>
        <w:ind w:left="567" w:firstLine="720"/>
        <w:rPr>
          <w:rFonts w:ascii="Times New Roman" w:hAnsi="Times New Roman" w:cs="Times New Roman"/>
          <w:i/>
          <w:sz w:val="24"/>
          <w:szCs w:val="24"/>
        </w:rPr>
        <w:pStyle w:val="P68B1DB1-Normal12"/>
      </w:pPr>
      <w:r>
        <w:t xml:space="preserve">στ) απευθείας μάρκετινγκ μέσω τηλεφώνου/φαξ. </w:t>
      </w:r>
    </w:p>
    <w:p w14:paraId="7998BDE8" w14:textId="77777777">
      <w:pPr>
        <w:spacing w:after="0" w:line="240" w:lineRule="auto"/>
        <w:ind w:left="567" w:firstLine="720"/>
        <w:rPr>
          <w:rFonts w:ascii="Times New Roman" w:hAnsi="Times New Roman" w:cs="Times New Roman"/>
          <w:i/>
          <w:sz w:val="24"/>
          <w:szCs w:val="24"/>
        </w:rPr>
      </w:pPr>
    </w:p>
    <w:p w14:paraId="61AA40DF" w14:textId="73BA62B1">
      <w:pPr>
        <w:spacing w:after="0" w:line="240" w:lineRule="auto"/>
        <w:ind w:left="567"/>
        <w:jc w:val="center"/>
        <w:rPr>
          <w:rFonts w:ascii="Times New Roman" w:hAnsi="Times New Roman" w:cs="Times New Roman"/>
          <w:i/>
          <w:sz w:val="24"/>
          <w:szCs w:val="24"/>
        </w:rPr>
        <w:pStyle w:val="P68B1DB1-Normal12"/>
      </w:pPr>
      <w:r>
        <w:t xml:space="preserve">3. Υπηρεσίες που δεν παρέχονται «κατόπιν προσωπικής επιλογής αποδέκτου υπηρεσιών»</w:t>
      </w:r>
    </w:p>
    <w:p w14:paraId="36C37D64" w14:textId="77777777">
      <w:pPr>
        <w:spacing w:after="0" w:line="240" w:lineRule="auto"/>
        <w:ind w:left="567"/>
        <w:jc w:val="center"/>
        <w:rPr>
          <w:rFonts w:ascii="Times New Roman" w:hAnsi="Times New Roman" w:cs="Times New Roman"/>
          <w:i/>
          <w:sz w:val="24"/>
          <w:szCs w:val="24"/>
        </w:rPr>
      </w:pPr>
    </w:p>
    <w:p w14:paraId="79A4497E" w14:textId="5069126A">
      <w:pPr>
        <w:spacing w:after="0" w:line="240" w:lineRule="auto"/>
        <w:ind w:left="567"/>
        <w:rPr>
          <w:rFonts w:ascii="Times New Roman" w:hAnsi="Times New Roman" w:cs="Times New Roman"/>
          <w:i/>
          <w:sz w:val="24"/>
          <w:szCs w:val="24"/>
        </w:rPr>
        <w:pStyle w:val="P68B1DB1-Normal12"/>
      </w:pPr>
      <w:r>
        <w:t xml:space="preserve">Υπηρεσίες που παρέχονται με τη διαβίβαση δεδομένων χωρίς συγκεκριμένη παραγγελία και προορίζονται για ταυτόχρονη παραλαβή από απεριόριστο αριθμό αποδεκτών (μετάδοση “από ένα σημείο σε πολλά σημεία”): </w:t>
      </w:r>
    </w:p>
    <w:p w14:paraId="7348FF90" w14:textId="622E29E3">
      <w:pPr>
        <w:spacing w:after="0" w:line="240" w:lineRule="auto"/>
        <w:ind w:left="1287"/>
        <w:rPr>
          <w:rFonts w:ascii="Times New Roman" w:hAnsi="Times New Roman" w:cs="Times New Roman"/>
          <w:i/>
          <w:sz w:val="24"/>
          <w:szCs w:val="24"/>
        </w:rPr>
        <w:pStyle w:val="P68B1DB1-Normal12"/>
      </w:pPr>
      <w:r>
        <w:t xml:space="preserve">α) υπηρεσίες τηλεοπτικής μετάδοσης (συμπεριλαμβανομένων των κατά παραγγελία υπηρεσιών σχεδόν βίντεο βίντεο), που καλύπτονται από το άρθρο 1 παράγραφος 1 στοιχείο ε) της οδηγίας 2010/13/ΕΕ· </w:t>
      </w:r>
    </w:p>
    <w:p w14:paraId="52812E73" w14:textId="77777777">
      <w:pPr>
        <w:spacing w:after="0" w:line="240" w:lineRule="auto"/>
        <w:ind w:left="567" w:firstLine="720"/>
        <w:rPr>
          <w:rFonts w:ascii="Times New Roman" w:hAnsi="Times New Roman" w:cs="Times New Roman"/>
          <w:i/>
          <w:sz w:val="24"/>
          <w:szCs w:val="24"/>
        </w:rPr>
        <w:pStyle w:val="P68B1DB1-Normal12"/>
      </w:pPr>
      <w:r>
        <w:t xml:space="preserve">β) υπηρεσίες ραδιοφωνικής μετάδοσης· </w:t>
      </w:r>
    </w:p>
    <w:p w14:paraId="50FD6B17" w14:textId="6C6940F1">
      <w:pPr>
        <w:spacing w:after="0" w:line="240" w:lineRule="auto"/>
        <w:ind w:left="567" w:firstLine="720"/>
        <w:pStyle w:val="P68B1DB1-Normal12"/>
      </w:pPr>
      <w:r>
        <w:t xml:space="preserve">(τηλεοπτική) τηλεκειμενογραφία.»</w:t>
      </w:r>
    </w:p>
    <w:p w14:paraId="4CB8A09D" w14:textId="49490E91">
      <w:pPr>
        <w:pStyle w:val="BodyText"/>
        <w:ind w:left="1440"/>
        <w:jc w:val="right"/>
      </w:pPr>
      <w:r>
        <w:t xml:space="preserve">(Παράρτημα Ι της οδηγίας (ΕΕ) 2015/1535)</w:t>
      </w:r>
    </w:p>
    <w:p w14:paraId="4AFCA90D" w14:textId="77777777">
      <w:pPr>
        <w:spacing w:after="0" w:line="240" w:lineRule="auto"/>
      </w:pPr>
    </w:p>
    <w:p w14:paraId="27152DAF" w14:textId="403C1BD4">
      <w:pPr>
        <w:widowControl w:val="0"/>
        <w:autoSpaceDE w:val="0"/>
        <w:autoSpaceDN w:val="0"/>
        <w:spacing w:after="0" w:line="240" w:lineRule="auto"/>
        <w:jc w:val="both"/>
        <w:rPr>
          <w:rFonts w:ascii="Times New Roman" w:hAnsi="Times New Roman" w:cs="Times New Roman" w:eastAsia="Times New Roman"/>
          <w:i/>
          <w:iCs/>
          <w:sz w:val="20"/>
          <w:szCs w:val="16"/>
        </w:rPr>
      </w:pPr>
      <w:hyperlink r:id="rId47" w:history="1">
        <w:r>
          <w:rPr>
            <w:rStyle w:val="Hyperlink"/>
            <w:rFonts w:ascii="Times New Roman" w:hAnsi="Times New Roman" w:cs="Times New Roman" w:eastAsia="Times New Roman"/>
            <w:b/>
            <w:i/>
            <w:color w:val="0000FF"/>
            <w:szCs w:val="20"/>
          </w:rPr>
          <w:t xml:space="preserve">Απόφαση της 2 Ιουνίου 2005</w:t>
        </w:r>
      </w:hyperlink>
      <w:r>
        <w:rPr>
          <w:rFonts w:ascii="Times New Roman" w:hAnsi="Times New Roman" w:cs="Times New Roman" w:eastAsia="Times New Roman"/>
          <w:b/>
          <w:i/>
          <w:szCs w:val="20"/>
        </w:rPr>
        <w:t xml:space="preserve"> στην υπόθεση C-89/04, Mediakabel BV, σκέψεις 38 και 39</w:t>
      </w:r>
    </w:p>
    <w:p w14:paraId="72864DF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0D3FE7F" w14:textId="7CBF6B01">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Μια υπηρεσία τηλεοπτικής μετάδοσης που διατίθεται κατόπιν αιτήματος του συνδρομητή, αλλά για την οποία η συχνότητα και ο χρόνος των ταινιών καθορίζονται από τον πάροχο, δεν συνιστά «υπηρεσία της κοινωνίας της πληροφορίας», δεδομένου ότι το περιεχόμενο επιλέγεται και προγραμματίζεται από τον πάροχο και, ως εκ τούτου, δεν παρέχεται κατόπιν ατομικού αιτήματος του αποδέκτη.</w:t>
      </w:r>
    </w:p>
    <w:p w14:paraId="35F17E14"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7DC4243A" w14:textId="1EBB386A">
      <w:pPr>
        <w:pStyle w:val="P68B1DB1-Normal15"/>
        <w:widowControl w:val="0"/>
        <w:autoSpaceDE w:val="0"/>
        <w:autoSpaceDN w:val="0"/>
        <w:spacing w:after="0" w:line="240" w:lineRule="auto"/>
        <w:ind w:left="567"/>
        <w:jc w:val="both"/>
      </w:pPr>
      <w:r>
        <w:t xml:space="preserve">«38. Μολονότι μια τέτοια υπηρεσία πληροί τα δύο πρώτα κριτήρια για να συνιστά «υπηρεσία της κοινωνίας της πληροφορίας» κατά την έννοια του άρθρου 1 παράγραφος 2, της οδηγίας 98/34, δηλαδή παρέχεται εξ αποστάσεως και μεταδίδεται εν μέρει από ηλεκτρονικό εξοπλισμό, δεν πληροί το τρίτο κριτήριο της έννοιας αυτής, κατά το οποίο η επίμαχη υπηρεσία πρέπει να παρέχεται «κατόπιν ατομικού αιτήματος ενός αποδέκτη υπηρεσιών». Ο κατάλογος των ταινιών που προτείνονται εντός του πλαισίου μιας υπηρεσίας όπως η υπηρεσία «Filmtime» καταρτίζεται από εκείνον που παρέχει την υπηρεσία. Η πιο πάνω επιλογή ταινιών προτείνεται σε όλους τους συνδρομητές υπό τις ίδιες συνθήκες, είτε μέσω εφημερίδων είτε μέσω πληροφοριών που μεταδίδονται στην οθόνη της τηλεοράσεώς τους, και οι εν λόγω ταινίες είναι προσιτές στις ώρες μεταδόσεως που καθορίζει εκείνος που παρέχει την υπηρεσία. Το προσωπικό κλειδί που καθιστά δυνατή την πρόσβαση στις ταινίες αποτελεί μόνο μέσο αποκρυπτογραφήσεως εικόνων οι οποίες απευθύνονται συγχρόνως σε όλους τους συνδρομητές.</w:t>
      </w:r>
    </w:p>
    <w:p w14:paraId="68AEB66F" w14:textId="77777777">
      <w:pPr>
        <w:pStyle w:val="P68B1DB1-Normal15"/>
        <w:widowControl w:val="0"/>
        <w:autoSpaceDE w:val="0"/>
        <w:autoSpaceDN w:val="0"/>
        <w:spacing w:after="0" w:line="240" w:lineRule="auto"/>
        <w:ind w:left="567"/>
        <w:jc w:val="both"/>
      </w:pPr>
    </w:p>
    <w:p w14:paraId="145EEF38" w14:textId="74B1BC98">
      <w:pPr>
        <w:pStyle w:val="P68B1DB1-Normal15"/>
        <w:widowControl w:val="0"/>
        <w:autoSpaceDE w:val="0"/>
        <w:autoSpaceDN w:val="0"/>
        <w:spacing w:after="0" w:line="240" w:lineRule="auto"/>
        <w:ind w:left="567"/>
        <w:jc w:val="both"/>
        <w:rPr>
          <w:iCs/>
        </w:rPr>
      </w:pPr>
      <w:r>
        <w:t xml:space="preserve">39. Κατά συνέπεια, μια τέτοια υπηρεσία δεν παραγγέλλεται ατομικά από έναν μεμονωμένο αποδέκτη ο οποίος έχει την ελεύθερη επιλογή των προγραμμάτων του σε ένα διαδραστικό πλαίσιο. Πρέπει να θεωρείται υπηρεσία σχεδόν βίντεο κατά παραγγελία, παρεχόμενη σε βάση «από σημείο σε πολλά σημεία» και όχι «κατόπιν μεμονωμένης παραγγελίας ενός αποδέκτη υπηρεσιών».</w:t>
      </w:r>
    </w:p>
    <w:p w14:paraId="5E8F8952" w14:textId="190BF10B">
      <w:pPr>
        <w:widowControl w:val="0"/>
        <w:autoSpaceDE w:val="0"/>
        <w:autoSpaceDN w:val="0"/>
        <w:spacing w:after="0" w:line="240" w:lineRule="auto"/>
        <w:ind w:left="567"/>
        <w:jc w:val="both"/>
      </w:pPr>
    </w:p>
    <w:p w14:paraId="6027638F" w14:textId="40792564">
      <w:pPr>
        <w:pStyle w:val="P68B1DB1-Normal13"/>
        <w:widowControl w:val="0"/>
        <w:autoSpaceDE w:val="0"/>
        <w:autoSpaceDN w:val="0"/>
        <w:spacing w:after="0" w:line="240" w:lineRule="auto"/>
        <w:jc w:val="both"/>
        <w:outlineLvl w:val="1"/>
      </w:pPr>
      <w:hyperlink r:id="rId48" w:history="1">
        <w:r>
          <w:rPr>
            <w:color w:val="0000FF"/>
            <w:u w:val="single"/>
          </w:rPr>
          <w:t xml:space="preserve">Απόφαση της 2 Φεβρουαρίου 2016</w:t>
        </w:r>
      </w:hyperlink>
      <w:r>
        <w:t xml:space="preserve"> στην υπόθεση C-336/14, Ince, σκέψεις 75 και 76</w:t>
      </w:r>
      <w:bookmarkEnd w:id="70"/>
    </w:p>
    <w:p w14:paraId="62235723" w14:textId="77777777">
      <w:pPr>
        <w:widowControl w:val="0"/>
        <w:tabs>
          <w:tab w:val="left" w:pos="396"/>
          <w:tab w:val="left" w:pos="415"/>
        </w:tabs>
        <w:autoSpaceDE w:val="0"/>
        <w:autoSpaceDN w:val="0"/>
        <w:spacing w:after="0" w:line="240" w:lineRule="auto"/>
        <w:jc w:val="both"/>
        <w:rPr>
          <w:rFonts w:ascii="Times New Roman" w:hAnsi="Times New Roman" w:cs="Times New Roman" w:eastAsia="Times New Roman"/>
          <w:szCs w:val="20"/>
        </w:rPr>
      </w:pPr>
    </w:p>
    <w:p w14:paraId="32F669F1" w14:textId="7D474CDE">
      <w:pPr>
        <w:widowControl w:val="0"/>
        <w:tabs>
          <w:tab w:val="left" w:pos="396"/>
          <w:tab w:val="left" w:pos="415"/>
        </w:tabs>
        <w:autoSpaceDE w:val="0"/>
        <w:autoSpaceDN w:val="0"/>
        <w:spacing w:after="0" w:line="240" w:lineRule="auto"/>
        <w:jc w:val="both"/>
        <w:rPr>
          <w:rFonts w:ascii="Times New Roman" w:hAnsi="Times New Roman" w:cs="Times New Roman" w:eastAsia="Times New Roman"/>
          <w:szCs w:val="20"/>
        </w:rPr>
        <w:pStyle w:val="P68B1DB1-Normal14"/>
      </w:pPr>
      <w:r>
        <w:t xml:space="preserve">Οι εθνικές διατάξεις που περιορίζουν την προσφορά διαδικτυακών τυχηρών παιγνίων ή απαγορεύουν τη διαδικτυακή διαφήμιση τέτοιων παιγνίων μπορούν να θεωρηθούν «κανόνες σχετικά με τις υπηρεσίες», δεδομένου ότι αφορούν «υπηρεσία της κοινωνίας της πληροφορίας». Αντιθέτως, οι διατάξεις που απαιτούν προηγούμενη άδεια για τους φορείς που διοργανώνουν τυχερά παίγνια ή απαγορεύουν τη χορήγηση της άδειας αυτής σε ιδιωτικούς φορείς, αφορούν τους όρους σύστασης επιχειρήσεων και, ως εκ τούτου, δεν συνιστούν «κανόνες σχετικά με τις υπηρεσίες».</w:t>
      </w:r>
    </w:p>
    <w:p w14:paraId="156FC50A" w14:textId="77777777">
      <w:pPr>
        <w:widowControl w:val="0"/>
        <w:tabs>
          <w:tab w:val="left" w:pos="396"/>
          <w:tab w:val="left" w:pos="415"/>
        </w:tabs>
        <w:autoSpaceDE w:val="0"/>
        <w:autoSpaceDN w:val="0"/>
        <w:spacing w:after="0" w:line="240" w:lineRule="auto"/>
        <w:jc w:val="both"/>
        <w:rPr>
          <w:rFonts w:ascii="Times New Roman" w:hAnsi="Times New Roman" w:cs="Times New Roman" w:eastAsia="Times New Roman"/>
          <w:szCs w:val="20"/>
        </w:rPr>
      </w:pPr>
    </w:p>
    <w:p w14:paraId="26E8979D" w14:textId="42272F10">
      <w:pPr>
        <w:pStyle w:val="P68B1DB1-Normal15"/>
        <w:widowControl w:val="0"/>
        <w:autoSpaceDE w:val="0"/>
        <w:autoSpaceDN w:val="0"/>
        <w:spacing w:after="0" w:line="240" w:lineRule="auto"/>
        <w:ind w:left="567"/>
        <w:jc w:val="both"/>
      </w:pPr>
      <w:r>
        <w:t xml:space="preserve">«75. [...] ορισμένες διατάξεις της Συνθήκης περί τυχηρών παιγνίων μπορούν να χαρακτηριστούν ως «κανόνες σχετικά με τις υπηρεσίες», στο μέτρο που αφορούν «υπηρεσία της κοινωνίας των πληροφοριών» κατά την έννοια του άρθρου 1, σημείο 2, της οδηγίας 98/34. Μεταξύ των διατάξεων αυτών περιλαμβάνονται η απαγόρευση προσφοράς τυχηρών παιγνίων στο διαδίκτυο που προβλέπεται στο άρθρο 4 (4) της Συνθήκης περί τυχερών παιγνίων, οι εξαιρέσεις από την απαγόρευση αυτή που απαριθμούνται στο άρθρο 25 (6) της εν λόγω Συνθήκης, οι περιορισμοί που επιβάλλονται στην προσφορά αθλητικών στοιχημάτων μέσω υπηρεσιών τηλεμέσων σύμφωνα με το άρθρο 21 (2) της εν λόγω συνθήκης και η απαγόρευση μετάδοσης διαφημίσεων για τυχερά παίγνια στο διαδίκτυο ή μέσω τηλεπικοινωνιακού εξοπλισμού δυνάμει του άρθρου 5 (3) της εν λόγω συνθήκης.</w:t>
      </w:r>
    </w:p>
    <w:p w14:paraId="440D35CE" w14:textId="77777777">
      <w:pPr>
        <w:pStyle w:val="P68B1DB1-Normal15"/>
        <w:widowControl w:val="0"/>
        <w:autoSpaceDE w:val="0"/>
        <w:autoSpaceDN w:val="0"/>
        <w:spacing w:after="0" w:line="240" w:lineRule="auto"/>
        <w:ind w:left="567"/>
        <w:jc w:val="both"/>
      </w:pPr>
    </w:p>
    <w:p w14:paraId="7CF19AC0" w14:textId="0AA0DFE8">
      <w:pPr>
        <w:pStyle w:val="P68B1DB1-Normal15"/>
        <w:widowControl w:val="0"/>
        <w:autoSpaceDE w:val="0"/>
        <w:autoSpaceDN w:val="0"/>
        <w:spacing w:after="0" w:line="240" w:lineRule="auto"/>
        <w:ind w:left="567"/>
        <w:jc w:val="both"/>
        <w:rPr>
          <w:iCs/>
        </w:rPr>
      </w:pPr>
      <w:r>
        <w:t xml:space="preserve">76. Όσον αφορά, αντιθέτως, άλλες διατάξεις της συμφωνίας περί τυχηρών παιγνίων, πλην αυτών που αφορούν «υπηρεσία της κοινωνίας των πληροφοριών» κατά την έννοια του άρθρου 1, σημείο 2, της οδηγίας 98/34, όπως είναι οι διατάξεις που θεσπίζουν την υποχρέωση λήψεως άδειας για τη διοργάνωση ή τη συγκέντρωση αθλητικών στοιχημάτων καθώς και την απαγόρευση χορηγήσεως άδειας σε ιδιωτικούς φορείς, αυτές δεν συνιστούν «τεχνικούς κανόνες» κατά την έννοια του άρθρου 1, σημείο 11, της εν λόγω οδηγίας. Δεν συνιστούν τεχνικούς κανόνες κατά την έννοια της διατάξεως αυτής εθνικές διατάξεις οι οποίες περιορίζονται στη θέσπιση προϋποθέσεων για την εγκατάσταση ή την παροχή υπηρεσιών εκ μέρους επιχειρήσεων, όπως οι διατάξεις που εξαρτούν την άσκηση δραστηριότητας από προηγούμενη άδεια (βλ., συναφώς, απόφαση Lindberg, C-267/03, σκέψη 87).»</w:t>
      </w:r>
    </w:p>
    <w:p w14:paraId="284BC1DD" w14:textId="77777777">
      <w:pPr>
        <w:spacing w:after="0" w:line="240" w:lineRule="auto"/>
      </w:pPr>
    </w:p>
    <w:p w14:paraId="792D1FCB" w14:textId="5D8C5452">
      <w:pPr>
        <w:pStyle w:val="P68B1DB1-Normal13"/>
        <w:widowControl w:val="0"/>
        <w:autoSpaceDE w:val="0"/>
        <w:autoSpaceDN w:val="0"/>
        <w:spacing w:after="0" w:line="240" w:lineRule="auto"/>
        <w:jc w:val="both"/>
        <w:outlineLvl w:val="1"/>
      </w:pPr>
      <w:hyperlink r:id="rId49" w:history="1">
        <w:r>
          <w:rPr>
            <w:color w:val="0000FF"/>
            <w:u w:val="single"/>
          </w:rPr>
          <w:t xml:space="preserve">Απόφαση του Δικαστηρίου της 13 Οκτωβρίου 2016</w:t>
        </w:r>
      </w:hyperlink>
      <w:r>
        <w:t xml:space="preserve">, Naczelnik Urzędu Celnego I w., C</w:t>
        <w:noBreakHyphen/>
        <w:t xml:space="preserve">303/15, Ă, σκέψη 24.</w:t>
      </w:r>
      <w:bookmarkEnd w:id="71"/>
    </w:p>
    <w:p w14:paraId="5329A61B"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Pr>
    </w:p>
    <w:p w14:paraId="0996FF96" w14:textId="3530BD3E">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Style w:val="P68B1DB1-Normal14"/>
      </w:pPr>
      <w:r>
        <w:t xml:space="preserve">Διάταξη που εξαρτά την άσκηση δραστηριοτήτων τυχερών παιγνίων από την κατοχή άδειας εκμεταλλεύσεως καζίνο δεν συνιστά «κανόνα σχετικά με τις υπηρεσίες», δεδομένου ότι δεν αφορά «υπηρεσία της κοινωνίας της πληροφορίας».</w:t>
      </w:r>
    </w:p>
    <w:p w14:paraId="1E1EAAAB"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i/>
          <w:iCs/>
          <w:sz w:val="20"/>
          <w:szCs w:val="16"/>
        </w:rPr>
      </w:pPr>
    </w:p>
    <w:p w14:paraId="7469D564" w14:textId="52BCBAAC">
      <w:pPr>
        <w:pStyle w:val="P68B1DB1-Normal15"/>
        <w:widowControl w:val="0"/>
        <w:tabs>
          <w:tab w:val="left" w:pos="396"/>
          <w:tab w:val="left" w:pos="399"/>
        </w:tabs>
        <w:autoSpaceDE w:val="0"/>
        <w:autoSpaceDN w:val="0"/>
        <w:spacing w:after="0" w:line="240" w:lineRule="auto"/>
        <w:ind w:left="567" w:hanging="142"/>
        <w:jc w:val="both"/>
        <w:rPr>
          <w:iCs/>
        </w:rPr>
      </w:pPr>
      <w:r>
        <w:t>«</w:t>
      </w:r>
      <w:bookmarkStart w:id="72" w:name="point24"/>
      <w:r>
        <w:t>24</w:t>
      </w:r>
      <w:bookmarkEnd w:id="72"/>
      <w:r>
        <w:t xml:space="preserve">. [...] η διάταξη αυτή δεν μπορεί να υπαχθεί στην κατηγορία των «κανόνων για τις υπηρεσίες της [κοινωνίας της πληροφορίας]», κατά την έννοια του άρθρου 1 παράγραφος 5, της οδηγίας 98/34, δεδομένου ότι δεν αφορά «υπηρεσία της κοινωνίας της πληροφορίας», κατά την έννοια του άρθρου 1 παράγραφος 2, της οδηγίας αυτής.»</w:t>
      </w:r>
    </w:p>
    <w:p w14:paraId="2022FC13" w14:textId="77777777">
      <w:pPr>
        <w:spacing w:after="0" w:line="240" w:lineRule="auto"/>
      </w:pPr>
    </w:p>
    <w:bookmarkStart w:id="73" w:name="_Hlk202362486"/>
    <w:p w14:paraId="3ED876F3" w14:textId="767BC230">
      <w:pPr>
        <w:pStyle w:val="P68B1DB1-Normal13"/>
        <w:widowControl w:val="0"/>
        <w:autoSpaceDE w:val="0"/>
        <w:autoSpaceDN w:val="0"/>
        <w:spacing w:after="0" w:line="240" w:lineRule="auto"/>
        <w:jc w:val="both"/>
        <w:outlineLvl w:val="1"/>
      </w:pPr>
      <w:r>
        <w:fldChar w:fldCharType="begin"/>
      </w:r>
      <w:r>
        <w:instrText>HYPERLINK "https://curia.europa.eu/juris/document/document.jsf?text=&amp;docid=198051&amp;pageIndex=0&amp;doclang=EN&amp;mode=lst&amp;dir=&amp;occ=first&amp;part=1&amp;cid=10880021"</w:instrText>
      </w:r>
      <w:r>
        <w:fldChar w:fldCharType="separate"/>
      </w:r>
      <w:bookmarkStart w:id="74" w:name="_Toc198043830"/>
      <w:r>
        <w:rPr>
          <w:color w:val="0000FF"/>
          <w:u w:val="single"/>
        </w:rPr>
        <w:t xml:space="preserve">Απόφαση της 20 Δεκεμβρίου 2017</w:t>
      </w:r>
      <w:r>
        <w:rPr>
          <w:color w:val="0000FF"/>
          <w:u w:val="single"/>
        </w:rPr>
        <w:fldChar w:fldCharType="end"/>
        <w:t xml:space="preserve">, Falbert κ.λπ., C</w:t>
        <w:noBreakHyphen/>
        <w:t xml:space="preserve">255/16, σκέψεις 27 έως 29, 32 και 33</w:t>
      </w:r>
      <w:bookmarkEnd w:id="74"/>
    </w:p>
    <w:bookmarkEnd w:id="73"/>
    <w:p w14:paraId="1158306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6227D8B" w14:textId="4F8DA220">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Οι εθνικές διατάξεις σχετικά με τα τυχερά παιχνίδια ή τις διαφημιστικές υπηρεσίες μπορούν να συνιστούν «κανόνες σχετικά με τις υπηρεσίες», εφόσον αφορούν άμεσα υπηρεσίες που παρέχονται εξ αποστάσεως, με ηλεκτρονικά μέσα και κατόπιν ατομικού αιτήματος του αποδέκτη. Ακόμη και αν το γράμμα των εν λόγω διατάξεων δεν διακρίνει μεταξύ επιγραμμικών και μη επιγραμμικών υπηρεσιών, ο σκοπός τους όσον αφορά τις «υπηρεσίες της κοινωνίας της πληροφορίας» μπορεί να συναχθεί από τις αιτιολογικές σκέψεις ή </w:t>
      </w:r>
      <w:r>
        <w:rPr>
          <w:i/>
        </w:rPr>
        <w:t xml:space="preserve">τις προπαρασκευαστικές εργασίες</w:t>
      </w:r>
      <w:r>
        <w:t xml:space="preserve"> τους.</w:t>
      </w:r>
    </w:p>
    <w:p w14:paraId="7F177100" w14:textId="77777777">
      <w:pPr>
        <w:widowControl w:val="0"/>
        <w:autoSpaceDE w:val="0"/>
        <w:autoSpaceDN w:val="0"/>
        <w:spacing w:after="0" w:line="240" w:lineRule="auto"/>
        <w:jc w:val="both"/>
        <w:rPr>
          <w:rFonts w:ascii="Times New Roman" w:hAnsi="Times New Roman" w:cs="Times New Roman" w:eastAsia="Times New Roman"/>
          <w:szCs w:val="20"/>
        </w:rPr>
      </w:pPr>
    </w:p>
    <w:p w14:paraId="7F9B9A73" w14:textId="7410A16D">
      <w:pPr>
        <w:pStyle w:val="P68B1DB1-Normal15"/>
        <w:widowControl w:val="0"/>
        <w:autoSpaceDE w:val="0"/>
        <w:autoSpaceDN w:val="0"/>
        <w:spacing w:after="0" w:line="240" w:lineRule="auto"/>
        <w:ind w:left="567"/>
        <w:jc w:val="both"/>
      </w:pPr>
      <w:r>
        <w:t xml:space="preserve">«27. Υπενθυμίζεται ότι, κατά το άρθρο 1 παράγραφος 2, της οδηγίας αυτής, η έννοια του «τεχνικού κανόνα» καλύπτει μόνον τους κανόνες που αφορούν τις υπηρεσίες της κοινωνίας της πληροφορίας, δηλαδή κάθε υπηρεσία που παρέχεται εξ αποστάσεως με ηλεκτρονικά μέσα και κατόπιν προσωπικής επιλογής ενός αποδέκτη υπηρεσιών (βλ. αποφάσεις της 13 Οκτωβρίου 2016, M. και S., C-303/15, σκέψη 21, και της 1 Φεβρουαρίου 2017, Município de Palmela, C-144/16, σκέψη 28).</w:t>
      </w:r>
    </w:p>
    <w:p w14:paraId="0F8135B3" w14:textId="77777777">
      <w:pPr>
        <w:pStyle w:val="P68B1DB1-Normal15"/>
        <w:widowControl w:val="0"/>
        <w:autoSpaceDE w:val="0"/>
        <w:autoSpaceDN w:val="0"/>
        <w:spacing w:after="0" w:line="240" w:lineRule="auto"/>
        <w:ind w:left="567"/>
        <w:jc w:val="both"/>
      </w:pPr>
    </w:p>
    <w:p w14:paraId="6AF5DAAF" w14:textId="403D67A9">
      <w:pPr>
        <w:pStyle w:val="P68B1DB1-Normal15"/>
        <w:widowControl w:val="0"/>
        <w:autoSpaceDE w:val="0"/>
        <w:autoSpaceDN w:val="0"/>
        <w:spacing w:after="0" w:line="240" w:lineRule="auto"/>
        <w:ind w:left="567"/>
        <w:jc w:val="both"/>
      </w:pPr>
      <w:r>
        <w:t xml:space="preserve">28. Συναφώς, επισημαίνεται ότι, κατ’ αρχήν, το άρθρο 10 (3) (3) του νόμου περί τυχερών παιγνίων αφορά δύο είδη υπηρεσιών, ήτοι, αφενός, τις διαφημιστικές υπηρεσίες για τις οποίες επιβάλλονται αμέσως κυρώσεις δυνάμει της διατάξεως αυτής και, αφετέρου, τις υπηρεσίες τυχερών παιγνίων που καλύπτονται από την απαγόρευση διαφημίσεως και αποτελούν το κύριο αντικείμενο του νόμου περί παιγνίων, θεωρούμενου στο σύνολό του.</w:t>
      </w:r>
    </w:p>
    <w:p w14:paraId="74D3506D" w14:textId="77777777">
      <w:pPr>
        <w:pStyle w:val="P68B1DB1-Normal15"/>
        <w:widowControl w:val="0"/>
        <w:autoSpaceDE w:val="0"/>
        <w:autoSpaceDN w:val="0"/>
        <w:spacing w:after="0" w:line="240" w:lineRule="auto"/>
        <w:ind w:left="567"/>
        <w:jc w:val="both"/>
      </w:pPr>
    </w:p>
    <w:p w14:paraId="5664402E" w14:textId="11E23D14">
      <w:pPr>
        <w:pStyle w:val="P68B1DB1-Normal15"/>
        <w:widowControl w:val="0"/>
        <w:autoSpaceDE w:val="0"/>
        <w:autoSpaceDN w:val="0"/>
        <w:spacing w:after="0" w:line="240" w:lineRule="auto"/>
        <w:ind w:left="567"/>
        <w:jc w:val="both"/>
        <w:rPr>
          <w:iCs/>
        </w:rPr>
      </w:pPr>
      <w:r>
        <w:t xml:space="preserve">29. Τόσο οι διαφημιστικές υπηρεσίες όσο και οι υπηρεσίες τυχερών παιγνίων, στο μέτρο που παρέχονται, μεταξύ άλλων, με ηλεκτρονικά μέσα (on-line), αποτελούν «υπηρεσίες της κοινωνίας των πληροφοριών» κατά την έννοια του άρθρου 1 παράγραφος 2, της οδηγίας 98/34 και των σχετικών κανόνων, οι οποίοι μπορούν, ως εκ τούτου, να θεωρηθούν ως «κανόνες σχετικά με τις υπηρεσίες» κατά την έννοια του άρθρου 1 παράγραφος 5, της οδηγίας 98/34.»</w:t>
      </w:r>
    </w:p>
    <w:p w14:paraId="5EFEFCC0" w14:textId="77777777">
      <w:pPr>
        <w:widowControl w:val="0"/>
        <w:autoSpaceDE w:val="0"/>
        <w:autoSpaceDN w:val="0"/>
        <w:spacing w:after="0" w:line="240" w:lineRule="auto"/>
        <w:ind w:left="567"/>
        <w:jc w:val="both"/>
        <w:rPr>
          <w:rFonts w:ascii="Times New Roman" w:hAnsi="Times New Roman" w:cs="Times New Roman" w:eastAsia="Times New Roman"/>
          <w:i/>
          <w:iCs/>
          <w:szCs w:val="20"/>
        </w:rPr>
      </w:pPr>
    </w:p>
    <w:p w14:paraId="41A42BF7" w14:textId="5C64577C">
      <w:pPr>
        <w:pStyle w:val="P68B1DB1-Normal15"/>
        <w:widowControl w:val="0"/>
        <w:autoSpaceDE w:val="0"/>
        <w:autoSpaceDN w:val="0"/>
        <w:spacing w:after="0" w:line="240" w:lineRule="auto"/>
        <w:ind w:left="567"/>
        <w:jc w:val="both"/>
      </w:pPr>
      <w:r>
        <w:t xml:space="preserve">«32. Συναφώς, επισημαίνεται, πρώτον, ότι, κατά το άρθρο 1 παράγραφος 5, πρώτη περίπτωση, της οδηγίας 98/34, το ζήτημα αν ένας κανόνας αφορά ειδικά τις υπηρεσίες της κοινωνίας της πληροφορίας πρέπει να εκτιμάται υπό το πρίσμα τόσο της αιτιολογίας όσο και του γράμματος του κανόνα. Επιπλέον, σύμφωνα με την ως άνω διάταξη, δεν απαιτείται ολόκληρος ο επίμαχος κανόνας να έχει ως «συγκεκριμένο σκοπό και αντικείμενο» να ρυθμίσει τις υπηρεσίες της κοινωνίας των πληροφοριών, αφού αρκεί ορισμένες μόνο διατάξεις του κανόνα αυτού να έχουν τέτοιο σκοπό ή αντικείμενο.</w:t>
      </w:r>
    </w:p>
    <w:p w14:paraId="52376DA8" w14:textId="77777777">
      <w:pPr>
        <w:pStyle w:val="P68B1DB1-Normal15"/>
        <w:widowControl w:val="0"/>
        <w:autoSpaceDE w:val="0"/>
        <w:autoSpaceDN w:val="0"/>
        <w:spacing w:after="0" w:line="240" w:lineRule="auto"/>
        <w:ind w:left="567"/>
        <w:jc w:val="both"/>
      </w:pPr>
    </w:p>
    <w:p w14:paraId="0315D791" w14:textId="4196282E">
      <w:pPr>
        <w:pStyle w:val="P68B1DB1-Normal15"/>
        <w:widowControl w:val="0"/>
        <w:autoSpaceDE w:val="0"/>
        <w:autoSpaceDN w:val="0"/>
        <w:spacing w:after="0" w:line="240" w:lineRule="auto"/>
        <w:ind w:left="567"/>
        <w:jc w:val="both"/>
        <w:rPr>
          <w:iCs/>
        </w:rPr>
      </w:pPr>
      <w:r>
        <w:t xml:space="preserve">33. Κατά συνέπεια, αν από το γράμμα ενός εθνικού κανόνα δεν προκύπτει μόνον ότι ο κανόνας αυτός αποσκοπεί, τουλάχιστον εν μέρει, στην ειδική ρύθμιση των υπηρεσιών της κοινωνίας της πληροφορίας — όπως εν προκειμένω, όταν η διατύπωση δεν διακρίνει μεταξύ υπηρεσιών που παρέχονται εκτός διαδικτύου και υπηρεσιών που παρέχονται επιγραμμικά-, το αντικείμενο αυτό θα μπορούσε παρά ταύτα να συναχθεί ευχερώς από την αιτιολογία του κανόνα αυτού, όπως και στην υπό κρίση υπόθεση βάσει των σχετικών εθνικών ερμηνευτικών κανόνων, οι οποίοι επιτρέπουν, μεταξύ άλλων, τις προπαρασκευαστικές εργασίες του κανόνα αυτού.»</w:t>
      </w:r>
    </w:p>
    <w:p w14:paraId="4FC111DB" w14:textId="77777777">
      <w:pPr>
        <w:spacing w:after="0" w:line="240" w:lineRule="auto"/>
      </w:pPr>
    </w:p>
    <w:p w14:paraId="61BC4E90" w14:textId="11306B2B">
      <w:pPr>
        <w:pStyle w:val="P68B1DB1-Normal13"/>
        <w:widowControl w:val="0"/>
        <w:autoSpaceDE w:val="0"/>
        <w:autoSpaceDN w:val="0"/>
        <w:spacing w:after="0" w:line="240" w:lineRule="auto"/>
        <w:jc w:val="both"/>
        <w:outlineLvl w:val="1"/>
      </w:pPr>
      <w:hyperlink r:id="rId50" w:history="1">
        <w:r>
          <w:rPr>
            <w:color w:val="0000FF"/>
            <w:u w:val="single"/>
          </w:rPr>
          <w:t xml:space="preserve">Απόφαση της 20 Δεκεμβρίου 2017</w:t>
        </w:r>
      </w:hyperlink>
      <w:r>
        <w:t xml:space="preserve">, Asociación Profesional Elite Taxi,</w:t>
        <w:noBreakHyphen/>
        <w:t xml:space="preserve">C 434/15, σκέψεις 37 και 39 έως 41</w:t>
      </w:r>
      <w:bookmarkEnd w:id="75"/>
    </w:p>
    <w:p w14:paraId="101ED87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D7072DE" w14:textId="5D866F13">
      <w:pPr>
        <w:widowControl w:val="0"/>
        <w:tabs>
          <w:tab w:val="left" w:pos="446"/>
        </w:tabs>
        <w:autoSpaceDE w:val="0"/>
        <w:autoSpaceDN w:val="0"/>
        <w:spacing w:after="0" w:line="240" w:lineRule="auto"/>
        <w:jc w:val="both"/>
        <w:rPr>
          <w:rFonts w:ascii="Times New Roman" w:hAnsi="Times New Roman" w:cs="Times New Roman" w:eastAsia="Times New Roman"/>
          <w:szCs w:val="20"/>
        </w:rPr>
        <w:pStyle w:val="P68B1DB1-Normal14"/>
      </w:pPr>
      <w:r>
        <w:t xml:space="preserve">Υπηρεσία διαμεσολάβησης η οποία συνδέει, μέσω εφαρμογής για έξυπνα τηλέφωνα και έναντι αμοιβής, μη επαγγελματίες οδηγούς που χρησιμοποιούν δικά τους οχήματα με πρόσωπα που αναζητούν αστικές μεταφορές πρέπει να θεωρείται ως άρρηκτα συνδεδεμένη με υπηρεσία μεταφορών και, ως εκ τούτου, να χαρακτηρίζεται ως «υπηρεσία στον τομέα των μεταφορών» (και όχι ως «υπηρεσία της κοινωνίας της πληροφορίας»).</w:t>
      </w:r>
    </w:p>
    <w:p w14:paraId="39437988" w14:textId="77777777">
      <w:pPr>
        <w:widowControl w:val="0"/>
        <w:tabs>
          <w:tab w:val="left" w:pos="446"/>
        </w:tabs>
        <w:autoSpaceDE w:val="0"/>
        <w:autoSpaceDN w:val="0"/>
        <w:spacing w:after="0" w:line="240" w:lineRule="auto"/>
        <w:jc w:val="both"/>
        <w:rPr>
          <w:rFonts w:ascii="Times New Roman" w:hAnsi="Times New Roman" w:cs="Times New Roman" w:eastAsia="Times New Roman"/>
          <w:szCs w:val="20"/>
        </w:rPr>
      </w:pPr>
    </w:p>
    <w:p w14:paraId="2DF36F50" w14:textId="0FDBA667">
      <w:pPr>
        <w:pStyle w:val="P68B1DB1-Normal15"/>
        <w:widowControl w:val="0"/>
        <w:tabs>
          <w:tab w:val="left" w:pos="446"/>
        </w:tabs>
        <w:autoSpaceDE w:val="0"/>
        <w:autoSpaceDN w:val="0"/>
        <w:spacing w:after="0" w:line="240" w:lineRule="auto"/>
        <w:ind w:left="567"/>
        <w:jc w:val="both"/>
        <w:rPr>
          <w:iCs/>
        </w:rPr>
      </w:pPr>
      <w:r>
        <w:t>«</w:t>
      </w:r>
      <w:bookmarkStart w:id="76" w:name="point37"/>
      <w:r>
        <w:t>37</w:t>
      </w:r>
      <w:bookmarkEnd w:id="76"/>
      <w:r>
        <w:t xml:space="preserve">. Εντούτοις, πρέπει να επισημανθεί ότι μια υπηρεσία όπως η επίμαχη στην υπόθεση της κύριας δίκης είναι κάτι περισσότερο από μια υπηρεσία διαμεσολάβησης που συνίσταται στη σύνδεση, μέσω εφαρμογής για έξυπνα τηλέφωνα, ενός μη επαγγελματία οδηγού που χρησιμοποιεί το δικό του όχημα με πρόσωπο που επιθυμεί να ταξιδέψει εντός πόλης.»</w:t>
      </w:r>
    </w:p>
    <w:p w14:paraId="6F022088" w14:textId="77777777">
      <w:pPr>
        <w:widowControl w:val="0"/>
        <w:tabs>
          <w:tab w:val="left" w:pos="446"/>
        </w:tabs>
        <w:autoSpaceDE w:val="0"/>
        <w:autoSpaceDN w:val="0"/>
        <w:spacing w:after="0" w:line="240" w:lineRule="auto"/>
        <w:ind w:left="567"/>
        <w:jc w:val="both"/>
        <w:rPr>
          <w:rFonts w:ascii="Times New Roman" w:hAnsi="Times New Roman" w:cs="Times New Roman" w:eastAsia="Times New Roman"/>
          <w:i/>
          <w:iCs/>
          <w:sz w:val="20"/>
          <w:szCs w:val="16"/>
        </w:rPr>
      </w:pPr>
    </w:p>
    <w:p w14:paraId="311F194E" w14:textId="26FAB3A7">
      <w:pPr>
        <w:pStyle w:val="P68B1DB1-Normal15"/>
        <w:widowControl w:val="0"/>
        <w:tabs>
          <w:tab w:val="left" w:pos="446"/>
        </w:tabs>
        <w:autoSpaceDE w:val="0"/>
        <w:autoSpaceDN w:val="0"/>
        <w:spacing w:after="0" w:line="240" w:lineRule="auto"/>
        <w:ind w:left="567"/>
        <w:jc w:val="both"/>
      </w:pPr>
      <w:r>
        <w:t xml:space="preserve">«39. Συγκεκριμένα, από τις πληροφορίες που διαθέτει το Δικαστήριο προκύπτει ότι, στο πλαίσιο της υπηρεσίας διαμεσολάβησης, η Uber επιλέγει μη επαγγελματίες οδηγούς που χρησιμοποιούν δικό τους όχημα και τους παρέχει μια εφαρμογή χωρίς την οποία οι μεν οδηγοί δεν θα ήταν σε θέση να παράσχουν τις υπηρεσίες μεταφοράς, τα δε άτομα που επιθυμούν να μετακινηθούν εντός πόλης δεν θα είχαν πρόσβαση στις υπηρεσίες των οδηγών. Επιπλέον, η Uber ασκεί αποφασιστική επιρροή επί των όρων παροχής της υπηρεσίας από τους οδηγούς. Ως προς το σημείο αυτό, γίνεται ειδικότερα δεκτό ότι η Uber καθορίζει, μέσω της ομώνυμης εφαρμογής, τουλάχιστον το ανώτατο κόμιστρο, ότι εισπράττει το κόμιστρο από τον πελάτη και εν συνεχεία αποδίδει τμήμα του στον μη επαγγελματία οδηγό του οχήματος, και ότι ελέγχει σε κάποιον βαθμό την ποιότητα των οχημάτων και των οδηγών τους, αλλά και τη συμπεριφορά των τελευταίων, επ’ απειλή ακόμη και αποκλεισμού τους.</w:t>
      </w:r>
    </w:p>
    <w:p w14:paraId="111A8FD1" w14:textId="77777777">
      <w:pPr>
        <w:pStyle w:val="P68B1DB1-Normal15"/>
        <w:widowControl w:val="0"/>
        <w:tabs>
          <w:tab w:val="left" w:pos="446"/>
        </w:tabs>
        <w:autoSpaceDE w:val="0"/>
        <w:autoSpaceDN w:val="0"/>
        <w:spacing w:after="0" w:line="240" w:lineRule="auto"/>
        <w:ind w:left="567"/>
        <w:jc w:val="both"/>
      </w:pPr>
    </w:p>
    <w:p w14:paraId="430C0D88" w14:textId="0D13D8D2">
      <w:pPr>
        <w:pStyle w:val="P68B1DB1-Normal15"/>
        <w:widowControl w:val="0"/>
        <w:tabs>
          <w:tab w:val="left" w:pos="446"/>
        </w:tabs>
        <w:autoSpaceDE w:val="0"/>
        <w:autoSpaceDN w:val="0"/>
        <w:spacing w:after="0" w:line="240" w:lineRule="auto"/>
        <w:ind w:left="567"/>
        <w:jc w:val="both"/>
      </w:pPr>
      <w:r>
        <w:t xml:space="preserve">40. Επομένως, η εν λόγω υπηρεσία διαμεσολάβησης πρέπει να θεωρηθεί ότι αποτελεί αναπόσπαστο μέρος μιας συνολικής υπηρεσίας της οποίας το κύριο στοιχείο είναι μια υπηρεσία μεταφοράς και, ως εκ τούτου, δεν πρέπει να χαρακτηριστεί ως «υπηρεσία της κοινωνίας της πληροφορίας», κατά την έννοια του άρθρου 1 παράγραφος 2, της οδηγίας 98/34, στο οποίο παραπέμπει το άρθρο 2 στοιχείο α) ́, της οδηγίας 2000/31, αλλά ως «υπηρεσία στον τομέα των μεταφορών», κατά την έννοια του άρθρου 2 παράγραφος στοιχείο δ) ́, της οδηγίας 2006/123.</w:t>
      </w:r>
    </w:p>
    <w:p w14:paraId="406FF49F" w14:textId="77777777">
      <w:pPr>
        <w:pStyle w:val="P68B1DB1-Normal15"/>
        <w:widowControl w:val="0"/>
        <w:tabs>
          <w:tab w:val="left" w:pos="446"/>
        </w:tabs>
        <w:autoSpaceDE w:val="0"/>
        <w:autoSpaceDN w:val="0"/>
        <w:spacing w:after="0" w:line="240" w:lineRule="auto"/>
        <w:ind w:left="567"/>
        <w:jc w:val="both"/>
      </w:pPr>
    </w:p>
    <w:p w14:paraId="048208D6" w14:textId="0944F089">
      <w:pPr>
        <w:pStyle w:val="P68B1DB1-Normal15"/>
        <w:widowControl w:val="0"/>
        <w:tabs>
          <w:tab w:val="left" w:pos="446"/>
        </w:tabs>
        <w:autoSpaceDE w:val="0"/>
        <w:autoSpaceDN w:val="0"/>
        <w:spacing w:after="0" w:line="240" w:lineRule="auto"/>
        <w:ind w:left="567"/>
        <w:jc w:val="both"/>
        <w:rPr>
          <w:iCs/>
        </w:rPr>
      </w:pPr>
      <w:r>
        <w:t xml:space="preserve">41. Ο χαρακτηρισμός αυτός επιβεβαιώνεται, εξάλλου, από τη νομολογία του Δικαστηρίου, κατά την οποία η έννοια των «υπηρεσιών στον τομέα των μεταφορών» περιλαμβάνει όχι μόνον τις υπηρεσίες μεταφορών αυτές καθαυτές, αλλά και κάθε υπηρεσία που συνδέεται εγγενώς με κάθε υλική πράξη μεταφοράς προσώπων ή εμπορευμάτων με μεταφορικά μέσα [πρβλ. απόφαση της 15 Οκτωβρίου 2015, Grupo Itevelesa κ.λπ., C-168/14, σκέψεις 45 και 46, και γνωμοδότηση 2/15 (Συμφωνία ελεύθερων συναλλαγών με τη Σιγκαπούρη), της 16 Μαΐου 2017, σκέψη 61].»</w:t>
      </w:r>
    </w:p>
    <w:p w14:paraId="058FA7B6" w14:textId="77777777">
      <w:pPr>
        <w:spacing w:after="0" w:line="240" w:lineRule="auto"/>
      </w:pPr>
    </w:p>
    <w:p w14:paraId="21433E65" w14:textId="390C959B">
      <w:pPr>
        <w:pStyle w:val="P68B1DB1-Normal13"/>
        <w:widowControl w:val="0"/>
        <w:autoSpaceDE w:val="0"/>
        <w:autoSpaceDN w:val="0"/>
        <w:spacing w:after="0" w:line="240" w:lineRule="auto"/>
        <w:jc w:val="both"/>
        <w:outlineLvl w:val="1"/>
      </w:pPr>
      <w:hyperlink r:id="rId51" w:history="1">
        <w:r>
          <w:rPr>
            <w:color w:val="0000FF"/>
            <w:u w:val="single"/>
          </w:rPr>
          <w:t xml:space="preserve">Απόφαση της 10 Απριλίου 2018</w:t>
        </w:r>
      </w:hyperlink>
      <w:r>
        <w:t xml:space="preserve">, Uber France, C</w:t>
        <w:noBreakHyphen/>
        <w:t xml:space="preserve">320/16, Ă, σκέψεις 21 και 22.</w:t>
      </w:r>
      <w:bookmarkEnd w:id="77"/>
    </w:p>
    <w:p w14:paraId="2BBD650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A1778BB" w14:textId="6B5C30AB">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Διάταξη του εθνικού δικαίου η οποία επιβάλλει ποινικές κυρώσεις για την οργάνωση συστήματος σύνδεσης πελατών με οδηγούς, χωρίς την αναγκαία άδεια, αφορά «υπηρεσία στον τομέα των μεταφορών» (και όχι «υπηρεσία της κοινωνίας της πληροφορίας»), στο μέτρο που η υπηρεσία διαμεσολάβησης στην οποία εφαρμόζεται αποτελεί αναπόσπαστο μέρος μιας συνολικής υπηρεσίας της οποίας κύριο στοιχείο είναι η υπηρεσία μεταφοράς.</w:t>
      </w:r>
    </w:p>
    <w:p w14:paraId="484E7398" w14:textId="77777777">
      <w:pPr>
        <w:widowControl w:val="0"/>
        <w:autoSpaceDE w:val="0"/>
        <w:autoSpaceDN w:val="0"/>
        <w:spacing w:after="0" w:line="240" w:lineRule="auto"/>
        <w:jc w:val="both"/>
        <w:rPr>
          <w:rFonts w:ascii="Times New Roman" w:hAnsi="Times New Roman" w:cs="Times New Roman" w:eastAsia="Times New Roman"/>
          <w:szCs w:val="20"/>
        </w:rPr>
      </w:pPr>
    </w:p>
    <w:p w14:paraId="279EDA7F" w14:textId="32F45CF2">
      <w:pPr>
        <w:pStyle w:val="P68B1DB1-Normal15"/>
        <w:widowControl w:val="0"/>
        <w:autoSpaceDE w:val="0"/>
        <w:autoSpaceDN w:val="0"/>
        <w:spacing w:after="0" w:line="240" w:lineRule="auto"/>
        <w:ind w:left="567"/>
        <w:jc w:val="both"/>
      </w:pPr>
      <w:r>
        <w:t xml:space="preserve">«21. [...] το Δικαστήριο έκρινε ότι η παρεχόμενη από την οικεία εταιρία υπηρεσία διαμεσολάβησης συνδεόταν εγγενώς με την προσφορά μη δημόσιων υπηρεσιών αστικών μεταφορών από την εν λόγω εταιρία, δεδομένου ότι, πρώτον, η εταιρία αυτή παρείχε εφαρμογή χωρίς την οποία οι οδηγοί αυτοί δεν θα οδηγούνταν στην παροχή υπηρεσιών μεταφορών και ότι τα πρόσωπα που επιθυμούσαν να πραγματοποιήσουν αστικό ταξίδι δεν θα είχαν χρησιμοποιήσει τις υπηρεσίες που παρείχαν οι οδηγοί αυτοί και, δεύτερον, η εταιρία αυτή ασκούσε αποφασιστική επιρροή επί των όρων υπό τους οποίους οι οδηγοί αυτοί παρείχαν τις υπηρεσίες τους, μεταξύ άλλων καθορίζοντας τον μέγιστο ναύλο, εισπράττοντας τον εν λόγω ναύλο από τον πελάτη πριν από την καταβολή μέρους του στον μη επαγγελματία οδηγό του οχήματος και ασκώντας ορισμένο έλεγχο επί της ποιότητας των οχημάτων, των οδηγών και της συμπεριφοράς τους, πράγμα που θα μπορούσε, ενδεχομένως, να οδηγήσει στον αποκλεισμό τους (πρβλ. απόφαση της 20 Δεκεμβρίου 2017, Asociación Profesional Elite Taxi, C-434/15, σκέψεις 38 και 39).</w:t>
      </w:r>
    </w:p>
    <w:p w14:paraId="14310B36" w14:textId="77777777">
      <w:pPr>
        <w:pStyle w:val="P68B1DB1-Normal15"/>
        <w:widowControl w:val="0"/>
        <w:autoSpaceDE w:val="0"/>
        <w:autoSpaceDN w:val="0"/>
        <w:spacing w:after="0" w:line="240" w:lineRule="auto"/>
        <w:ind w:left="567"/>
        <w:jc w:val="both"/>
      </w:pPr>
    </w:p>
    <w:p w14:paraId="5AB6B3C6" w14:textId="7B9B1FC8">
      <w:pPr>
        <w:pStyle w:val="P68B1DB1-Normal15"/>
        <w:widowControl w:val="0"/>
        <w:autoSpaceDE w:val="0"/>
        <w:autoSpaceDN w:val="0"/>
        <w:spacing w:after="0" w:line="240" w:lineRule="auto"/>
        <w:ind w:left="567"/>
        <w:jc w:val="both"/>
        <w:rPr>
          <w:iCs/>
        </w:rPr>
      </w:pPr>
      <w:r>
        <w:t xml:space="preserve">22. Βάσει των στοιχείων αυτών, το Δικαστήριο έκρινε ότι η επίμαχη στην υπόθεση εκείνη υπηρεσία διαμεσολάβησης έπρεπε να θεωρηθεί ότι αποτελεί αναπόσπαστο μέρος μιας συνολικής υπηρεσίας της οποίας το κύριο στοιχείο ήταν μια υπηρεσία μεταφορών και, ως εκ τούτου, έπρεπε να χαρακτηριστεί όχι ως «υπηρεσία της κοινωνίας της πληροφορίας» κατά την έννοια του άρθρου 1 παράγραφος 2, της οδηγίας 98/34, αλλά ως «υπηρεσία στον τομέα των μεταφορών» κατά την έννοια του άρθρου 2 παράγραφος στοιχείο δ) ́, της οδηγίας 2006/123 (πρβλ. απόφαση της 20 Δεκεμβρίου 2017, Asociación Profesional Elite Taxi, C-434/15, σκέψη 40).»</w:t>
      </w:r>
    </w:p>
    <w:p w14:paraId="061F40AB" w14:textId="77777777">
      <w:pPr>
        <w:spacing w:after="0" w:line="240" w:lineRule="auto"/>
      </w:pPr>
    </w:p>
    <w:p w14:paraId="3262279E" w14:textId="468F0EDF">
      <w:pPr>
        <w:pStyle w:val="P68B1DB1-Normal13"/>
        <w:widowControl w:val="0"/>
        <w:autoSpaceDE w:val="0"/>
        <w:autoSpaceDN w:val="0"/>
        <w:spacing w:after="0" w:line="240" w:lineRule="auto"/>
        <w:jc w:val="both"/>
        <w:outlineLvl w:val="1"/>
      </w:pPr>
      <w:hyperlink r:id="rId52" w:history="1">
        <w:r>
          <w:rPr>
            <w:color w:val="0000FF"/>
            <w:u w:val="single"/>
          </w:rPr>
          <w:t xml:space="preserve">Απόφαση της 26 Σεπτεμβρίου 2018</w:t>
        </w:r>
      </w:hyperlink>
      <w:r>
        <w:t xml:space="preserve"> στην υπόθεση C-137/17, Van Gennip κ.λπ., σκέψεις 42 και 43</w:t>
      </w:r>
      <w:bookmarkEnd w:id="78"/>
    </w:p>
    <w:p w14:paraId="7A96B26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0CD5B8C" w14:textId="4108D99A">
      <w:pPr>
        <w:widowControl w:val="0"/>
        <w:tabs>
          <w:tab w:val="left" w:pos="404"/>
        </w:tabs>
        <w:autoSpaceDE w:val="0"/>
        <w:autoSpaceDN w:val="0"/>
        <w:spacing w:after="0" w:line="240" w:lineRule="auto"/>
        <w:jc w:val="both"/>
        <w:rPr>
          <w:rFonts w:ascii="Times New Roman" w:hAnsi="Times New Roman" w:cs="Times New Roman" w:eastAsia="Times New Roman"/>
          <w:szCs w:val="20"/>
        </w:rPr>
        <w:pStyle w:val="P68B1DB1-Normal14"/>
      </w:pPr>
      <w:r>
        <w:t xml:space="preserve">Εθνικές διατάξεις που εξαρτούν την εμπορία προϊόντων από την προϋπόθεση ότι ο αγοραστής διαθέτει άδεια δεν εμπίπτουν στην έννοια του «κανόνα σχετικά με τις υπηρεσίες», δεδομένου ότι δεν αφορούν τις «υπηρεσίες της κοινωνίας της πληροφορίας».</w:t>
      </w:r>
    </w:p>
    <w:p w14:paraId="5542E2DA" w14:textId="77777777">
      <w:pPr>
        <w:widowControl w:val="0"/>
        <w:tabs>
          <w:tab w:val="left" w:pos="404"/>
        </w:tabs>
        <w:autoSpaceDE w:val="0"/>
        <w:autoSpaceDN w:val="0"/>
        <w:spacing w:after="0" w:line="240" w:lineRule="auto"/>
        <w:jc w:val="both"/>
        <w:rPr>
          <w:rFonts w:ascii="Times New Roman" w:hAnsi="Times New Roman" w:cs="Times New Roman" w:eastAsia="Times New Roman"/>
          <w:i/>
          <w:iCs/>
          <w:sz w:val="20"/>
          <w:szCs w:val="16"/>
        </w:rPr>
      </w:pPr>
    </w:p>
    <w:p w14:paraId="725B02E1" w14:textId="700F7E6F">
      <w:pPr>
        <w:pStyle w:val="P68B1DB1-Normal15"/>
        <w:widowControl w:val="0"/>
        <w:tabs>
          <w:tab w:val="left" w:pos="404"/>
        </w:tabs>
        <w:autoSpaceDE w:val="0"/>
        <w:autoSpaceDN w:val="0"/>
        <w:spacing w:after="0" w:line="240" w:lineRule="auto"/>
        <w:ind w:left="567"/>
        <w:jc w:val="both"/>
      </w:pPr>
      <w:r>
        <w:t xml:space="preserve">«42. Όσον αφορά, τρίτον, την κατηγορία «κανόνας σχετικά με τις υπηρεσίες», υπενθυμίζεται ότι, κατά το άρθρο 1, σημείο 5, της οδηγίας 98/34, ο κανόνας αυτός συνιστά απαίτηση γενικής φύσεως σχετικά με την πρόσβαση στις υπηρεσίες του άρθρου 1, σημείο 2, της οδηγίας αυτής και την άσκησή τους, το οποίο ορίζει «κάθε υπηρεσία της κοινωνίας των πληροφοριών, δηλαδή κάθε υπηρεσία που συνήθως παρέχεται έναντι αμοιβής, με ηλεκτρονικά μέσα εξ αποστάσεως και κατόπιν προσωπικής επιλογής ενός αποδέκτη υπηρεσιών» (απόφαση της 4 Φεβρουαρίου 2016, Ince, C-336/14, σκέψη 74).</w:t>
      </w:r>
    </w:p>
    <w:p w14:paraId="288A6CC6" w14:textId="77777777">
      <w:pPr>
        <w:pStyle w:val="P68B1DB1-Normal15"/>
        <w:widowControl w:val="0"/>
        <w:tabs>
          <w:tab w:val="left" w:pos="404"/>
        </w:tabs>
        <w:autoSpaceDE w:val="0"/>
        <w:autoSpaceDN w:val="0"/>
        <w:spacing w:after="0" w:line="240" w:lineRule="auto"/>
        <w:ind w:left="567"/>
        <w:jc w:val="both"/>
      </w:pPr>
    </w:p>
    <w:p w14:paraId="3C78C196" w14:textId="64CBA9D2">
      <w:pPr>
        <w:pStyle w:val="P68B1DB1-Normal15"/>
        <w:widowControl w:val="0"/>
        <w:tabs>
          <w:tab w:val="left" w:pos="404"/>
        </w:tabs>
        <w:autoSpaceDE w:val="0"/>
        <w:autoSpaceDN w:val="0"/>
        <w:spacing w:after="0" w:line="240" w:lineRule="auto"/>
        <w:ind w:left="567"/>
        <w:jc w:val="both"/>
        <w:rPr>
          <w:iCs/>
        </w:rPr>
      </w:pPr>
      <w:r>
        <w:t xml:space="preserve">43. Εν προκειμένω διαπιστώνεται ότι, όπως επισήμανε ο γενικός εισαγγελέας στο σημείο 73 των προτάσεών του, η επίμαχη στην κύρια δίκη ρύθμιση δεν αφορά υπηρεσίες της κοινωνίας της πληροφορίας, κατά την έννοια του άρθρου 1, σημείο 2, της οδηγίας 98/34. Επομένως, η ρύθμιση αυτή δεν μπορεί να εμπίπτει στην κατηγορία των «κανόνων σχετικά με τις υπηρεσίες» της κοινωνίας της πληροφορίας, κατά την έννοια του άρθρου 1, σημείο 5, της εν λόγω οδηγίας.»</w:t>
      </w:r>
    </w:p>
    <w:p w14:paraId="09A4A6F8" w14:textId="77777777">
      <w:pPr>
        <w:spacing w:after="0" w:line="240" w:lineRule="auto"/>
      </w:pPr>
    </w:p>
    <w:p w14:paraId="037D644A" w14:textId="0A9F4072">
      <w:pPr>
        <w:pStyle w:val="P68B1DB1-Normal13"/>
        <w:widowControl w:val="0"/>
        <w:autoSpaceDE w:val="0"/>
        <w:autoSpaceDN w:val="0"/>
        <w:spacing w:after="0" w:line="240" w:lineRule="auto"/>
        <w:jc w:val="both"/>
        <w:outlineLvl w:val="1"/>
      </w:pPr>
      <w:hyperlink r:id="rId53" w:history="1">
        <w:r>
          <w:rPr>
            <w:color w:val="0000FF"/>
            <w:u w:val="single"/>
          </w:rPr>
          <w:t xml:space="preserve">Απόφαση της 12 Σεπτεμβρίου 2019</w:t>
        </w:r>
      </w:hyperlink>
      <w:r>
        <w:t xml:space="preserve"> στην υπόθεση C-299/17, VG Media, σκέψεις 32, 33 και 36.</w:t>
      </w:r>
      <w:bookmarkEnd w:id="79"/>
    </w:p>
    <w:p w14:paraId="7C7D0A2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D8C5548" w14:textId="77777777">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Εθνική διάταξη που απαγορεύει στους εμπορικούς φορείς εκμεταλλεύσεως μηχανών αναζητήσεως και στους παρέχοντες υπηρεσίες εμπορικού περιεχομένου να θέτουν εφημερίδες στη διάθεση του κοινού συνιστά «τεχνικό κανόνα» και πρέπει να κοινοποιείται στην Επιτροπή.</w:t>
      </w:r>
    </w:p>
    <w:p w14:paraId="0BB0ABF6" w14:textId="77777777">
      <w:pPr>
        <w:widowControl w:val="0"/>
        <w:autoSpaceDE w:val="0"/>
        <w:autoSpaceDN w:val="0"/>
        <w:spacing w:after="0" w:line="240" w:lineRule="auto"/>
        <w:jc w:val="both"/>
        <w:rPr>
          <w:rFonts w:ascii="Times New Roman" w:hAnsi="Times New Roman" w:cs="Times New Roman" w:eastAsia="Times New Roman"/>
          <w:szCs w:val="20"/>
        </w:rPr>
      </w:pPr>
    </w:p>
    <w:p w14:paraId="358DF62E" w14:textId="3E77F068">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Ένας κανόνας θεωρείται ότι αφορά ειδικά τις «υπηρεσίες της κοινωνίας της πληροφορίας» όταν ορισμένες διατάξεις επιδιώκουν τον σκοπό αυτό, έστω και αν δεν είναι ο αποκλειστικός σκοπός του κανόνα. Ο σκοπός αυτός μπορεί να συναχθεί από την αιτιολογία του κανόνα, η οποία μπορεί να περιλαμβάνεται στις προπαρασκευαστικές εργασίες, ακόμη και αν δεν προκύπτει ρητώς από το γράμμα του ίδιου του κανόνα.</w:t>
      </w:r>
    </w:p>
    <w:p w14:paraId="2BFD5FE9" w14:textId="77777777">
      <w:pPr>
        <w:widowControl w:val="0"/>
        <w:autoSpaceDE w:val="0"/>
        <w:autoSpaceDN w:val="0"/>
        <w:spacing w:after="0" w:line="240" w:lineRule="auto"/>
        <w:jc w:val="both"/>
        <w:rPr>
          <w:rFonts w:ascii="Times New Roman" w:hAnsi="Times New Roman" w:cs="Times New Roman" w:eastAsia="Times New Roman"/>
          <w:szCs w:val="20"/>
        </w:rPr>
      </w:pPr>
    </w:p>
    <w:p w14:paraId="2032E553" w14:textId="2A9A7661">
      <w:pPr>
        <w:pStyle w:val="P68B1DB1-Normal15"/>
        <w:widowControl w:val="0"/>
        <w:autoSpaceDE w:val="0"/>
        <w:autoSpaceDN w:val="0"/>
        <w:spacing w:after="0" w:line="240" w:lineRule="auto"/>
        <w:ind w:left="567"/>
        <w:jc w:val="both"/>
      </w:pPr>
      <w:r>
        <w:t xml:space="preserve">«32. Συναφώς, επισημαίνεται ότι, κατά το άρθρο 1 παράγραφος 5, πρώτη περίπτωση, της οδηγίας αυτής, ένας κανόνας θεωρείται ότι αφορά ειδικά τις υπηρεσίες της κοινωνίας της πληροφορίας, λαμβανομένων υπόψη τόσο της αιτιολογίας όσο και του διατακτικού του. Επιπλέον, σύμφωνα με την ίδια διάταξη, δεν απαιτείται «ο ειδικός σκοπός και το αντικείμενο» του συνόλου των επίμαχων κανόνων να είναι η ρύθμιση των υπηρεσιών της κοινωνίας της πληροφορίας, δεδομένου ότι αρκεί ο κανόνας να επιδιώκει τον σκοπό ή το αντικείμενο αυτό σε ορισμένες από τις διατάξεις του (απόφαση της 20 Δεκεμβρίου 2017, Falbert κ.λπ., C-255/16, σκέψη 32).</w:t>
      </w:r>
    </w:p>
    <w:p w14:paraId="5B946C01" w14:textId="77777777">
      <w:pPr>
        <w:pStyle w:val="P68B1DB1-Normal15"/>
        <w:widowControl w:val="0"/>
        <w:autoSpaceDE w:val="0"/>
        <w:autoSpaceDN w:val="0"/>
        <w:spacing w:after="0" w:line="240" w:lineRule="auto"/>
        <w:ind w:left="567"/>
        <w:jc w:val="both"/>
      </w:pPr>
    </w:p>
    <w:p w14:paraId="6C09ADB6" w14:textId="15077D61">
      <w:pPr>
        <w:pStyle w:val="P68B1DB1-Normal15"/>
        <w:widowControl w:val="0"/>
        <w:autoSpaceDE w:val="0"/>
        <w:autoSpaceDN w:val="0"/>
        <w:spacing w:after="0" w:line="240" w:lineRule="auto"/>
        <w:ind w:left="567"/>
        <w:jc w:val="both"/>
        <w:rPr>
          <w:iCs/>
        </w:rPr>
      </w:pPr>
      <w:r>
        <w:t xml:space="preserve">33. Επιπλέον, ακόμη και όταν δεν προκύπτει μόνον από το γράμμα ενός εθνικού κανόνα ότι ο κανόνας αυτός αποσκοπεί, τουλάχιστον εν μέρει, στην ειδική ρύθμιση των υπηρεσιών της κοινωνίας της πληροφορίας, ο σκοπός αυτός μπορεί εντούτοις να συναχθεί ευχερώς από την αιτιολογία του κανόνα, όπως προκύπτει, σύμφωνα με τους σχετικούς εθνικούς ερμηνευτικούς κανόνες, ιδίως από τις προπαρασκευαστικές εργασίες του κανόνα αυτού (πρβλ. απόφαση της 20 Δεκεμβρίου 2017, Falbert κ.λπ., C-255/16, σκέψη 33).»</w:t>
      </w:r>
    </w:p>
    <w:p w14:paraId="4A5A1EDF" w14:textId="77777777">
      <w:pPr>
        <w:widowControl w:val="0"/>
        <w:autoSpaceDE w:val="0"/>
        <w:autoSpaceDN w:val="0"/>
        <w:spacing w:after="0" w:line="240" w:lineRule="auto"/>
        <w:ind w:left="567"/>
        <w:jc w:val="both"/>
        <w:rPr>
          <w:rFonts w:ascii="Times New Roman" w:hAnsi="Times New Roman" w:cs="Times New Roman" w:eastAsia="Times New Roman"/>
          <w:i/>
          <w:iCs/>
          <w:sz w:val="20"/>
          <w:szCs w:val="16"/>
        </w:rPr>
      </w:pPr>
    </w:p>
    <w:p w14:paraId="7E5F1F4F" w14:textId="288395A0">
      <w:pPr>
        <w:pStyle w:val="P68B1DB1-Normal15"/>
        <w:widowControl w:val="0"/>
        <w:autoSpaceDE w:val="0"/>
        <w:autoSpaceDN w:val="0"/>
        <w:spacing w:after="0" w:line="240" w:lineRule="auto"/>
        <w:ind w:left="567"/>
        <w:jc w:val="both"/>
        <w:rPr>
          <w:iCs/>
        </w:rPr>
      </w:pPr>
      <w:r>
        <w:t>«</w:t>
      </w:r>
      <w:bookmarkStart w:id="80" w:name="point36"/>
      <w:r>
        <w:t>36</w:t>
      </w:r>
      <w:bookmarkEnd w:id="80"/>
      <w:r>
        <w:t xml:space="preserve">. Πράγματι, μολονότι το αιτούν δικαστήριο δεν παρέχει σαφείς ενδείξεις ως προς τον συγκεκριμένο σκοπό και το αντικείμενο της επίμαχης στην κύρια δίκη εθνικής ρύθμισης, εντούτοις από τις παρατηρήσεις που υπέβαλε η Γερμανική Κυβέρνηση κατά την επ’ ακροατηρίου συζήτηση ενώπιον του Δικαστηρίου προκύπτει ότι, αρχικώς, η τροποποίηση του UrhG αφορούσε ειδικώς τους φορείς παροχής διαδικτυακών μηχανών αναζήτησης. Άλλωστε, όπως εκθέτουν τόσο οι διάδικοι της κύριας δίκης όσο και η Επιτροπή με τις γραπτές τους παρατηρήσεις, σκοπός της ρύθμισης αυτής ήταν να προστατεύσει τα νόμιμα συμφέροντα των εκδοτών Τύπου στην ψηφιακή εποχή. Συνάγεται, επομένως, ότι βασικό αντικείμενο και σκοπός της επίμαχης στην κύρια δίκη εθνικής διάταξης ήταν να προστατεύσει τους εκδότες αυτούς από τις προσβολές των δικαιωμάτων πνευματικής ιδιοκτησίας μέσω των διαδικτυακών μηχανών αναζήτησης. Στο πλαίσιο αυτό, φαίνεται ότι η προστασία κρίθηκε αναγκαία μόνο για συστηματικές παραβιάσεις έργων διαδικτυακών εκδοτών από παρόχους υπηρεσιών της κοινωνίας της πληροφορίας.»</w:t>
      </w:r>
    </w:p>
    <w:p w14:paraId="5918FFD9" w14:textId="77777777">
      <w:pPr>
        <w:spacing w:after="0" w:line="240" w:lineRule="auto"/>
      </w:pPr>
    </w:p>
    <w:p w14:paraId="76F47905" w14:textId="651D9AB2">
      <w:pPr>
        <w:pStyle w:val="P68B1DB1-Normal13"/>
        <w:spacing w:after="0" w:line="240" w:lineRule="auto"/>
      </w:pPr>
      <w:hyperlink r:id="rId54" w:history="1">
        <w:r>
          <w:rPr>
            <w:color w:val="0000FF"/>
            <w:u w:val="single"/>
          </w:rPr>
          <w:t xml:space="preserve">Απόφαση της 19 Δεκεμβρίου 2019</w:t>
        </w:r>
      </w:hyperlink>
      <w:r>
        <w:t xml:space="preserve">, Airbnb Ireland, C</w:t>
        <w:noBreakHyphen/>
        <w:t xml:space="preserve">390/18, Ă, σκέψεις 64 έως 68 και 99.</w:t>
      </w:r>
    </w:p>
    <w:p w14:paraId="1BD3BE16" w14:textId="77777777">
      <w:pPr>
        <w:widowControl w:val="0"/>
        <w:autoSpaceDE w:val="0"/>
        <w:autoSpaceDN w:val="0"/>
        <w:spacing w:after="0" w:line="240" w:lineRule="auto"/>
        <w:jc w:val="both"/>
        <w:rPr>
          <w:rFonts w:ascii="Times New Roman" w:hAnsi="Times New Roman" w:cs="Times New Roman" w:eastAsia="Times New Roman"/>
          <w:szCs w:val="20"/>
        </w:rPr>
      </w:pPr>
    </w:p>
    <w:p w14:paraId="5CA625E2" w14:textId="77777777">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Υπηρεσία διαμεσολάβησης η οποία συνδέει πελάτες με εκμισθωτές που προσφέρουν βραχυχρόνια καταλύματα μέσω ηλεκτρονικής πλατφόρμας, ενώ παρέχει παρεπόμενες υπηρεσίες, συνιστά «υπηρεσία της κοινωνίας της πληροφορίας», διότι οι παρεπόμενες υπηρεσίες δεν παρέχουν σημαντική επιρροή στην παροχή των υπηρεσιών παροχής καταλύματος.</w:t>
      </w:r>
    </w:p>
    <w:p w14:paraId="6D083E5E" w14:textId="77777777">
      <w:pPr>
        <w:widowControl w:val="0"/>
        <w:autoSpaceDE w:val="0"/>
        <w:autoSpaceDN w:val="0"/>
        <w:spacing w:after="0" w:line="240" w:lineRule="auto"/>
        <w:jc w:val="both"/>
        <w:rPr>
          <w:rFonts w:ascii="Times New Roman" w:hAnsi="Times New Roman" w:cs="Times New Roman" w:eastAsia="Times New Roman"/>
          <w:szCs w:val="20"/>
        </w:rPr>
      </w:pPr>
    </w:p>
    <w:p w14:paraId="42B56B92" w14:textId="704D923C">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Για να χαρακτηριστεί μια υπηρεσία ως «υπηρεσία της κοινωνίας της πληροφορίας», πρέπει να πληροί σωρευτικά τέσσερις προϋποθέσεις: πρέπει να παρέχεται έναντι αμοιβής, εξ αποστάσεως, με ηλεκτρονικά μέσα και κατόπιν ατομικού αιτήματος του αποδέκτη.</w:t>
      </w:r>
    </w:p>
    <w:p w14:paraId="1136EA60" w14:textId="77777777">
      <w:pPr>
        <w:widowControl w:val="0"/>
        <w:autoSpaceDE w:val="0"/>
        <w:autoSpaceDN w:val="0"/>
        <w:spacing w:after="0" w:line="240" w:lineRule="auto"/>
        <w:jc w:val="both"/>
        <w:rPr>
          <w:rFonts w:ascii="Times New Roman" w:hAnsi="Times New Roman" w:cs="Times New Roman" w:eastAsia="Times New Roman"/>
          <w:szCs w:val="20"/>
        </w:rPr>
      </w:pPr>
    </w:p>
    <w:p w14:paraId="6389A1A6" w14:textId="0A8C6391">
      <w:pPr>
        <w:pStyle w:val="P68B1DB1-Normal15"/>
        <w:widowControl w:val="0"/>
        <w:autoSpaceDE w:val="0"/>
        <w:autoSpaceDN w:val="0"/>
        <w:spacing w:after="0" w:line="240" w:lineRule="auto"/>
        <w:ind w:left="567"/>
        <w:jc w:val="both"/>
      </w:pPr>
      <w:r>
        <w:t xml:space="preserve">«64. Ακόμη και συνεκτιμώμενες από κοινού, οι προαιρετικές και μη υπηρεσίες τις οποίες παρέχει η Airbnb Ireland και οι οποίες μνημονεύονται στις σκέψεις 59 έως 63 της παρούσας απόφασης δεν αναιρούν τη διαπίστωση ότι είναι δυνατός ο διαχωρισμός της υπηρεσίας διαμεσολάβησης που παρέχει η εταιρία αυτή και, ως εκ τούτου, τον χαρακτηρισμό της ως «υπηρεσίας της κοινωνίας της πληροφορίας», διότι άλλως θα μεταβάλλονταν ουσιωδώς τα ιδιαίτερα χαρακτηριστικά της υπηρεσίας αυτής. Συναφώς, θα ήταν εξάλλου παράδοξο να είναι δυνατόν οι παρεπόμενες Αυτές υπηρεσίες, που προσδίδουν προστιθέμενη αξία και παρέχονται μέσω ηλεκτρονικής πλατφόρμας στους πελάτες της Airbnb Ireland με σκοπό, μεταξύ άλλων, να αναδειχθεί η εταιρία αυτή ανάμεσα στους ανταγωνιστές της, να συνεπάγονται, χωρίς επιπλέον στοιχεία, την τροποποίηση της φύσης και, ως εκ τούτου, του νομικού χαρακτηρισμού της δραστηριότητας της τελευταίας, όπως επισήμανε ο γενικός εισαγγελέας στο σημείο 46 των προτάσεών του.</w:t>
      </w:r>
    </w:p>
    <w:p w14:paraId="320B5232" w14:textId="77777777">
      <w:pPr>
        <w:pStyle w:val="P68B1DB1-Normal15"/>
        <w:widowControl w:val="0"/>
        <w:autoSpaceDE w:val="0"/>
        <w:autoSpaceDN w:val="0"/>
        <w:spacing w:after="0" w:line="240" w:lineRule="auto"/>
        <w:ind w:left="567"/>
        <w:jc w:val="both"/>
      </w:pPr>
    </w:p>
    <w:p w14:paraId="775D096C" w14:textId="35786B0F">
      <w:pPr>
        <w:pStyle w:val="P68B1DB1-Normal15"/>
        <w:widowControl w:val="0"/>
        <w:autoSpaceDE w:val="0"/>
        <w:autoSpaceDN w:val="0"/>
        <w:spacing w:after="0" w:line="240" w:lineRule="auto"/>
        <w:ind w:left="567"/>
        <w:jc w:val="both"/>
      </w:pPr>
      <w:r>
        <w:t xml:space="preserve">65. Επιπλέον, αντιθέτως προς όσα υποστηρίζουν η AHTOP και η Γαλλική Κυβέρνηση, οι κανόνες λειτουργίας μιας υπηρεσίας διαμεσολάβησης όπως αυτή που παρέχει η Airbnb δεν μπορούν να εξομοιωθούν με τους κανόνες της υπηρεσίας διαμεσολάβησης επί των οποίων εκδόθηκαν οι αποφάσεις της 20 Δεκεμβρίου 2017, Asociación Profesional Elite Taxi (C-434/15, σκέψη 39), και της 10 Απριλίου 2018, Uber France (C-320/16, σκέψη 21).</w:t>
      </w:r>
    </w:p>
    <w:p w14:paraId="473F7C74" w14:textId="77777777">
      <w:pPr>
        <w:pStyle w:val="P68B1DB1-Normal15"/>
        <w:widowControl w:val="0"/>
        <w:autoSpaceDE w:val="0"/>
        <w:autoSpaceDN w:val="0"/>
        <w:spacing w:after="0" w:line="240" w:lineRule="auto"/>
        <w:ind w:left="567"/>
        <w:jc w:val="both"/>
      </w:pPr>
    </w:p>
    <w:p w14:paraId="699650AB" w14:textId="336149BD">
      <w:pPr>
        <w:pStyle w:val="P68B1DB1-Normal15"/>
        <w:widowControl w:val="0"/>
        <w:autoSpaceDE w:val="0"/>
        <w:autoSpaceDN w:val="0"/>
        <w:spacing w:after="0" w:line="240" w:lineRule="auto"/>
        <w:ind w:left="567"/>
        <w:jc w:val="both"/>
      </w:pPr>
      <w:r>
        <w:t xml:space="preserve">66. Πέραν του γεγονότος ότι οι ως άνω αποφάσεις εντάσσονταν στο ειδικό πλαίσιο της αστικής μεταφοράς προσώπων επί της οποίας έχει εφαρμογή το άρθρο 58 παράγραφος 1, ΣΛΕΕ και ότι οι παρεχόμενες από την Airbnb Ireland υπηρεσίες δεν είναι συγκρίσιμες με τις επίμαχες στις υποθέσεις επί των οποίων εκδόθηκαν οι αποφάσεις που μνημονεύονται στην προηγούμενη σκέψη, από τις παρεπόμενες παροχές που διαλαμβάνονται στις σκέψεις 59 έως 63 της παρούσας απόφασης δεν προκύπτει το επίπεδο ελέγχου που διαπίστωσε το Δικαστήριο με τις εν λόγω αποφάσεις.</w:t>
      </w:r>
    </w:p>
    <w:p w14:paraId="46A1AADB" w14:textId="77777777">
      <w:pPr>
        <w:pStyle w:val="P68B1DB1-Normal15"/>
        <w:widowControl w:val="0"/>
        <w:autoSpaceDE w:val="0"/>
        <w:autoSpaceDN w:val="0"/>
        <w:spacing w:after="0" w:line="240" w:lineRule="auto"/>
        <w:ind w:left="567"/>
        <w:jc w:val="both"/>
      </w:pPr>
    </w:p>
    <w:p w14:paraId="43245B44" w14:textId="73F9E124">
      <w:pPr>
        <w:pStyle w:val="P68B1DB1-Normal15"/>
        <w:widowControl w:val="0"/>
        <w:autoSpaceDE w:val="0"/>
        <w:autoSpaceDN w:val="0"/>
        <w:spacing w:after="0" w:line="240" w:lineRule="auto"/>
        <w:ind w:left="567"/>
        <w:jc w:val="both"/>
      </w:pPr>
      <w:r>
        <w:t xml:space="preserve">67. Έτσι, το Δικαστήριο έκρινε, με τις αποφάσεις αυτές, ότι η Uber ασκούσε αποφασιστική επιρροή επί των όρων υπό τους οποίους οι μη επαγγελματίες οδηγοί παρείχαν υπηρεσίες μεταφοράς μέσω της εφαρμογής που τους είχε θέσει η εταιρία αυτή (αποφάσεις της 20 Δεκεμβρίου 2017, Asociación Profesional Elite Taxi, C-434/15, σκέψη 39, και της 10 Απριλίου 2018, Uber France, C-320/16, σκέψη 21).</w:t>
      </w:r>
    </w:p>
    <w:p w14:paraId="64CE1305" w14:textId="77777777">
      <w:pPr>
        <w:pStyle w:val="P68B1DB1-Normal15"/>
        <w:widowControl w:val="0"/>
        <w:autoSpaceDE w:val="0"/>
        <w:autoSpaceDN w:val="0"/>
        <w:spacing w:after="0" w:line="240" w:lineRule="auto"/>
        <w:ind w:left="567"/>
        <w:jc w:val="both"/>
      </w:pPr>
    </w:p>
    <w:p w14:paraId="44EC953C" w14:textId="0BF6EC00">
      <w:pPr>
        <w:pStyle w:val="P68B1DB1-Normal15"/>
        <w:widowControl w:val="0"/>
        <w:autoSpaceDE w:val="0"/>
        <w:autoSpaceDN w:val="0"/>
        <w:spacing w:after="0" w:line="240" w:lineRule="auto"/>
        <w:ind w:left="567"/>
        <w:jc w:val="both"/>
      </w:pPr>
      <w:r>
        <w:t xml:space="preserve">68. Τα στοιχεία που μνημονεύει το αιτούν δικαστήριο και τα οποία υπομνήσθηκαν στη σκέψη 19 της παρούσας αποφάσεως δεν αποδεικνύουν ότι η Airbnb Ireland ασκεί τέτοια αποφασιστική επιρροή επί των όρων παροχής των υπηρεσιών παροχής καταλύματος τις οποίες αφορά η υπηρεσία διαμεσολαβήσεως, πολλώ δε μάλλον καθόσον η Airbnb Ireland δεν καθορίζει, άμεσα ή έμμεσα, το μίσθωμα που χρεώνεται, όπως διαπιστώθηκε στις σκέψεις 56 και 62 της παρούσας αποφάσεως, πολλώ δε μάλλον δεν επιλέγει τους εκμισθωτές ή το κατάλυμα που διατίθεται προς μίσθωση στην πλατφόρμα της.»</w:t>
      </w:r>
    </w:p>
    <w:p w14:paraId="4325E66E" w14:textId="77777777">
      <w:pPr>
        <w:widowControl w:val="0"/>
        <w:autoSpaceDE w:val="0"/>
        <w:autoSpaceDN w:val="0"/>
        <w:spacing w:after="0" w:line="240" w:lineRule="auto"/>
        <w:ind w:left="567"/>
        <w:jc w:val="both"/>
        <w:rPr>
          <w:rFonts w:ascii="Times New Roman" w:hAnsi="Times New Roman" w:cs="Times New Roman" w:eastAsia="Times New Roman"/>
          <w:i/>
          <w:iCs/>
          <w:sz w:val="20"/>
          <w:szCs w:val="16"/>
        </w:rPr>
      </w:pPr>
    </w:p>
    <w:p w14:paraId="2005D651" w14:textId="190F88B2">
      <w:pPr>
        <w:pStyle w:val="P68B1DB1-Normal15"/>
        <w:widowControl w:val="0"/>
        <w:autoSpaceDE w:val="0"/>
        <w:autoSpaceDN w:val="0"/>
        <w:spacing w:after="0" w:line="240" w:lineRule="auto"/>
        <w:ind w:left="567"/>
        <w:jc w:val="both"/>
        <w:rPr>
          <w:iCs/>
        </w:rPr>
      </w:pPr>
      <w:r>
        <w:t>«</w:t>
      </w:r>
      <w:bookmarkStart w:id="81" w:name="point99"/>
      <w:r>
        <w:t>99</w:t>
      </w:r>
      <w:bookmarkEnd w:id="81"/>
      <w:r>
        <w:t xml:space="preserve">. Λαμβανομένου υπόψη ότι η Γαλλική Δημοκρατία δεν κοινοποίησε τον νόμο Hoguet και λαμβανομένου υπόψη του σωρευτικού χαρακτήρα των προϋποθέσεων του άρθρου 3 παράγραφος 4, της οδηγίας 2000/31, που υπομνήσθηκαν στις σκέψεις 84 και 85 της παρούσας αποφάσεως, πρέπει να γίνει δεκτό ότι ο νόμος αυτός δεν μπορεί, εν πάση περιπτώσει, να εφαρμοστεί σε ιδιώτη ευρισκόμενο σε κατάσταση όπως αυτή της Airbnb Ireland στην υπόθεση της κύριας δίκης, ανεξαρτήτως του αν ο νόμος αυτός πληροί τις λοιπές προϋποθέσεις που προβλέπει η εν λόγω διάταξη.»</w:t>
      </w:r>
    </w:p>
    <w:p w14:paraId="261461B1" w14:textId="77777777">
      <w:pPr>
        <w:spacing w:after="0" w:line="240" w:lineRule="auto"/>
      </w:pPr>
    </w:p>
    <w:p w14:paraId="602C58A9" w14:textId="0E3EBA31">
      <w:pPr>
        <w:pStyle w:val="P68B1DB1-Normal13"/>
        <w:widowControl w:val="0"/>
        <w:autoSpaceDE w:val="0"/>
        <w:autoSpaceDN w:val="0"/>
        <w:spacing w:after="0" w:line="240" w:lineRule="auto"/>
        <w:jc w:val="both"/>
        <w:outlineLvl w:val="1"/>
      </w:pPr>
      <w:hyperlink r:id="rId55" w:history="1">
        <w:r>
          <w:rPr>
            <w:color w:val="0000FF"/>
            <w:u w:val="single"/>
          </w:rPr>
          <w:t xml:space="preserve">Απόφαση της 22 Οκτωβρίου 2020</w:t>
        </w:r>
      </w:hyperlink>
      <w:r>
        <w:t xml:space="preserve">, Sportingbet και Internet Opportunity Entertainment, C</w:t>
        <w:noBreakHyphen/>
        <w:t xml:space="preserve">275/19, Ă, σκέψεις 47 έως 49.</w:t>
      </w:r>
      <w:bookmarkEnd w:id="82"/>
    </w:p>
    <w:p w14:paraId="20524501"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F2E09A3" w14:textId="049CB57F">
      <w:pPr>
        <w:pStyle w:val="P68B1DB1-Normal14"/>
        <w:widowControl w:val="0"/>
        <w:autoSpaceDE w:val="0"/>
        <w:autoSpaceDN w:val="0"/>
        <w:spacing w:after="0" w:line="240" w:lineRule="auto"/>
        <w:jc w:val="both"/>
        <w:outlineLvl w:val="1"/>
      </w:pPr>
      <w:bookmarkStart w:id="83" w:name="_Toc198043836"/>
      <w:r>
        <w:t xml:space="preserve">Ρύθμιση η οποία παρέχει σε δημόσιο φορέα το αποκλειστικό δικαίωμα εκμεταλλεύσεως ορισμένων τυχηρών παιγνίων, συμπεριλαμβανομένου του διαδικτύου, εμπίπτει στον ορισμό των «κανόνων σχετικά με τις υπηρεσίες», στο μέτρο που αφορούν υπηρεσία της κοινωνίας της πληροφορίας.</w:t>
      </w:r>
      <w:bookmarkEnd w:id="83"/>
    </w:p>
    <w:p w14:paraId="7434769F" w14:textId="77777777">
      <w:pPr>
        <w:widowControl w:val="0"/>
        <w:autoSpaceDE w:val="0"/>
        <w:autoSpaceDN w:val="0"/>
        <w:spacing w:after="0" w:line="240" w:lineRule="auto"/>
        <w:jc w:val="both"/>
        <w:outlineLvl w:val="1"/>
        <w:rPr>
          <w:rFonts w:ascii="Times New Roman" w:hAnsi="Times New Roman" w:cs="Times New Roman" w:eastAsia="Times New Roman"/>
          <w:szCs w:val="20"/>
        </w:rPr>
      </w:pPr>
    </w:p>
    <w:p w14:paraId="312EA22E" w14:textId="5FE50AED">
      <w:pPr>
        <w:pStyle w:val="P68B1DB1-Normal15"/>
        <w:widowControl w:val="0"/>
        <w:autoSpaceDE w:val="0"/>
        <w:autoSpaceDN w:val="0"/>
        <w:spacing w:after="0" w:line="240" w:lineRule="auto"/>
        <w:ind w:left="567"/>
        <w:jc w:val="both"/>
        <w:outlineLvl w:val="1"/>
        <w:rPr>
          <w:bCs/>
        </w:rPr>
      </w:pPr>
      <w:bookmarkStart w:id="84" w:name="_Toc198043837"/>
      <w:r>
        <w:t xml:space="preserve">«47. Κατά το άρθρο 1 παράγραφος 5, της οδηγίας αυτής, ως «κανόνες για τις υπηρεσίες» νοούνται όλες οι απαιτήσεις γενικού χαρακτήρα που αφορούν την πρόσβαση στις δραστηριότητες παροχής υπηρεσιών που αναφέρονται στο άρθρο 1 παράγραφος 2, της εν λόγω οδηγίας και την άσκησή τους, στις οποίες περιλαμβάνεται «κάθε υπηρεσία της κοινωνίας των πληροφοριών, δηλαδή κάθε υπηρεσία που συνήθως παρέχεται έναντι αμοιβής, με ηλεκτρονικά μέσα εξ αποστάσεως και κατόπιν προσωπικής επιλογής ενός αποδέκτη υπηρεσιών».</w:t>
      </w:r>
      <w:bookmarkEnd w:id="84"/>
    </w:p>
    <w:p w14:paraId="65107F99" w14:textId="77777777">
      <w:pPr>
        <w:pStyle w:val="P68B1DB1-Normal15"/>
        <w:widowControl w:val="0"/>
        <w:autoSpaceDE w:val="0"/>
        <w:autoSpaceDN w:val="0"/>
        <w:spacing w:after="0" w:line="240" w:lineRule="auto"/>
        <w:ind w:left="567"/>
        <w:jc w:val="both"/>
        <w:outlineLvl w:val="1"/>
        <w:rPr>
          <w:bCs/>
        </w:rPr>
      </w:pPr>
    </w:p>
    <w:p w14:paraId="44FBF5F6" w14:textId="02996DEF">
      <w:pPr>
        <w:pStyle w:val="P68B1DB1-Normal15"/>
        <w:widowControl w:val="0"/>
        <w:autoSpaceDE w:val="0"/>
        <w:autoSpaceDN w:val="0"/>
        <w:spacing w:after="0" w:line="240" w:lineRule="auto"/>
        <w:ind w:left="567"/>
        <w:jc w:val="both"/>
        <w:outlineLvl w:val="1"/>
        <w:rPr>
          <w:bCs/>
        </w:rPr>
      </w:pPr>
      <w:bookmarkStart w:id="85" w:name="_Toc198043838"/>
      <w:r>
        <w:t xml:space="preserve">48. Συναφώς, το Δικαστήριο έχει κρίνει ότι οι διατάξεις σχετικά με την απαγόρευση προσφοράς τυχερών παιγνίων στο διαδίκτυο, τις εξαιρέσεις από την απαγόρευση αυτή, τους περιορισμούς στην προσφορά αθλητικών στοιχημάτων στο διαδίκτυο και την απαγόρευση μετάδοσης διαφημίσεων τυχερών παιγνίων στο διαδίκτυο μπορούν να χαρακτηριστούν ως «κανόνες σχετικά με τις υπηρεσίες», κατά την έννοια του άρθρου 1 παράγραφος 5, της οδηγίας 98/34, στο μέτρο που αφορούν «υπηρεσία της κοινωνίας των πληροφοριών» κατά την έννοια του άρθρου 1 παράγραφος 2, της οδηγίας αυτής (βλ., κατ’ αναλογία, απόφαση της 4 Φεβρουαρίου 2016, Ince, C-336/14, σκέψη 75).</w:t>
      </w:r>
      <w:bookmarkEnd w:id="85"/>
    </w:p>
    <w:p w14:paraId="1117AEFE" w14:textId="77777777">
      <w:pPr>
        <w:pStyle w:val="P68B1DB1-Normal15"/>
        <w:widowControl w:val="0"/>
        <w:autoSpaceDE w:val="0"/>
        <w:autoSpaceDN w:val="0"/>
        <w:spacing w:after="0" w:line="240" w:lineRule="auto"/>
        <w:ind w:left="567"/>
        <w:jc w:val="both"/>
        <w:outlineLvl w:val="1"/>
        <w:rPr>
          <w:bCs/>
        </w:rPr>
      </w:pPr>
    </w:p>
    <w:p w14:paraId="6626E676" w14:textId="509677C9">
      <w:pPr>
        <w:pStyle w:val="P68B1DB1-Normal15"/>
        <w:widowControl w:val="0"/>
        <w:autoSpaceDE w:val="0"/>
        <w:autoSpaceDN w:val="0"/>
        <w:spacing w:after="0" w:line="240" w:lineRule="auto"/>
        <w:ind w:left="567"/>
        <w:jc w:val="both"/>
        <w:outlineLvl w:val="1"/>
        <w:rPr>
          <w:bCs/>
        </w:rPr>
      </w:pPr>
      <w:bookmarkStart w:id="86" w:name="_Toc198043839"/>
      <w:r>
        <w:t xml:space="preserve">49. Εν προκειμένω, οι κανόνες των άρθρων 2 και 3 της πράξης νομοθετικού περιεχομένου 282/2003 αφορούν ειδικά υπηρεσίες της κοινωνίας της πληροφορίας. Επιπλέον, λόγω της παραχωρήσεως στη Santa Casa του αποκλειστικού δικαιώματος εκμεταλλεύσεως τυχηρών παιγνίων στο διαδίκτυο, οι διατάξεις αυτές απαγορεύουν σε όλους τους επιχειρηματίες να παρέχουν τις υπηρεσίες αυτές, με εξαίρεση τη Santa Casa.»</w:t>
      </w:r>
      <w:bookmarkEnd w:id="86"/>
    </w:p>
    <w:p w14:paraId="4D056F67" w14:textId="77777777">
      <w:pPr>
        <w:spacing w:after="0" w:line="240" w:lineRule="auto"/>
      </w:pPr>
    </w:p>
    <w:p w14:paraId="07196289" w14:textId="29A89F4E">
      <w:pPr>
        <w:pStyle w:val="P68B1DB1-Normal13"/>
        <w:widowControl w:val="0"/>
        <w:autoSpaceDE w:val="0"/>
        <w:autoSpaceDN w:val="0"/>
        <w:spacing w:after="0" w:line="240" w:lineRule="auto"/>
        <w:jc w:val="both"/>
        <w:outlineLvl w:val="1"/>
      </w:pPr>
      <w:hyperlink r:id="rId56" w:history="1">
        <w:r>
          <w:rPr>
            <w:color w:val="0000FF"/>
            <w:u w:val="single"/>
          </w:rPr>
          <w:t xml:space="preserve">Απόφαση της 3 Δεκεμβρίου 2020</w:t>
        </w:r>
      </w:hyperlink>
      <w:r>
        <w:t xml:space="preserve">, Star Taxi App, C</w:t>
        <w:noBreakHyphen/>
        <w:t xml:space="preserve">62/19, σκέψεις 52 έως 54 και 64 έως 66</w:t>
      </w:r>
      <w:bookmarkEnd w:id="87"/>
    </w:p>
    <w:p w14:paraId="73E5D159"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6B75F1E" w14:textId="4E123154">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Μια υπηρεσία διαμεσολάβησης που απλώς συνδέει πελάτες με ήδη εξουσιοδοτημένους οδηγούς ταξί — χωρίς να οργανώνει η ίδια την υπηρεσία μεταφορών, να επιλέγει τους οδηγούς, να καθορίζει ναύλους ή να ασκεί έλεγχο επί των οχημάτων ή των οδηγών- εμπίπτει στην κατηγορία των «υπηρεσιών της κοινωνίας της πληροφορίας».</w:t>
      </w:r>
    </w:p>
    <w:p w14:paraId="53C8E268" w14:textId="77777777">
      <w:pPr>
        <w:widowControl w:val="0"/>
        <w:tabs>
          <w:tab w:val="left" w:pos="437"/>
        </w:tabs>
        <w:autoSpaceDE w:val="0"/>
        <w:autoSpaceDN w:val="0"/>
        <w:spacing w:after="0" w:line="240" w:lineRule="auto"/>
        <w:ind w:hanging="142"/>
        <w:jc w:val="both"/>
        <w:rPr>
          <w:rFonts w:ascii="Times New Roman" w:hAnsi="Times New Roman" w:cs="Times New Roman" w:eastAsia="Times New Roman"/>
          <w:szCs w:val="20"/>
        </w:rPr>
      </w:pPr>
    </w:p>
    <w:p w14:paraId="6B04D4DF" w14:textId="22C1A495">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Επιπλέον, νομοθεσία η οποία δεν αφορά ειδικά τέτοιες υπηρεσίες, αλλά εφαρμόζεται αδιακρίτως σε όλες τις μορφές αποστολής, ακόμη και τηλεφωνικώς ή μέσω εφαρμογής, δεν μπορεί να χαρακτηριστεί ως «κανόνας σχετικά με τις υπηρεσίες».</w:t>
      </w:r>
    </w:p>
    <w:p w14:paraId="03141058"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47BBE402" w14:textId="02641065">
      <w:pPr>
        <w:pStyle w:val="P68B1DB1-Normal15"/>
        <w:widowControl w:val="0"/>
        <w:tabs>
          <w:tab w:val="left" w:pos="437"/>
        </w:tabs>
        <w:autoSpaceDE w:val="0"/>
        <w:autoSpaceDN w:val="0"/>
        <w:spacing w:after="0" w:line="240" w:lineRule="auto"/>
        <w:ind w:left="567"/>
        <w:jc w:val="both"/>
      </w:pPr>
      <w:r>
        <w:t xml:space="preserve">«52. Πρώτον, από την απόφαση περί παραπομπής προκύπτει ότι, σε αντίθεση με την επίμαχη στην υπόθεση επί της οποίας εκδόθηκε η απόφαση της 20 Δεκεμβρίου 2017, Asociación Profesional Elite Taxi (C-434/15,) υπηρεσία διαμεσολάβησης, η οποία παρείχε και παρείχε προσβάσιμες υπηρεσίες αστικών μεταφορών τις οποίες εκτελούσαν μη επαγγελματίες οδηγοί οι οποίοι προηγουμένως απουσίαζαν από την αγορά, η επίμαχη στην κύρια δίκη υπηρεσία περιορίζεται, όπως επισήμανε ο γενικός εισαγγελέας στο σημείο 49 των προτάσεών του, στην επαφή των προσώπων που επιθυμούν να πραγματοποιήσουν αστικές διαδρομές αποκλειστικά με τους εξουσιοδοτημένους οδηγούς ταξί που ασκούν ήδη τη δραστηριότητα αυτή και για τους οποίους η υπηρεσία διαμεσολάβησης αποτελεί απλώς έναν από τους διάφορους τρόπους απόκτησης πελατών, και όχι έναν, εξάλλου, τον οποίο είναι καθ’ οιονδήποτε τρόπο υποχρεωμένοι να χρησιμοποιούν.</w:t>
      </w:r>
    </w:p>
    <w:p w14:paraId="0E270EA6" w14:textId="77777777">
      <w:pPr>
        <w:pStyle w:val="P68B1DB1-Normal15"/>
        <w:widowControl w:val="0"/>
        <w:tabs>
          <w:tab w:val="left" w:pos="437"/>
        </w:tabs>
        <w:autoSpaceDE w:val="0"/>
        <w:autoSpaceDN w:val="0"/>
        <w:spacing w:after="0" w:line="240" w:lineRule="auto"/>
        <w:ind w:left="567"/>
        <w:jc w:val="both"/>
      </w:pPr>
    </w:p>
    <w:p w14:paraId="0B69BBB1" w14:textId="47B62163">
      <w:pPr>
        <w:pStyle w:val="P68B1DB1-Normal15"/>
        <w:widowControl w:val="0"/>
        <w:tabs>
          <w:tab w:val="left" w:pos="437"/>
        </w:tabs>
        <w:autoSpaceDE w:val="0"/>
        <w:autoSpaceDN w:val="0"/>
        <w:spacing w:after="0" w:line="240" w:lineRule="auto"/>
        <w:ind w:left="567"/>
        <w:jc w:val="both"/>
      </w:pPr>
      <w:r>
        <w:t xml:space="preserve">53. Δεύτερον, μια τέτοια υπηρεσία διαμεσολάβησης δεν μπορεί να θεωρηθεί ότι οργανώνει τη γενική λειτουργία της επακόλουθης υπηρεσίας μετακίνησης εντός πόλης, εφόσον ο πάροχος δεν επιλέγει τους οδηγούς ταξί ούτε καθορίζει ή εισπράττει το κόμιστρο ούτε ασκεί έλεγχο ως προς την ποιότητα των οχημάτων και των οδηγών τους ή ως προς τη συμπεριφορά των τελευταίων.</w:t>
      </w:r>
    </w:p>
    <w:p w14:paraId="7252306B" w14:textId="77777777">
      <w:pPr>
        <w:pStyle w:val="P68B1DB1-Normal15"/>
        <w:widowControl w:val="0"/>
        <w:tabs>
          <w:tab w:val="left" w:pos="437"/>
        </w:tabs>
        <w:autoSpaceDE w:val="0"/>
        <w:autoSpaceDN w:val="0"/>
        <w:spacing w:after="0" w:line="240" w:lineRule="auto"/>
        <w:ind w:left="567"/>
        <w:jc w:val="both"/>
      </w:pPr>
    </w:p>
    <w:p w14:paraId="40C8D3C8" w14:textId="75B913AD">
      <w:pPr>
        <w:pStyle w:val="P68B1DB1-Normal15"/>
        <w:widowControl w:val="0"/>
        <w:tabs>
          <w:tab w:val="left" w:pos="437"/>
        </w:tabs>
        <w:autoSpaceDE w:val="0"/>
        <w:autoSpaceDN w:val="0"/>
        <w:spacing w:after="0" w:line="240" w:lineRule="auto"/>
        <w:ind w:left="567"/>
        <w:jc w:val="both"/>
        <w:rPr>
          <w:iCs/>
        </w:rPr>
      </w:pPr>
      <w:r>
        <w:t xml:space="preserve">54. Επομένως, μια υπηρεσία διαμεσολάβησης όπως αυτή που παρέχει η Star Taxi App δεν μπορεί να θεωρηθεί αναπόσπαστο μέρος μιας συνολικής υπηρεσίας της οποίας το κύριο στοιχείο είναι μια υπηρεσία μεταφοράς και, ως εκ τούτου, πρέπει να χαρακτηριστεί ως «υπηρεσία της κοινωνίας της πληροφορίας» κατά την έννοια του άρθρου 2 στοιχείο α) ́, της οδηγίας 2000/31.»</w:t>
      </w:r>
    </w:p>
    <w:p w14:paraId="737174FF" w14:textId="77777777">
      <w:pPr>
        <w:widowControl w:val="0"/>
        <w:tabs>
          <w:tab w:val="left" w:pos="437"/>
        </w:tabs>
        <w:autoSpaceDE w:val="0"/>
        <w:autoSpaceDN w:val="0"/>
        <w:spacing w:after="0" w:line="240" w:lineRule="auto"/>
        <w:ind w:left="567" w:hanging="142"/>
        <w:jc w:val="both"/>
        <w:rPr>
          <w:rFonts w:ascii="Times New Roman" w:hAnsi="Times New Roman" w:cs="Times New Roman" w:eastAsia="Times New Roman"/>
          <w:i/>
          <w:iCs/>
          <w:sz w:val="20"/>
          <w:szCs w:val="16"/>
        </w:rPr>
      </w:pPr>
    </w:p>
    <w:p w14:paraId="2D6C8DFE" w14:textId="7A0EB2A0">
      <w:pPr>
        <w:pStyle w:val="P68B1DB1-Normal15"/>
        <w:widowControl w:val="0"/>
        <w:tabs>
          <w:tab w:val="left" w:pos="437"/>
        </w:tabs>
        <w:autoSpaceDE w:val="0"/>
        <w:autoSpaceDN w:val="0"/>
        <w:spacing w:after="0" w:line="240" w:lineRule="auto"/>
        <w:ind w:left="567"/>
        <w:jc w:val="both"/>
      </w:pPr>
      <w:r>
        <w:t xml:space="preserve">«64. Εν προκειμένω, από την απόφαση περί παραπομπής προκύπτει ότι η επίμαχη στην κύρια δίκη ρουμανική ρύθμιση, είτε πρόκειται για τον νόμο 38/2003 είτε για την απόφαση 178/2008, ουδόλως μνημονεύει τις υπηρεσίες της κοινωνίας της πληροφορίας. Επιπλέον, το άρθρο 3, το άρθρο 21 παράγραφος 1, και (31), καθώς και το άρθρο 41 παράγραφος 21, του παραρτήματος I της αποφάσεως 178/2008 αφορούν αδιακρίτως όλα τα είδη υπηρεσιών αποστολής, είτε τηλεφωνικώς είτε με οποιοδήποτε άλλο μέσο, όπως μια εφαρμογή λογισμικού.</w:t>
      </w:r>
    </w:p>
    <w:p w14:paraId="38902729" w14:textId="77777777">
      <w:pPr>
        <w:pStyle w:val="P68B1DB1-Normal15"/>
        <w:widowControl w:val="0"/>
        <w:tabs>
          <w:tab w:val="left" w:pos="437"/>
        </w:tabs>
        <w:autoSpaceDE w:val="0"/>
        <w:autoSpaceDN w:val="0"/>
        <w:spacing w:after="0" w:line="240" w:lineRule="auto"/>
        <w:ind w:left="567"/>
        <w:jc w:val="both"/>
      </w:pPr>
    </w:p>
    <w:p w14:paraId="0D3B1A3A" w14:textId="72AECFA4">
      <w:pPr>
        <w:pStyle w:val="P68B1DB1-Normal15"/>
        <w:widowControl w:val="0"/>
        <w:tabs>
          <w:tab w:val="left" w:pos="437"/>
        </w:tabs>
        <w:autoSpaceDE w:val="0"/>
        <w:autoSpaceDN w:val="0"/>
        <w:spacing w:after="0" w:line="240" w:lineRule="auto"/>
        <w:ind w:left="567"/>
        <w:jc w:val="both"/>
      </w:pPr>
      <w:r>
        <w:t xml:space="preserve">65. Επιπλέον, όπως επισήμανε ο γενικός εισαγγελέας στο σημείο 108 των προτάσεών του, ο νόμος 38/2003 επιβάλλει στους παρόχους υπηρεσιών διαχειρίσεως ταξί, οι οποίοι ασκούν τη δραστηριότητά τους μέσω εφαρμογής για έξυπνα τηλέφωνα, όπως και σε όλους τους άλλους επιχειρηματίες που παρέχουν υπηρεσία διαχειρίσεως ταξί, την υποχρέωση να κατέχουν εξοπλισμό — εν προκειμένω τους ραδιοπομποδέκτες- που στερείται κάθε χρησιμότητας λόγω των τεχνικών λεπτομερειών της παροχής της υπηρεσίας αυτής.</w:t>
      </w:r>
    </w:p>
    <w:p w14:paraId="2F69DDBE" w14:textId="77777777">
      <w:pPr>
        <w:pStyle w:val="P68B1DB1-Normal15"/>
        <w:widowControl w:val="0"/>
        <w:tabs>
          <w:tab w:val="left" w:pos="437"/>
        </w:tabs>
        <w:autoSpaceDE w:val="0"/>
        <w:autoSpaceDN w:val="0"/>
        <w:spacing w:after="0" w:line="240" w:lineRule="auto"/>
        <w:ind w:left="567"/>
        <w:jc w:val="both"/>
      </w:pPr>
    </w:p>
    <w:p w14:paraId="7495A598" w14:textId="143B7510">
      <w:pPr>
        <w:pStyle w:val="P68B1DB1-Normal15"/>
        <w:widowControl w:val="0"/>
        <w:tabs>
          <w:tab w:val="left" w:pos="437"/>
        </w:tabs>
        <w:autoSpaceDE w:val="0"/>
        <w:autoSpaceDN w:val="0"/>
        <w:spacing w:after="0" w:line="240" w:lineRule="auto"/>
        <w:ind w:left="567"/>
        <w:jc w:val="both"/>
        <w:rPr>
          <w:iCs/>
        </w:rPr>
      </w:pPr>
      <w:r>
        <w:t xml:space="preserve">66. Επομένως, εφόσον δεν αφορά συγκεκριμένα τις υπηρεσίες της κοινωνίας της πληροφορίας, ρύθμιση όπως η επίμαχη στην κύρια δίκη αφορά τις υπηρεσίες αυτές μόνον κατά συνεκδοχή ή κατά σύμπτωση. Επομένως, ένας τέτοιος κανόνας δεν μπορεί να θεωρηθεί ως «κανόνας σχετικά με τις υπηρεσίες», κατά την έννοια του άρθρου 1 παράγραφος στοιχείο ε) ́, της οδηγίας 2015/1535, ούτε, κατά συνέπεια, ως «τεχνικός κανόνας» κατά την έννοια του άρθρου 1 παράγραφος στοιχείο στ) ́, της οδηγίας αυτής.»</w:t>
      </w:r>
    </w:p>
    <w:p w14:paraId="74769673" w14:textId="77777777">
      <w:pPr>
        <w:widowControl w:val="0"/>
        <w:tabs>
          <w:tab w:val="left" w:pos="437"/>
        </w:tabs>
        <w:autoSpaceDE w:val="0"/>
        <w:autoSpaceDN w:val="0"/>
        <w:spacing w:after="0" w:line="240" w:lineRule="auto"/>
        <w:jc w:val="both"/>
        <w:rPr>
          <w:rFonts w:ascii="Times New Roman" w:hAnsi="Times New Roman" w:cs="Times New Roman" w:eastAsia="Times New Roman"/>
          <w:i/>
          <w:iCs/>
          <w:sz w:val="20"/>
          <w:szCs w:val="16"/>
        </w:rPr>
      </w:pPr>
    </w:p>
    <w:p w14:paraId="4ECE591C" w14:textId="291CA601">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57" w:history="1">
        <w:r>
          <w:rPr>
            <w:rStyle w:val="Hyperlink"/>
            <w:rFonts w:ascii="Times New Roman" w:hAnsi="Times New Roman" w:cs="Times New Roman" w:eastAsia="Times New Roman"/>
            <w:b/>
            <w:i/>
            <w:color w:val="0000FF"/>
            <w:szCs w:val="20"/>
          </w:rPr>
          <w:t xml:space="preserve">Απόφαση της 29 Φεβρουαρίου 2024</w:t>
        </w:r>
      </w:hyperlink>
      <w:r>
        <w:rPr>
          <w:rFonts w:ascii="Times New Roman" w:hAnsi="Times New Roman" w:cs="Times New Roman" w:eastAsia="Times New Roman"/>
          <w:b/>
          <w:i/>
          <w:szCs w:val="20"/>
        </w:rPr>
        <w:t xml:space="preserve"> στην υπόθεση C-606/21, Doctipharma SAS, σκέψεις 26 έως 30 και 34 έως 36.</w:t>
      </w:r>
      <w:bookmarkEnd w:id="88"/>
    </w:p>
    <w:p w14:paraId="5D3D60EF"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3D0A5D9F" w14:textId="5B25CF88">
      <w:pPr>
        <w:pStyle w:val="P68B1DB1-BodyText22"/>
      </w:pPr>
      <w:r>
        <w:t xml:space="preserve">Η αμοιβή για υπηρεσία που παρέχεται από φορέα παροχής υπηρεσιών στο πλαίσιο οικονομικής δραστηριότητας δεν πρέπει απαραιτήτως να καταβάλλεται από τα πρόσωπα που είναι δικαιούχοι. Αυτό ισχύει για υπηρεσία που παρέχεται μέσω ιστοτόπου, η οποία συνίσταται στη σύνδεση φαρμακοποιών και πελατών για την πώληση φαρμάκων, όταν η υπηρεσία αμείβεται από τους φαρμακοποιούς που έχουν εγγραφεί στην πλατφόρμα της βάσει πάγιας αμοιβής.</w:t>
      </w:r>
    </w:p>
    <w:p w14:paraId="60E238C1" w14:textId="77777777">
      <w:pPr>
        <w:pStyle w:val="P68B1DB1-BodyText22"/>
      </w:pPr>
    </w:p>
    <w:p w14:paraId="16BCA1E5" w14:textId="5221BD03">
      <w:pPr>
        <w:pStyle w:val="P68B1DB1-BodyText22"/>
      </w:pPr>
      <w:r>
        <w:t xml:space="preserve">Μια τέτοια υπηρεσία δεν αποτελεί μέρος μιας συνολικής υπηρεσίας της οποίας το κύριο στοιχείο υπόκειται σε διαφορετικό νομικό χαρακτηρισμό από ό,τι η «υπηρεσία της κοινωνίας της πληροφορίας».</w:t>
      </w:r>
    </w:p>
    <w:p w14:paraId="5D9B8556" w14:textId="77777777">
      <w:pPr>
        <w:pStyle w:val="BodyText"/>
      </w:pPr>
      <w:r>
        <w:t xml:space="preserve"> </w:t>
      </w:r>
    </w:p>
    <w:p w14:paraId="06EE7590" w14:textId="40E0F47A">
      <w:pPr>
        <w:pStyle w:val="P68B1DB1-Normal20"/>
        <w:widowControl w:val="0"/>
        <w:autoSpaceDE w:val="0"/>
        <w:autoSpaceDN w:val="0"/>
        <w:spacing w:after="0" w:line="240" w:lineRule="auto"/>
        <w:ind w:left="567"/>
        <w:jc w:val="both"/>
        <w:outlineLvl w:val="1"/>
        <w:rPr>
          <w:iCs/>
        </w:rPr>
      </w:pPr>
      <w:bookmarkStart w:id="89" w:name="_Toc198043843"/>
      <w:r>
        <w:t xml:space="preserve">«26. [...] Το άρθρο 1 παράγραφος 2, της οδηγίας 98/34 και το άρθρο 1 παράγραφος στοιχείο β) ́, της οδηγίας 2015/1535 ορίζουν την έννοια της «υπηρεσίας της κοινωνίας της πληροφορίας» ως «κάθε υπηρεσία που συνήθως παρέχεται έναντι αμοιβής, με ηλεκτρονικά μέσα εξ αποστάσεως και κατόπιν προσωπικής επιλογής ενός αποδέκτη υπηρεσιών».</w:t>
      </w:r>
      <w:bookmarkEnd w:id="89"/>
    </w:p>
    <w:p w14:paraId="0520C499" w14:textId="77777777">
      <w:pPr>
        <w:pStyle w:val="P68B1DB1-Normal20"/>
        <w:widowControl w:val="0"/>
        <w:autoSpaceDE w:val="0"/>
        <w:autoSpaceDN w:val="0"/>
        <w:spacing w:after="0" w:line="240" w:lineRule="auto"/>
        <w:ind w:left="567"/>
        <w:jc w:val="both"/>
        <w:outlineLvl w:val="1"/>
        <w:rPr>
          <w:iCs/>
        </w:rPr>
      </w:pPr>
    </w:p>
    <w:p w14:paraId="5522C64C" w14:textId="2B939575">
      <w:pPr>
        <w:pStyle w:val="P68B1DB1-Normal20"/>
        <w:widowControl w:val="0"/>
        <w:autoSpaceDE w:val="0"/>
        <w:autoSpaceDN w:val="0"/>
        <w:spacing w:after="0" w:line="240" w:lineRule="auto"/>
        <w:ind w:left="567"/>
        <w:jc w:val="both"/>
        <w:outlineLvl w:val="1"/>
        <w:rPr>
          <w:iCs/>
        </w:rPr>
      </w:pPr>
      <w:bookmarkStart w:id="90" w:name="_Toc198043844"/>
      <w:r>
        <w:t xml:space="preserve">27. Εν προκειμένω, όσον αφορά την πρώτη προϋπόθεση που θέτουν οι διατάξεις αυτές, υπενθυμίζεται ότι, κατά πάγια νομολογία, η αμοιβή για υπηρεσία που παρέχεται από παρέχοντα υπηρεσίες στο πλαίσιο οικονομικής δραστηριότητας δεν πρέπει κατ’ ανάγκην να καταβάλλεται από τους δικαιούχους (πρβλ. αποφάσεις της 15 Σεπτεμβρίου 2016, Mc Fadden, C-484/14, σκέψη 41, και της 4 Μαΐου 2017, Vanderborght, C-339/15, σκέψη 36).</w:t>
      </w:r>
      <w:bookmarkEnd w:id="90"/>
    </w:p>
    <w:p w14:paraId="321E2B99" w14:textId="77777777">
      <w:pPr>
        <w:pStyle w:val="P68B1DB1-Normal20"/>
        <w:widowControl w:val="0"/>
        <w:autoSpaceDE w:val="0"/>
        <w:autoSpaceDN w:val="0"/>
        <w:spacing w:after="0" w:line="240" w:lineRule="auto"/>
        <w:ind w:left="567"/>
        <w:jc w:val="both"/>
        <w:outlineLvl w:val="1"/>
        <w:rPr>
          <w:iCs/>
        </w:rPr>
      </w:pPr>
    </w:p>
    <w:p w14:paraId="4A7B6C31" w14:textId="12F86ADD">
      <w:pPr>
        <w:pStyle w:val="P68B1DB1-Normal20"/>
        <w:widowControl w:val="0"/>
        <w:autoSpaceDE w:val="0"/>
        <w:autoSpaceDN w:val="0"/>
        <w:spacing w:after="0" w:line="240" w:lineRule="auto"/>
        <w:ind w:left="567"/>
        <w:jc w:val="both"/>
        <w:outlineLvl w:val="1"/>
        <w:rPr>
          <w:iCs/>
        </w:rPr>
      </w:pPr>
      <w:bookmarkStart w:id="91" w:name="_Toc198043845"/>
      <w:r>
        <w:t xml:space="preserve">28. Επομένως, για τον χαρακτηρισμό υπηρεσίας όπως η επίμαχη στην κύρια δίκη ως εμπίπτουσας στην έννοια της «υπηρεσίας της κοινωνίας της πληροφορίας», κατά το άρθρο 1 παράγραφος 2, της οδηγίας 98/34 και το άρθρο 1 παράγραφος στοιχείο β) ́, της οδηγίας 2015/1535, δεν ασκεί επιρροή το αν η υπηρεσία αυτή παρέχεται δωρεάν στο πρόσωπο που αγοράζει το μη συνταγογραφούμενο φάρμακο, εφόσον οδηγεί στη σύναψη, μεταξύ του παρόχου της υπηρεσίας αυτής και κάθε φαρμακοποιού που χρησιμοποιεί την υπηρεσία αυτή, συμβάσεως παροχής υπηρεσιών εξ επαχθούς αιτίας.</w:t>
      </w:r>
      <w:bookmarkEnd w:id="91"/>
    </w:p>
    <w:p w14:paraId="7BF264F2" w14:textId="77777777">
      <w:pPr>
        <w:pStyle w:val="P68B1DB1-Normal20"/>
        <w:widowControl w:val="0"/>
        <w:autoSpaceDE w:val="0"/>
        <w:autoSpaceDN w:val="0"/>
        <w:spacing w:after="0" w:line="240" w:lineRule="auto"/>
        <w:ind w:left="567"/>
        <w:jc w:val="both"/>
        <w:outlineLvl w:val="1"/>
        <w:rPr>
          <w:iCs/>
        </w:rPr>
      </w:pPr>
    </w:p>
    <w:p w14:paraId="1D178D41" w14:textId="602A287A">
      <w:pPr>
        <w:pStyle w:val="P68B1DB1-Normal20"/>
        <w:widowControl w:val="0"/>
        <w:autoSpaceDE w:val="0"/>
        <w:autoSpaceDN w:val="0"/>
        <w:spacing w:after="0" w:line="240" w:lineRule="auto"/>
        <w:ind w:left="567"/>
        <w:jc w:val="both"/>
        <w:outlineLvl w:val="1"/>
        <w:rPr>
          <w:iCs/>
        </w:rPr>
      </w:pPr>
      <w:bookmarkStart w:id="92" w:name="_Toc198043846"/>
      <w:r>
        <w:t xml:space="preserve">29. Ομοίως, δεν ασκεί συναφώς επιρροή το ότι η Doctipharma, όπως επισήμανε η ίδια, λάμβανε κατ’ αποκοπήν αμοιβή, δυνάμει των γενικών όρων πώλησης, από τους εγγεγραμμένους στην πλατφόρμα της φαρμακοποιούς ούτε το ότι, όπως επισήμανε η Γαλλική Κυβέρνηση, η Doctipharma εισέπραττε, για την υπηρεσία που παρείχε, μηνιαία συνδρομή από τους φαρμακοποιούς πελάτες και ποσοστό επί των πωλήσεων το οποίο παρακρατούσε υπέρ αυτής η πλατφόρμα.</w:t>
      </w:r>
      <w:bookmarkEnd w:id="92"/>
    </w:p>
    <w:p w14:paraId="2B92BB79" w14:textId="77777777">
      <w:pPr>
        <w:pStyle w:val="P68B1DB1-Normal20"/>
        <w:widowControl w:val="0"/>
        <w:autoSpaceDE w:val="0"/>
        <w:autoSpaceDN w:val="0"/>
        <w:spacing w:after="0" w:line="240" w:lineRule="auto"/>
        <w:ind w:left="567"/>
        <w:jc w:val="both"/>
        <w:outlineLvl w:val="1"/>
        <w:rPr>
          <w:iCs/>
        </w:rPr>
      </w:pPr>
    </w:p>
    <w:p w14:paraId="7E01A0AB" w14:textId="05C25972">
      <w:pPr>
        <w:pStyle w:val="P68B1DB1-Normal20"/>
        <w:widowControl w:val="0"/>
        <w:autoSpaceDE w:val="0"/>
        <w:autoSpaceDN w:val="0"/>
        <w:spacing w:after="0" w:line="240" w:lineRule="auto"/>
        <w:ind w:left="567"/>
        <w:jc w:val="both"/>
        <w:outlineLvl w:val="1"/>
        <w:rPr>
          <w:iCs/>
        </w:rPr>
      </w:pPr>
      <w:bookmarkStart w:id="93" w:name="_Toc198043847"/>
      <w:r>
        <w:t xml:space="preserve">30. Επομένως, υπό την επιφύλαξη των εξακριβώσεων στις οποίες πρέπει να προβεί το αιτούν δικαστήριο, η επίμαχη στην κύρια δίκη υπηρεσία πρέπει, εν πάση περιπτώσει, να θεωρηθεί ότι παρασχέθηκε έναντι αμοιβής.»</w:t>
      </w:r>
      <w:bookmarkEnd w:id="93"/>
    </w:p>
    <w:p w14:paraId="1F7DABA5" w14:textId="77777777">
      <w:pPr>
        <w:widowControl w:val="0"/>
        <w:autoSpaceDE w:val="0"/>
        <w:autoSpaceDN w:val="0"/>
        <w:spacing w:after="0" w:line="240" w:lineRule="auto"/>
        <w:ind w:left="567"/>
        <w:jc w:val="both"/>
        <w:outlineLvl w:val="1"/>
        <w:rPr>
          <w:rFonts w:ascii="Times New Roman" w:hAnsi="Times New Roman" w:cs="Times New Roman"/>
          <w:i/>
          <w:iCs/>
          <w:sz w:val="20"/>
          <w:szCs w:val="20"/>
        </w:rPr>
      </w:pPr>
    </w:p>
    <w:p w14:paraId="01B24EB0" w14:textId="2D56DEB8">
      <w:pPr>
        <w:pStyle w:val="P68B1DB1-Normal20"/>
        <w:widowControl w:val="0"/>
        <w:autoSpaceDE w:val="0"/>
        <w:autoSpaceDN w:val="0"/>
        <w:spacing w:after="0" w:line="240" w:lineRule="auto"/>
        <w:ind w:left="567"/>
        <w:jc w:val="both"/>
        <w:outlineLvl w:val="1"/>
      </w:pPr>
      <w:bookmarkStart w:id="94" w:name="_Toc198043848"/>
      <w:r>
        <w:t xml:space="preserve">«34. Το συμπέρασμα αυτό δεν αναιρείται από τη νομολογία που έχει διαμορφώσει το Δικαστήριο με τις αποφάσεις της 20 Δεκεμβρίου 2017, Asociación Profesional Elite Taxi (C-434/15), της 19 Δεκεμβρίου 2019, Airbnb Ireland (C-390/18), και της 3 Δεκεμβρίου 2020, Star Taxi App (C-62/19).</w:t>
      </w:r>
      <w:bookmarkEnd w:id="94"/>
    </w:p>
    <w:p w14:paraId="30816B83" w14:textId="77777777">
      <w:pPr>
        <w:pStyle w:val="P68B1DB1-Normal20"/>
        <w:widowControl w:val="0"/>
        <w:autoSpaceDE w:val="0"/>
        <w:autoSpaceDN w:val="0"/>
        <w:spacing w:after="0" w:line="240" w:lineRule="auto"/>
        <w:ind w:left="567"/>
        <w:jc w:val="both"/>
        <w:outlineLvl w:val="1"/>
      </w:pPr>
    </w:p>
    <w:p w14:paraId="7006558F" w14:textId="15BDEB5C">
      <w:pPr>
        <w:pStyle w:val="P68B1DB1-Normal20"/>
        <w:widowControl w:val="0"/>
        <w:autoSpaceDE w:val="0"/>
        <w:autoSpaceDN w:val="0"/>
        <w:spacing w:after="0" w:line="240" w:lineRule="auto"/>
        <w:ind w:left="567"/>
        <w:jc w:val="both"/>
        <w:outlineLvl w:val="1"/>
      </w:pPr>
      <w:bookmarkStart w:id="95" w:name="_Toc198043849"/>
      <w:r>
        <w:t xml:space="preserve">35. Από τη νομολογία αυτή προκύπτει ότι υπηρεσία η οποία έχει ως σκοπό τη σύνδεση πελατών με παρόχους άλλης υπηρεσίας διαφορετικής φύσεως και η οποία πληροί όλες τις προϋποθέσεις του άρθρου 1 παράγραφος 2, της οδηγίας 98/34 και του άρθρου 1 παράγραφος στοιχείο β) ́, της οδηγίας 2015/1535 πρέπει να χαρακτηρίζεται ως «υπηρεσία της κοινωνίας της πληροφορίας» όταν η υπηρεσία αυτή διακρίνεται από την υπηρεσία διαφορετικής φύσεως που παρέχουν οι εν λόγω πάροχοι. Εντούτοις, η κατάσταση πρέπει να είναι διαφορετική όταν προκύπτει ότι η υπηρεσία αυτή, η οποία συνδέει τους πωλητές με τους πελάτες, αποτελεί αναπόσπαστο μέρος μιας συνολικής υπηρεσίας, το κύριο στοιχείο της οποίας υπόκειται σε νομικό χαρακτηρισμό διαφορετικό από εκείνον της «υπηρεσίας της κοινωνίας της πληροφορίας» (απόφαση της 3 Δεκεμβρίου 2020, Star Taxi App, C-62/19, σκέψη 49 και εκεί μνημονευόμενη νομολογία).</w:t>
      </w:r>
      <w:bookmarkEnd w:id="95"/>
    </w:p>
    <w:p w14:paraId="3E0D3F0B" w14:textId="77777777">
      <w:pPr>
        <w:pStyle w:val="P68B1DB1-Normal20"/>
        <w:widowControl w:val="0"/>
        <w:autoSpaceDE w:val="0"/>
        <w:autoSpaceDN w:val="0"/>
        <w:spacing w:after="0" w:line="240" w:lineRule="auto"/>
        <w:ind w:left="567"/>
        <w:jc w:val="both"/>
        <w:outlineLvl w:val="1"/>
      </w:pPr>
    </w:p>
    <w:p w14:paraId="236402DB" w14:textId="039485E5">
      <w:pPr>
        <w:pStyle w:val="P68B1DB1-Normal20"/>
        <w:widowControl w:val="0"/>
        <w:autoSpaceDE w:val="0"/>
        <w:autoSpaceDN w:val="0"/>
        <w:spacing w:after="0" w:line="240" w:lineRule="auto"/>
        <w:ind w:left="567"/>
        <w:jc w:val="both"/>
        <w:outlineLvl w:val="1"/>
      </w:pPr>
      <w:bookmarkStart w:id="96" w:name="_Toc198043850"/>
      <w:r>
        <w:t xml:space="preserve">36. Όπως επισήμανε ο γενικός εισαγγελέας στα σημεία 28 και 29 των προτάσεών του, μια υπηρεσία συνδέσεως μεταξύ φαρμακοποιών και πελατών με σκοπό την πώληση μη συνταγογραφούμενων φαρμάκων από τους δικτυακούς τόπους των φαρμακείων που έχουν εγγραφεί στην υπηρεσία αυτή δεν μπορεί να αποτελέσει αναπόσπαστο μέρος μιας συνολικής υπηρεσίας, το κύριο στοιχείο της οποίας δεν μπορεί να χαρακτηριστεί ως «υπηρεσία της κοινωνίας της πληροφορίας».</w:t>
      </w:r>
      <w:bookmarkEnd w:id="96"/>
    </w:p>
    <w:p w14:paraId="066794C6" w14:textId="77777777">
      <w:pPr>
        <w:pStyle w:val="P68B1DB1-Normal20"/>
        <w:widowControl w:val="0"/>
        <w:autoSpaceDE w:val="0"/>
        <w:autoSpaceDN w:val="0"/>
        <w:spacing w:after="0" w:line="240" w:lineRule="auto"/>
        <w:jc w:val="both"/>
        <w:outlineLvl w:val="1"/>
      </w:pPr>
    </w:p>
    <w:p w14:paraId="3456AF7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58" w:history="1">
        <w:r>
          <w:rPr>
            <w:rStyle w:val="Hyperlink"/>
            <w:rFonts w:ascii="Times New Roman" w:hAnsi="Times New Roman" w:cs="Times New Roman" w:eastAsia="Times New Roman"/>
            <w:b/>
            <w:i/>
            <w:color w:val="0000FF"/>
            <w:szCs w:val="20"/>
          </w:rPr>
          <w:t xml:space="preserve">Απόφαση της 13 Μαρτίου 2025</w:t>
        </w:r>
      </w:hyperlink>
      <w:r>
        <w:rPr>
          <w:rFonts w:ascii="Times New Roman" w:hAnsi="Times New Roman" w:cs="Times New Roman" w:eastAsia="Times New Roman"/>
          <w:b/>
          <w:i/>
          <w:szCs w:val="20"/>
        </w:rPr>
        <w:t xml:space="preserve">, Unigames UAB, C</w:t>
        <w:noBreakHyphen/>
        <w:t xml:space="preserve">120/24, Ă, σκέψεις 38 έως 42.</w:t>
      </w:r>
      <w:bookmarkEnd w:id="97"/>
    </w:p>
    <w:p w14:paraId="7C957596" w14:textId="77777777">
      <w:pPr>
        <w:widowControl w:val="0"/>
        <w:tabs>
          <w:tab w:val="left" w:pos="437"/>
        </w:tabs>
        <w:autoSpaceDE w:val="0"/>
        <w:autoSpaceDN w:val="0"/>
        <w:spacing w:after="0" w:line="240" w:lineRule="auto"/>
        <w:jc w:val="both"/>
        <w:rPr>
          <w:rFonts w:ascii="Times New Roman" w:hAnsi="Times New Roman" w:cs="Times New Roman" w:eastAsia="Times New Roman"/>
          <w:b/>
          <w:i/>
          <w:szCs w:val="20"/>
        </w:rPr>
      </w:pPr>
    </w:p>
    <w:p w14:paraId="0CCCFF25"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Η απαγόρευση της διαφήμισης τυχηρών παιγνίων σε ιστοτόπους τυχερών παιχνιδιών δεν αφορά διαφημιστική υπηρεσία ανεξάρτητη από την υπηρεσία τυχερών παιχνιδιών, αλλά υπηρεσία άρρηκτα συνδεδεμένη με την υπηρεσία τυχερών παιχνιδιών σε απευθείας σύνδεση. Κατά συνέπεια, προκειμένου να κριθεί αν πρόκειται για «κανόνα σχετικά με τις υπηρεσίες», πρέπει πρώτα να εξεταστεί ο χαρακτηρισμός των διαδικτυακών υπηρεσιών τυχερών παιγνίων ως «υπηρεσιών της κοινωνίας της πληροφορίας».</w:t>
      </w:r>
    </w:p>
    <w:p w14:paraId="2F64E777"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4D107C79" w14:textId="74EE0F8E">
      <w:pPr>
        <w:pStyle w:val="P68B1DB1-Normal15"/>
        <w:widowControl w:val="0"/>
        <w:tabs>
          <w:tab w:val="left" w:pos="437"/>
        </w:tabs>
        <w:autoSpaceDE w:val="0"/>
        <w:autoSpaceDN w:val="0"/>
        <w:spacing w:after="0" w:line="240" w:lineRule="auto"/>
        <w:ind w:left="567"/>
        <w:jc w:val="both"/>
        <w:rPr>
          <w:iCs/>
        </w:rPr>
      </w:pPr>
      <w:r>
        <w:t xml:space="preserve">«38. Οι εκτιμήσεις που εκτίθενται στις σκέψεις 36 και 37 της παρούσας απόφασης</w:t>
      </w:r>
      <w:r>
        <w:rPr>
          <w:i w:val="0"/>
        </w:rPr>
        <w:t xml:space="preserve"> [κατά τις οποίες οι υπηρεσίες τυχερών παιχνιδιών σε απευθείας σύνδεση πρέπει να θεωρούνται ως “υπηρεσίες της κοινωνίας της πληροφορίας”] </w:t>
      </w:r>
      <w:r>
        <w:t xml:space="preserve">δεν αναιρούνται από το γεγονός ότι οι πληροφορίες σχετικά με τα τυχερά παιχνίδια που δημοσιεύει ο φορέας εκμετάλλευσης τυχερών παιχνιδιών στον ιστότοπό του δεν παρέχονται κατ’ ανάγκην «κατόπιν ατομικού αιτήματος ενός αποδέκτη υπηρεσιών». Η εν λόγω δημοσίευση πληροφοριών δεν μπορεί, υπό περιστάσεις όπως αυτές της υποθέσεως της κύριας δίκης, να θεωρηθεί ως διαφημιστική ή άλλη υπηρεσία παρεχόμενη στους αποδέκτες των εξ αποστάσεως υπηρεσιών τυχερών παιγνίων, αλλά συνιστά δραστηριότητα παρεπόμενη και άρρηκτα συνδεδεμένη με τις οικείες υπηρεσίες εξ αποστάσεως τυχερών παιγνίων, από την οποία αντλεί όλη την οικονομική της σημασία [βλ., κατ’ αναλογία, απόφαση της 1 Οκτωβρίου 2020, A (Διαφήμιση και πώληση φαρμάκων μέσω διαδικτύου), C-649/18, σκέψη 56]. Επομένως, μόνον οι ίδιες οι υπηρεσίες τυχερών παιγνίων πρέπει να πληρούν τις σχετικές προϋποθέσεις προκειμένου να εμπίπτουν στην έννοια της «υπηρεσίας», κατά το άρθρο 1 παράγραφος στοιχείο β) ́, της οδηγίας 2015/1535, και η επίμαχη στην κύρια δίκη απαγόρευση, η οποία αφορά μια τέτοια δημοσίευση πληροφοριών, πρέπει, από την πλευρά της, να πληροί τα ειδικά κριτήρια του άρθρου 1 παράγραφος στοιχείο ε) ́, της οδηγίας αυτής, προκειμένου να θεωρηθεί ως «κανόνας σχετικά με» τις εν λόγω υπηρεσίες, κατά την έννοια της τελευταίας αυτής διατάξεως.</w:t>
      </w:r>
    </w:p>
    <w:p w14:paraId="0C84094C" w14:textId="77777777">
      <w:pPr>
        <w:pStyle w:val="P68B1DB1-Normal15"/>
        <w:widowControl w:val="0"/>
        <w:tabs>
          <w:tab w:val="left" w:pos="437"/>
        </w:tabs>
        <w:autoSpaceDE w:val="0"/>
        <w:autoSpaceDN w:val="0"/>
        <w:spacing w:after="0" w:line="240" w:lineRule="auto"/>
        <w:ind w:left="567"/>
        <w:jc w:val="both"/>
        <w:rPr>
          <w:iCs/>
        </w:rPr>
      </w:pPr>
    </w:p>
    <w:p w14:paraId="40656C32" w14:textId="179B1E83">
      <w:pPr>
        <w:pStyle w:val="P68B1DB1-Normal15"/>
        <w:widowControl w:val="0"/>
        <w:tabs>
          <w:tab w:val="left" w:pos="437"/>
        </w:tabs>
        <w:autoSpaceDE w:val="0"/>
        <w:autoSpaceDN w:val="0"/>
        <w:spacing w:after="0" w:line="240" w:lineRule="auto"/>
        <w:ind w:left="567"/>
        <w:jc w:val="both"/>
        <w:rPr>
          <w:iCs/>
        </w:rPr>
      </w:pPr>
      <w:r>
        <w:t xml:space="preserve">39. Ως προς το τελευταίο αυτό ζήτημα, μολονότι δεν αμφισβητείται ότι η επίμαχη στην κύρια δίκη απαγόρευση συνιστά «απαίτηση γενικού χαρακτήρα» κατά την έννοια του άρθρου 1 παράγραφος στοιχείο ε) ́, της οδηγίας 2015/1535, πρέπει ακόμη να εξεταστεί, πρώτον, αν μπορεί να θεωρηθεί ότι «αφορά την πρόσβαση σε δραστηριότητες παροχής υπηρεσιών και την άσκησή τους», ενώ η διάταξη αυτή διευκρινίζει ότι τούτο ισχύει, μεταξύ άλλων, όσον αφορά τις διατάξεις που αφορούν τον παρέχοντα υπηρεσίες, τις υπηρεσίες και τον αποδέκτη των υπηρεσιών.</w:t>
      </w:r>
    </w:p>
    <w:p w14:paraId="0DF48DDD" w14:textId="77777777">
      <w:pPr>
        <w:pStyle w:val="P68B1DB1-Normal15"/>
        <w:widowControl w:val="0"/>
        <w:tabs>
          <w:tab w:val="left" w:pos="437"/>
        </w:tabs>
        <w:autoSpaceDE w:val="0"/>
        <w:autoSpaceDN w:val="0"/>
        <w:spacing w:after="0" w:line="240" w:lineRule="auto"/>
        <w:ind w:left="567"/>
        <w:jc w:val="both"/>
        <w:rPr>
          <w:iCs/>
        </w:rPr>
      </w:pPr>
    </w:p>
    <w:p w14:paraId="79F306A3" w14:textId="7430EFC3">
      <w:pPr>
        <w:pStyle w:val="P68B1DB1-Normal15"/>
        <w:widowControl w:val="0"/>
        <w:tabs>
          <w:tab w:val="left" w:pos="437"/>
        </w:tabs>
        <w:autoSpaceDE w:val="0"/>
        <w:autoSpaceDN w:val="0"/>
        <w:spacing w:after="0" w:line="240" w:lineRule="auto"/>
        <w:ind w:left="567"/>
        <w:jc w:val="both"/>
        <w:rPr>
          <w:iCs/>
        </w:rPr>
      </w:pPr>
      <w:r>
        <w:t xml:space="preserve">40. Συναφώς, επιβάλλεται η διαπίστωση ότι το άρθρο 10 παράγραφος 19, του νόμου περί τυχερών παιγνίων μπορεί να εμπίπτει στην έννοια του «κανόνα σχετικά με τις υπηρεσίες», καθόσον απαγορεύει, μεταξύ άλλων, την ενθάρρυνση της συμμετοχής σε τυχερά παίγνια εξ αποστάσεως και, ειδικότερα, τη δημοσίευση πληροφοριών σχετικά με τα τυχερά παίγνια στον ιστότοπο φορέα εκμεταλλεύσεως τυχερών παιγνίων ή την πραγματοποίηση πράξεων που ενθαρρύνουν τη συμμετοχή σε τυχερά παίγνια (πρβλ. απόφαση της 22 Οκτωβρίου 2020, Sportingbet και Internet Opportunity Entertainment, C-275/19, σκέψη 48 και εκεί μνημονευόμενη νομολογία).</w:t>
      </w:r>
    </w:p>
    <w:p w14:paraId="7B52939F" w14:textId="77777777">
      <w:pPr>
        <w:pStyle w:val="P68B1DB1-Normal15"/>
        <w:widowControl w:val="0"/>
        <w:tabs>
          <w:tab w:val="left" w:pos="437"/>
        </w:tabs>
        <w:autoSpaceDE w:val="0"/>
        <w:autoSpaceDN w:val="0"/>
        <w:spacing w:after="0" w:line="240" w:lineRule="auto"/>
        <w:ind w:left="567"/>
        <w:jc w:val="both"/>
        <w:rPr>
          <w:iCs/>
        </w:rPr>
      </w:pPr>
    </w:p>
    <w:p w14:paraId="29F63712" w14:textId="4449F712">
      <w:pPr>
        <w:pStyle w:val="P68B1DB1-Normal15"/>
        <w:widowControl w:val="0"/>
        <w:tabs>
          <w:tab w:val="left" w:pos="437"/>
        </w:tabs>
        <w:autoSpaceDE w:val="0"/>
        <w:autoSpaceDN w:val="0"/>
        <w:spacing w:after="0" w:line="240" w:lineRule="auto"/>
        <w:ind w:left="567"/>
        <w:jc w:val="both"/>
        <w:rPr>
          <w:iCs/>
        </w:rPr>
      </w:pPr>
      <w:r>
        <w:t xml:space="preserve">41. Αφετέρου, όπως προκύπτει από το ίδιο το γράμμα του άρθρου 1 παράγραφος στοιχείο ε) ́, της οδηγίας 2015/1535, για να χαρακτηριστεί ως «κανόνας σχετικά με τις υπηρεσίες», η επίμαχη στην κύρια δίκη απαγόρευση πρέπει να αφορά «ειδικά» τις υπηρεσίες της κοινωνίας των πληροφοριών (πρβλ. απόφαση της 12 Σεπτεμβρίου 2019, VG Media, C-299/17, σκέψη 31).</w:t>
      </w:r>
    </w:p>
    <w:p w14:paraId="65AB6E33" w14:textId="77777777">
      <w:pPr>
        <w:pStyle w:val="P68B1DB1-Normal15"/>
        <w:widowControl w:val="0"/>
        <w:tabs>
          <w:tab w:val="left" w:pos="437"/>
        </w:tabs>
        <w:autoSpaceDE w:val="0"/>
        <w:autoSpaceDN w:val="0"/>
        <w:spacing w:after="0" w:line="240" w:lineRule="auto"/>
        <w:ind w:left="567"/>
        <w:jc w:val="both"/>
        <w:rPr>
          <w:iCs/>
        </w:rPr>
      </w:pPr>
    </w:p>
    <w:p w14:paraId="3176C455" w14:textId="3F47F94F">
      <w:pPr>
        <w:pStyle w:val="P68B1DB1-Normal15"/>
        <w:widowControl w:val="0"/>
        <w:tabs>
          <w:tab w:val="left" w:pos="437"/>
        </w:tabs>
        <w:autoSpaceDE w:val="0"/>
        <w:autoSpaceDN w:val="0"/>
        <w:spacing w:after="0" w:line="240" w:lineRule="auto"/>
        <w:ind w:left="567"/>
        <w:jc w:val="both"/>
        <w:rPr>
          <w:iCs/>
        </w:rPr>
      </w:pPr>
      <w:r>
        <w:t xml:space="preserve">42. Συναφώς, από το άρθρο 1 παράγραφος στοιχείο ε) ́, δεύτερο εδάφιο, σημείο i, της οδηγίας 2015/1535 προκύπτει ότι ο έλεγχος ότι ένας κανόνας αφορά ειδικά τις υπηρεσίες της κοινωνίας των πληροφοριών πρέπει να διενεργείται υπό το πρίσμα τόσο του γράμματος του κανόνα αυτού όσο και του σκοπού που επιδιώκει. Επιπλέον, κατά τη διάταξη αυτή, δεν απαιτείται «ο ειδικός σκοπός και το αντικείμενο» του συνόλου των επίμαχων κανόνων να είναι η ρύθμιση των υπηρεσιών της κοινωνίας των πληροφοριών, αλλά αρκεί να επιδιώκει τον σκοπό ή το αντικείμενο αυτό με ορισμένες από τις διατάξεις του (πρβλ. απόφαση της 12 Σεπτεμβρίου 2019, VG Media, C-299/17, σκέψη 32 και εκεί μνημονευόμενη νομολογία). Τέλος, σύμφωνα με το άρθρο 1 παράγραφος στοιχείο ε) ́, δεύτερο εδάφιο, σημείο ii, της οδηγίας αυτής, ένας κανόνας δεν πρέπει να θεωρείται ότι αφορά ειδικά τις υπηρεσίες της κοινωνίας των πληροφοριών όταν αφορά τις υπηρεσίες αυτές μόνον κατά τρόπο έμμεσο ή περιστασιακό.»</w:t>
      </w:r>
    </w:p>
    <w:p w14:paraId="755B8A78" w14:textId="53DC1D1F">
      <w:pPr>
        <w:spacing w:after="0" w:line="278" w:lineRule="auto"/>
      </w:pPr>
      <w:r>
        <w:br w:type="page"/>
      </w:r>
    </w:p>
    <w:p w14:paraId="66BD9244" w14:textId="7BFF7921">
      <w:pPr>
        <w:pStyle w:val="P68B1DB1-Heading24"/>
        <w:numPr>
          <w:ilvl w:val="0"/>
          <w:numId w:val="35"/>
        </w:numPr>
        <w:spacing w:before="0" w:after="0"/>
        <w:jc w:val="center"/>
        <w:rPr>
          <w:bCs/>
          <w:color w:val="auto"/>
        </w:rPr>
      </w:pPr>
      <w:bookmarkStart w:id="98" w:name="_Ref194484584"/>
      <w:bookmarkStart w:id="99" w:name="_Toc203035670"/>
      <w:r>
        <w:t xml:space="preserve">ΑΠΑΓΟΡΕΥΤΙΚΕΣ ΔΙΑΤΑΞΕΙΣ</w:t>
      </w:r>
      <w:bookmarkEnd w:id="98"/>
      <w:bookmarkEnd w:id="99"/>
    </w:p>
    <w:p w14:paraId="11A12362" w14:textId="77777777">
      <w:pPr>
        <w:pStyle w:val="BodyText"/>
      </w:pPr>
    </w:p>
    <w:p w14:paraId="6DD7108F" w14:textId="22E84863">
      <w:pPr>
        <w:pStyle w:val="P68B1DB1-BodyText11"/>
        <w:ind w:left="567"/>
        <w:rPr>
          <w:iCs/>
        </w:rPr>
      </w:pPr>
      <w:r>
        <w:t xml:space="preserve">«“τεχνικός κανόνας”: [...] οι νομοθετικές, κανονιστικές ή διοικητικές διατάξεις των κρατών μελών, με εξαίρεση εκείνες που προβλέπονται στο άρθρο 7, οι οποίες απαγορεύουν την κατασκευή, την εισαγωγή, την εμπορία ή τη χρήση ενός προϊόντος, καθώς και την παροχή ή τη χρήση μιας υπηρεσίας ή της εγκατάστασης για την παροχή υπηρεσιών.»</w:t>
      </w:r>
    </w:p>
    <w:p w14:paraId="6EA3335C" w14:textId="77777777">
      <w:pPr>
        <w:pStyle w:val="BodyText"/>
        <w:ind w:left="567"/>
        <w:rPr>
          <w:i/>
          <w:iCs/>
        </w:rPr>
      </w:pPr>
    </w:p>
    <w:p w14:paraId="05F6428B" w14:textId="3C27EE7A">
      <w:pPr>
        <w:pStyle w:val="BodyText"/>
        <w:ind w:left="1440"/>
        <w:jc w:val="right"/>
      </w:pPr>
      <w:r>
        <w:t xml:space="preserve">[άρθρο 1 παράγραφος στοιχείο στ) πρώτη περίοδος της οδηγίας (ΕΕ) 2015/1535]</w:t>
      </w:r>
    </w:p>
    <w:p w14:paraId="38D8F2AB" w14:textId="77777777">
      <w:pPr>
        <w:spacing w:after="0" w:line="240" w:lineRule="auto"/>
      </w:pPr>
    </w:p>
    <w:p w14:paraId="0D9AB62C" w14:textId="1C629A78">
      <w:pPr>
        <w:pStyle w:val="P68B1DB1-Normal13"/>
        <w:widowControl w:val="0"/>
        <w:autoSpaceDE w:val="0"/>
        <w:autoSpaceDN w:val="0"/>
        <w:spacing w:after="0" w:line="240" w:lineRule="auto"/>
        <w:jc w:val="both"/>
        <w:outlineLvl w:val="1"/>
      </w:pPr>
      <w:hyperlink r:id="rId59" w:history="1">
        <w:r>
          <w:rPr>
            <w:color w:val="0000FF"/>
            <w:u w:val="single"/>
          </w:rPr>
          <w:t xml:space="preserve">Απόφαση της 16 Σεπτεμβρίου 1996</w:t>
        </w:r>
      </w:hyperlink>
      <w:r>
        <w:t xml:space="preserve"> στην υπόθεση C-279/94, Επιτροπή κατά Ιταλίας, σκέψη 30.</w:t>
      </w:r>
      <w:bookmarkEnd w:id="100"/>
    </w:p>
    <w:p w14:paraId="034B7933" w14:textId="77777777">
      <w:pPr>
        <w:widowControl w:val="0"/>
        <w:tabs>
          <w:tab w:val="left" w:pos="396"/>
          <w:tab w:val="left" w:pos="461"/>
        </w:tabs>
        <w:autoSpaceDE w:val="0"/>
        <w:autoSpaceDN w:val="0"/>
        <w:spacing w:after="0" w:line="240" w:lineRule="auto"/>
        <w:ind w:hanging="142"/>
        <w:jc w:val="both"/>
        <w:rPr>
          <w:rFonts w:ascii="Times New Roman" w:hAnsi="Times New Roman" w:cs="Times New Roman" w:eastAsia="Times New Roman"/>
          <w:szCs w:val="20"/>
        </w:rPr>
      </w:pPr>
    </w:p>
    <w:p w14:paraId="01754A62" w14:textId="3AFCB111">
      <w:pPr>
        <w:pStyle w:val="P68B1DB1-Normal14"/>
        <w:widowControl w:val="0"/>
        <w:tabs>
          <w:tab w:val="left" w:pos="396"/>
          <w:tab w:val="left" w:pos="461"/>
        </w:tabs>
        <w:autoSpaceDE w:val="0"/>
        <w:autoSpaceDN w:val="0"/>
        <w:spacing w:after="0" w:line="240" w:lineRule="auto"/>
        <w:jc w:val="both"/>
      </w:pPr>
      <w:r>
        <w:t xml:space="preserve">Η απαγόρευση της διάθεσης στην αγορά και της χρήσης αμιάντου αποτελεί κοινοποιήσιμο «τεχνικό κανόνα» που πρέπει να κοινοποιηθεί, διότι απαγορεύει την εμπορία και τη χρήση ενός προϊόντος.</w:t>
      </w:r>
    </w:p>
    <w:p w14:paraId="0BB35591" w14:textId="77777777">
      <w:pPr>
        <w:widowControl w:val="0"/>
        <w:tabs>
          <w:tab w:val="left" w:pos="396"/>
          <w:tab w:val="left" w:pos="461"/>
        </w:tabs>
        <w:autoSpaceDE w:val="0"/>
        <w:autoSpaceDN w:val="0"/>
        <w:spacing w:after="0" w:line="240" w:lineRule="auto"/>
        <w:jc w:val="both"/>
        <w:rPr>
          <w:rFonts w:ascii="Times New Roman" w:hAnsi="Times New Roman" w:cs="Times New Roman" w:eastAsia="Times New Roman"/>
          <w:szCs w:val="20"/>
        </w:rPr>
      </w:pPr>
    </w:p>
    <w:p w14:paraId="79E65C7B" w14:textId="4734296F">
      <w:pPr>
        <w:pStyle w:val="P68B1DB1-Normal15"/>
        <w:widowControl w:val="0"/>
        <w:tabs>
          <w:tab w:val="left" w:pos="396"/>
          <w:tab w:val="left" w:pos="461"/>
        </w:tabs>
        <w:autoSpaceDE w:val="0"/>
        <w:autoSpaceDN w:val="0"/>
        <w:spacing w:after="0" w:line="240" w:lineRule="auto"/>
        <w:ind w:left="567"/>
        <w:jc w:val="both"/>
        <w:rPr>
          <w:iCs/>
        </w:rPr>
      </w:pPr>
      <w:r>
        <w:t xml:space="preserve">«30. Όσον αφορά το άρθρο 1 παράγραφος 2, του νόμου 257/92, πρέπει να υπενθυμιστεί ότι η διάταξη αυτή απαγορεύει την εξόρυξη, την εισαγωγή, την εξαγωγή, την εμπορία και την παραγωγή αμιάντου, προϊόντων αμιάντου και προϊόντων περιεχόντων αμίαντο, μετά την πάροδο έτους από της ενάρξεως της ισχύος του νόμου. Η διάταξη αυτή, απαγορεύοντας την εμπορία και τη χρήση αμιάντου, αποτελεί τεχνικό κανόνα τον οποίο η Ιταλική Κυβέρνηση όφειλε να κοινοποιήσει σύμφωνα με το άρθρο 8 παράγραφος 1, πρώτο εδάφιο, της οδηγίας.»</w:t>
      </w:r>
    </w:p>
    <w:p w14:paraId="4C0F9A2E" w14:textId="77777777">
      <w:pPr>
        <w:spacing w:after="0" w:line="240" w:lineRule="auto"/>
      </w:pPr>
    </w:p>
    <w:p w14:paraId="6933A43F" w14:textId="3FDFB590">
      <w:pPr>
        <w:pStyle w:val="P68B1DB1-Normal13"/>
        <w:widowControl w:val="0"/>
        <w:autoSpaceDE w:val="0"/>
        <w:autoSpaceDN w:val="0"/>
        <w:spacing w:after="0" w:line="240" w:lineRule="auto"/>
        <w:jc w:val="both"/>
        <w:outlineLvl w:val="1"/>
      </w:pPr>
      <w:hyperlink r:id="rId60" w:history="1">
        <w:r>
          <w:rPr>
            <w:rStyle w:val="Hyperlink"/>
            <w:color w:val="0000FF"/>
          </w:rPr>
          <w:t xml:space="preserve">Απόφαση της 21 Απριλίου 2005</w:t>
        </w:r>
      </w:hyperlink>
      <w:r>
        <w:t xml:space="preserve"> στην υπόθεση C-267/03, Lindberg, σκέψεις 75 έως 77</w:t>
      </w:r>
      <w:bookmarkEnd w:id="101"/>
    </w:p>
    <w:p w14:paraId="7D30FB0C"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B1BE65B" w14:textId="4B7342F7">
      <w:pPr>
        <w:pStyle w:val="P68B1DB1-Normal14"/>
        <w:widowControl w:val="0"/>
        <w:tabs>
          <w:tab w:val="left" w:pos="396"/>
          <w:tab w:val="left" w:pos="425"/>
        </w:tabs>
        <w:autoSpaceDE w:val="0"/>
        <w:autoSpaceDN w:val="0"/>
        <w:spacing w:after="0" w:line="240" w:lineRule="auto"/>
        <w:jc w:val="both"/>
      </w:pPr>
      <w:r>
        <w:t xml:space="preserve">Μια εθνική απαγόρευση που αφορά ορισμένα τυχερά παίγνια μπορεί να χαρακτηριστεί ως απαγορευτική διάταξη, εφόσον δεν αφήνει κανένα περιθώριο για οποιαδήποτε άλλη χρήση του οικείου προϊόντος πλην μιας καθαρά περιθωριακής χρήσεως. Αντιθέτως, ο χαρακτηρισμός ως απαγορεύσεως δεν εξαρτάται από το αποτέλεσμα της απαγορεύσεως επί της συνθέσεως, της φύσεως ή της εμπορίας των οικείων προϊόντων.</w:t>
      </w:r>
    </w:p>
    <w:p w14:paraId="58611995"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3EBF5D94" w14:textId="0BC411D8">
      <w:pPr>
        <w:pStyle w:val="P68B1DB1-Normal15"/>
        <w:widowControl w:val="0"/>
        <w:tabs>
          <w:tab w:val="left" w:pos="396"/>
          <w:tab w:val="left" w:pos="425"/>
        </w:tabs>
        <w:autoSpaceDE w:val="0"/>
        <w:autoSpaceDN w:val="0"/>
        <w:spacing w:after="0" w:line="240" w:lineRule="auto"/>
        <w:ind w:left="567"/>
        <w:jc w:val="both"/>
      </w:pPr>
      <w:r>
        <w:t xml:space="preserve">«75. Συναφώς, είναι σημαντικό ότι, σε αντίθεση με τη δεύτερη κατηγορία που αποτελείται από άλλες απαιτήσεις κατά την έννοια του άρθρου 1 παράγραφος 3, η τρίτη αυτή κατηγορία τεχνικών κανόνων που ορίζεται στο άρθρο 1 παράγραφος 9, της οδηγίας 83/189 δεν περιλαμβάνει την προϋπόθεση ότι η επίμαχη απαγόρευση πρέπει να είναι ικανή να επηρεάσει σημαντικά τη σύνθεση ή τη φύση του προϊόντος ή την εμπορία του.</w:t>
      </w:r>
    </w:p>
    <w:p w14:paraId="4E75D46D" w14:textId="77777777">
      <w:pPr>
        <w:pStyle w:val="P68B1DB1-Normal15"/>
        <w:widowControl w:val="0"/>
        <w:tabs>
          <w:tab w:val="left" w:pos="396"/>
          <w:tab w:val="left" w:pos="425"/>
        </w:tabs>
        <w:autoSpaceDE w:val="0"/>
        <w:autoSpaceDN w:val="0"/>
        <w:spacing w:after="0" w:line="240" w:lineRule="auto"/>
        <w:ind w:left="567"/>
        <w:jc w:val="both"/>
      </w:pPr>
    </w:p>
    <w:p w14:paraId="19633563" w14:textId="56C5A4E5">
      <w:pPr>
        <w:pStyle w:val="P68B1DB1-Normal15"/>
        <w:widowControl w:val="0"/>
        <w:tabs>
          <w:tab w:val="left" w:pos="396"/>
          <w:tab w:val="left" w:pos="425"/>
        </w:tabs>
        <w:autoSpaceDE w:val="0"/>
        <w:autoSpaceDN w:val="0"/>
        <w:spacing w:after="0" w:line="240" w:lineRule="auto"/>
        <w:ind w:left="567"/>
        <w:jc w:val="both"/>
      </w:pPr>
      <w:r>
        <w:t xml:space="preserve">76. Δεδομένου ότι αυτή η τρίτη κατηγορία τεχνικών κανόνων αφορά ιδίως την απαγόρευση χρησιμοποιήσεως, πρέπει να πρόκειται για μέτρα των οποίων το περιεχόμενο βαίνει σαφώς πέραν του περιορισμού ορισμένων πιθανών χρήσεων του επίδικου προϊόντος και τα οποία, επομένως, δεν περιορίζονται στον απλό περιορισμό της χρήσεως του εν λόγω προϊόντος.</w:t>
      </w:r>
    </w:p>
    <w:p w14:paraId="0E03DE00" w14:textId="77777777">
      <w:pPr>
        <w:pStyle w:val="P68B1DB1-Normal15"/>
        <w:widowControl w:val="0"/>
        <w:tabs>
          <w:tab w:val="left" w:pos="396"/>
          <w:tab w:val="left" w:pos="425"/>
        </w:tabs>
        <w:autoSpaceDE w:val="0"/>
        <w:autoSpaceDN w:val="0"/>
        <w:spacing w:after="0" w:line="240" w:lineRule="auto"/>
        <w:ind w:left="567"/>
        <w:jc w:val="both"/>
      </w:pPr>
    </w:p>
    <w:p w14:paraId="2FD32D99" w14:textId="6701B778">
      <w:pPr>
        <w:pStyle w:val="P68B1DB1-Normal15"/>
        <w:widowControl w:val="0"/>
        <w:tabs>
          <w:tab w:val="left" w:pos="396"/>
          <w:tab w:val="left" w:pos="425"/>
        </w:tabs>
        <w:autoSpaceDE w:val="0"/>
        <w:autoSpaceDN w:val="0"/>
        <w:spacing w:after="0" w:line="240" w:lineRule="auto"/>
        <w:ind w:left="567"/>
        <w:jc w:val="both"/>
        <w:rPr>
          <w:iCs/>
        </w:rPr>
      </w:pPr>
      <w:r>
        <w:t xml:space="preserve">77. Όπως επισήμανε ο γενικός εισαγγελέας με το σημείο 70 των προτάσεών του, αυτή η κατηγορία τεχνικών κανόνων αφορά ειδικότερα εθνικά μέτρα που δεν αφήνουν περιθώριο για καμία άλλη χρήση πλην των ευλόγως αναμενόμενων για το οικείο προϊόν αμιγώς περιθωριακών χρήσεων. Στο εθνικό δικαστήριο εναπόκειται να εξακριβώσει αν η απαγόρευση που συνεπάγεται η επίμαχη στην κύρια δίκη εθνική διάταξη συνιστά τέτοιο μέτρο.»</w:t>
      </w:r>
    </w:p>
    <w:p w14:paraId="67FF74EE"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68FE6490" w14:textId="328430DD">
      <w:pPr>
        <w:pStyle w:val="P68B1DB1-Normal13"/>
        <w:widowControl w:val="0"/>
        <w:autoSpaceDE w:val="0"/>
        <w:autoSpaceDN w:val="0"/>
        <w:spacing w:after="0" w:line="240" w:lineRule="auto"/>
        <w:jc w:val="both"/>
        <w:outlineLvl w:val="1"/>
      </w:pPr>
      <w:hyperlink r:id="rId61" w:history="1">
        <w:r>
          <w:rPr>
            <w:color w:val="0000FF"/>
            <w:u w:val="single"/>
          </w:rPr>
          <w:t xml:space="preserve">Απόφαση της 8 Σεπτεμβρίου 2005</w:t>
        </w:r>
      </w:hyperlink>
      <w:r>
        <w:t xml:space="preserve"> στην υπόθεση C-303/04, Lidl Italia, σκέψεις 12 και 13.</w:t>
      </w:r>
      <w:bookmarkEnd w:id="102"/>
    </w:p>
    <w:p w14:paraId="0264E5E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3D45D27" w14:textId="04452AA9">
      <w:pPr>
        <w:pStyle w:val="P68B1DB1-Normal14"/>
        <w:widowControl w:val="0"/>
        <w:tabs>
          <w:tab w:val="left" w:pos="393"/>
        </w:tabs>
        <w:autoSpaceDE w:val="0"/>
        <w:autoSpaceDN w:val="0"/>
        <w:spacing w:after="0" w:line="240" w:lineRule="auto"/>
        <w:jc w:val="both"/>
      </w:pPr>
      <w:r>
        <w:t xml:space="preserve">Η εθνική απαγόρευση εμπορίας προϊόντων που δεν κατασκευάζονται από ορισμένα υλικά συνιστά διάταξη απαγορεύουσα την κατασκευή και την εμπορία προϊόντων.</w:t>
      </w:r>
    </w:p>
    <w:p w14:paraId="35068EA4" w14:textId="77777777">
      <w:pPr>
        <w:widowControl w:val="0"/>
        <w:tabs>
          <w:tab w:val="left" w:pos="393"/>
        </w:tabs>
        <w:autoSpaceDE w:val="0"/>
        <w:autoSpaceDN w:val="0"/>
        <w:spacing w:after="0" w:line="240" w:lineRule="auto"/>
        <w:jc w:val="both"/>
        <w:rPr>
          <w:rFonts w:ascii="Times New Roman" w:hAnsi="Times New Roman" w:cs="Times New Roman" w:eastAsia="Times New Roman"/>
          <w:szCs w:val="20"/>
        </w:rPr>
      </w:pPr>
    </w:p>
    <w:p w14:paraId="4997783D" w14:textId="60D54546">
      <w:pPr>
        <w:pStyle w:val="P68B1DB1-Normal15"/>
        <w:widowControl w:val="0"/>
        <w:tabs>
          <w:tab w:val="left" w:pos="393"/>
        </w:tabs>
        <w:autoSpaceDE w:val="0"/>
        <w:autoSpaceDN w:val="0"/>
        <w:spacing w:after="0" w:line="240" w:lineRule="auto"/>
        <w:ind w:left="567"/>
        <w:jc w:val="both"/>
      </w:pPr>
      <w:r>
        <w:t xml:space="preserve">«12. [...] κατά το άρθρο 1 παράγραφος 11, της οδηγίας 98/34, εθνική διάταξη κράτους μέλους η οποία απαγορεύει την κατασκευή, την εισαγωγή, την εμπορία ή τη χρήση ενός προϊόντος πρέπει να θεωρείται ως κατηγορία τεχνικών κανόνων (βλ. υπόθεση C-267/03, Lindberg, Συλλογή 2005, σ. I-0000, σκέψη 54).</w:t>
      </w:r>
    </w:p>
    <w:p w14:paraId="52ECA4AF" w14:textId="77777777">
      <w:pPr>
        <w:pStyle w:val="P68B1DB1-Normal15"/>
        <w:widowControl w:val="0"/>
        <w:tabs>
          <w:tab w:val="left" w:pos="393"/>
        </w:tabs>
        <w:autoSpaceDE w:val="0"/>
        <w:autoSpaceDN w:val="0"/>
        <w:spacing w:after="0" w:line="240" w:lineRule="auto"/>
        <w:ind w:left="567"/>
        <w:jc w:val="both"/>
      </w:pPr>
    </w:p>
    <w:p w14:paraId="08984434" w14:textId="6B561E58">
      <w:pPr>
        <w:pStyle w:val="P68B1DB1-Normal15"/>
        <w:widowControl w:val="0"/>
        <w:tabs>
          <w:tab w:val="left" w:pos="393"/>
        </w:tabs>
        <w:autoSpaceDE w:val="0"/>
        <w:autoSpaceDN w:val="0"/>
        <w:spacing w:after="0" w:line="240" w:lineRule="auto"/>
        <w:ind w:left="567"/>
        <w:jc w:val="both"/>
        <w:rPr>
          <w:iCs/>
        </w:rPr>
      </w:pPr>
      <w:r>
        <w:t xml:space="preserve">13. Εν προκειμένω, αρκεί η διαπίστωση ότι το άρθρο 19 παράγραφος 2, του νόμου 93/2001 είναι διάταξη τέτοιας φύσεως. Σύμφωνα με τη διάταξη αυτή, η παραγωγή και εμπορία βαμβακερών οφθαλμών που δεν παρουσιάζουν τα αναφερόμενα χαρακτηριστικά, δηλαδή εκείνων που δεν κατασκευάζονται εξ ολοκλήρου από βιοαποδομήσιμα υλικά σύμφωνα με τα πρότυπα UNI 10785, συνιστούν παραβάσεις που επισύρουν διοικητικές κυρώσεις.»</w:t>
      </w:r>
    </w:p>
    <w:p w14:paraId="7E80215F"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6717B4ED" w14:textId="65166FE4">
      <w:pPr>
        <w:pStyle w:val="P68B1DB1-Normal13"/>
        <w:widowControl w:val="0"/>
        <w:autoSpaceDE w:val="0"/>
        <w:autoSpaceDN w:val="0"/>
        <w:spacing w:after="0" w:line="240" w:lineRule="auto"/>
        <w:jc w:val="both"/>
        <w:outlineLvl w:val="1"/>
      </w:pPr>
      <w:hyperlink r:id="rId62" w:history="1">
        <w:r>
          <w:rPr>
            <w:color w:val="0000FF"/>
            <w:u w:val="single"/>
          </w:rPr>
          <w:t xml:space="preserve">Απόφαση της 26 Οκτωβρίου 2006</w:t>
        </w:r>
      </w:hyperlink>
      <w:r>
        <w:t xml:space="preserve"> στην υπόθεση C-65/05, Επιτροπή κατά Ελλάδας, σκέψη 61.</w:t>
      </w:r>
      <w:bookmarkEnd w:id="103"/>
    </w:p>
    <w:p w14:paraId="1384E76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CAE2532" w14:textId="2EC175AF">
      <w:pPr>
        <w:pStyle w:val="P68B1DB1-Normal14"/>
        <w:widowControl w:val="0"/>
        <w:tabs>
          <w:tab w:val="left" w:pos="415"/>
        </w:tabs>
        <w:autoSpaceDE w:val="0"/>
        <w:autoSpaceDN w:val="0"/>
        <w:spacing w:after="0" w:line="240" w:lineRule="auto"/>
        <w:jc w:val="both"/>
      </w:pPr>
      <w:r>
        <w:t xml:space="preserve">Τα μέτρα που απαγορεύουν την εγκατάσταση, εκτός των καζίνων, όλων των ηλεκτρικών ή ηλεκτρονικών συσκευών παιχνιδιών και τη χρήση ηλεκτρονικών παιχνιδιών σε επιχειρήσεις που παρέχουν υπηρεσίες διαδικτύου, καθώς και την εξάρτηση της λειτουργίας των επιχειρήσεων αυτών από τη χορήγηση ειδικής άδειας, πρέπει να θεωρούνται τεχνικοί κανόνες.</w:t>
      </w:r>
    </w:p>
    <w:p w14:paraId="6FD5D3A4" w14:textId="77777777">
      <w:pPr>
        <w:widowControl w:val="0"/>
        <w:tabs>
          <w:tab w:val="left" w:pos="415"/>
        </w:tabs>
        <w:autoSpaceDE w:val="0"/>
        <w:autoSpaceDN w:val="0"/>
        <w:spacing w:after="0" w:line="240" w:lineRule="auto"/>
        <w:jc w:val="both"/>
        <w:rPr>
          <w:rFonts w:ascii="Times New Roman" w:hAnsi="Times New Roman" w:cs="Times New Roman" w:eastAsia="Times New Roman"/>
          <w:szCs w:val="20"/>
        </w:rPr>
      </w:pPr>
    </w:p>
    <w:p w14:paraId="79252ABE" w14:textId="0E924053">
      <w:pPr>
        <w:pStyle w:val="P68B1DB1-Normal15"/>
        <w:widowControl w:val="0"/>
        <w:tabs>
          <w:tab w:val="left" w:pos="415"/>
        </w:tabs>
        <w:autoSpaceDE w:val="0"/>
        <w:autoSpaceDN w:val="0"/>
        <w:spacing w:after="0" w:line="240" w:lineRule="auto"/>
        <w:ind w:left="567"/>
        <w:jc w:val="both"/>
        <w:rPr>
          <w:iCs/>
        </w:rPr>
      </w:pPr>
      <w:r>
        <w:t>«</w:t>
      </w:r>
      <w:bookmarkStart w:id="104" w:name="point61"/>
      <w:r>
        <w:t>61</w:t>
      </w:r>
      <w:bookmarkEnd w:id="104"/>
      <w:r>
        <w:t xml:space="preserve">. [...] μέτρα όπως αυτά που προβλέπονται στα άρθρα 2 (1) και 3 του νόμου αριθ. 3037/2002, στο μέτρο που απαγορεύουν την εγκατάσταση στην Ελλάδα όλων των ηλεκτρικών, ηλεκτρομηχανικών και ηλεκτρονικών παιχνιδιών, συμπεριλαμβανομένων όλων των παιχνιδιών για ηλεκτρονικούς υπολογιστές, σε όλους τους δημόσιους και ιδιωτικούς χώρους εκτός των καζίνων, καθώς και τη χρήση παιχνιδιών σε υπολογιστές σε επιχειρήσεις παροχής υπηρεσιών διαδικτύου, και εξαρτούν τη λειτουργία των επιχειρήσεων αυτών από τη χορήγηση ειδικής άδειας, πρέπει να θεωρούνται τεχνικοί κανόνες κατά την έννοια του άρθρου 1 παράγραφος 11 της οδηγίας 98/34 (βλ., υπό την έννοια αυτή,</w:t>
        <w:noBreakHyphen/>
        <w:t xml:space="preserve">υπόθεση C 267/03 Lindberg [2005]</w:t>
        <w:noBreakHyphen/>
        <w:t xml:space="preserve">Συλλογή I 3247).»</w:t>
      </w:r>
    </w:p>
    <w:p w14:paraId="0089E684"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03A587DA" w14:textId="394DDB7B">
      <w:pPr>
        <w:pStyle w:val="P68B1DB1-Normal13"/>
        <w:widowControl w:val="0"/>
        <w:autoSpaceDE w:val="0"/>
        <w:autoSpaceDN w:val="0"/>
        <w:spacing w:after="0" w:line="240" w:lineRule="auto"/>
        <w:jc w:val="both"/>
        <w:outlineLvl w:val="1"/>
      </w:pPr>
      <w:hyperlink r:id="rId63" w:history="1">
        <w:r>
          <w:rPr>
            <w:color w:val="0000FF"/>
            <w:u w:val="single"/>
          </w:rPr>
          <w:t xml:space="preserve">Απόφαση της 19 Ιουλίου 2012</w:t>
        </w:r>
      </w:hyperlink>
      <w:r>
        <w:t xml:space="preserve">, Fortuna κ.λπ., C-213/11, C-214/11 και C-217/11, σκέψεις 24 και 25</w:t>
      </w:r>
      <w:bookmarkEnd w:id="105"/>
    </w:p>
    <w:p w14:paraId="005978D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37C6309" w14:textId="4A0E435F">
      <w:pPr>
        <w:pStyle w:val="P68B1DB1-Normal14"/>
        <w:widowControl w:val="0"/>
        <w:tabs>
          <w:tab w:val="left" w:pos="451"/>
        </w:tabs>
        <w:autoSpaceDE w:val="0"/>
        <w:autoSpaceDN w:val="0"/>
        <w:spacing w:after="0" w:line="240" w:lineRule="auto"/>
        <w:jc w:val="both"/>
      </w:pPr>
      <w:r>
        <w:t xml:space="preserve">Ένα μέτρο που απαγορεύει τη χρήση μηχανών τυχερών παιχνιδιών εκτός των καζίνων πρέπει να χαρακτηριστεί ως «τεχνικός κανόνας».</w:t>
      </w:r>
    </w:p>
    <w:p w14:paraId="55F00ED6" w14:textId="77777777">
      <w:pPr>
        <w:widowControl w:val="0"/>
        <w:tabs>
          <w:tab w:val="left" w:pos="451"/>
        </w:tabs>
        <w:autoSpaceDE w:val="0"/>
        <w:autoSpaceDN w:val="0"/>
        <w:spacing w:after="0" w:line="240" w:lineRule="auto"/>
        <w:jc w:val="both"/>
        <w:rPr>
          <w:rFonts w:ascii="Times New Roman" w:hAnsi="Times New Roman" w:cs="Times New Roman" w:eastAsia="Times New Roman"/>
          <w:szCs w:val="20"/>
        </w:rPr>
      </w:pPr>
    </w:p>
    <w:p w14:paraId="4C7F2437" w14:textId="071474DD">
      <w:pPr>
        <w:pStyle w:val="P68B1DB1-Normal15"/>
        <w:widowControl w:val="0"/>
        <w:tabs>
          <w:tab w:val="left" w:pos="451"/>
        </w:tabs>
        <w:autoSpaceDE w:val="0"/>
        <w:autoSpaceDN w:val="0"/>
        <w:spacing w:after="0" w:line="240" w:lineRule="auto"/>
        <w:ind w:left="567"/>
        <w:jc w:val="both"/>
      </w:pPr>
      <w:r>
        <w:t xml:space="preserve">«24. [...] το Δικαστήριο έχει ήδη κρίνει ότι τα μέτρα που απαγορεύουν τη χρήση όλων των ηλεκτρικών, ηλεκτρομηχανικών και ηλεκτρονικών παιγνίων σε όλους τους δημόσιους και ιδιωτικούς χώρους, πλην των καζίνων, πρέπει να θεωρούνται τεχνικοί κανόνες κατά την έννοια του άρθρου 1 παράγραφος 11, της οδηγίας 98/34 (απόφαση της 2006ης Ιουλίου 10341, C-65/05, Επιτροπή κατά Ελλάδας, που δεν έχει δημοσιευθεί ακόμη στη Συλλογή, σκέψη 61).</w:t>
      </w:r>
    </w:p>
    <w:p w14:paraId="449D41B3" w14:textId="77777777">
      <w:pPr>
        <w:pStyle w:val="P68B1DB1-Normal15"/>
        <w:widowControl w:val="0"/>
        <w:tabs>
          <w:tab w:val="left" w:pos="451"/>
        </w:tabs>
        <w:autoSpaceDE w:val="0"/>
        <w:autoSpaceDN w:val="0"/>
        <w:spacing w:after="0" w:line="240" w:lineRule="auto"/>
        <w:ind w:left="567"/>
        <w:jc w:val="both"/>
      </w:pPr>
    </w:p>
    <w:p w14:paraId="19795D70" w14:textId="79DBEA4A">
      <w:pPr>
        <w:pStyle w:val="P68B1DB1-Normal15"/>
        <w:widowControl w:val="0"/>
        <w:tabs>
          <w:tab w:val="left" w:pos="451"/>
        </w:tabs>
        <w:autoSpaceDE w:val="0"/>
        <w:autoSpaceDN w:val="0"/>
        <w:spacing w:after="0" w:line="240" w:lineRule="auto"/>
        <w:ind w:left="567"/>
        <w:jc w:val="both"/>
        <w:rPr>
          <w:iCs/>
        </w:rPr>
      </w:pPr>
      <w:r>
        <w:t xml:space="preserve">25. Ως εκ τούτου, μέτρο όπως το άρθρο 14 παράγραφος 1, του νόμου περί τυχηρών παιγνίων, το οποίο επιτρέπει μόνο στα καζίνα να οργανώνουν μηχανήματα τυχερών παιγνίων, πρέπει να χαρακτηριστεί ως «τεχνικός κανόνας» κατά την έννοια του άρθρου 1 παράγραφος 11, της οδηγίας 98/34.»</w:t>
      </w:r>
    </w:p>
    <w:p w14:paraId="4A0CD426" w14:textId="77777777">
      <w:pPr>
        <w:spacing w:after="0" w:line="240" w:lineRule="auto"/>
      </w:pPr>
    </w:p>
    <w:p w14:paraId="1675A539" w14:textId="6C824499">
      <w:pPr>
        <w:pStyle w:val="P68B1DB1-Normal13"/>
        <w:widowControl w:val="0"/>
        <w:autoSpaceDE w:val="0"/>
        <w:autoSpaceDN w:val="0"/>
        <w:spacing w:after="0" w:line="240" w:lineRule="auto"/>
        <w:jc w:val="both"/>
        <w:outlineLvl w:val="1"/>
      </w:pPr>
      <w:hyperlink r:id="rId64" w:history="1">
        <w:r>
          <w:rPr>
            <w:color w:val="0000FF"/>
            <w:u w:val="single"/>
          </w:rPr>
          <w:t xml:space="preserve">Απόφαση της 27 Οκτωβρίου 2016</w:t>
        </w:r>
      </w:hyperlink>
      <w:r>
        <w:t xml:space="preserve"> στην υπόθεση C-613/14, James Elliott Construction, σκέψη 70.</w:t>
      </w:r>
      <w:bookmarkEnd w:id="106"/>
    </w:p>
    <w:p w14:paraId="3A50454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3D45187" w14:textId="07CFD998">
      <w:pPr>
        <w:widowControl w:val="0"/>
        <w:tabs>
          <w:tab w:val="left" w:pos="430"/>
        </w:tabs>
        <w:autoSpaceDE w:val="0"/>
        <w:autoSpaceDN w:val="0"/>
        <w:spacing w:after="0" w:line="240" w:lineRule="auto"/>
        <w:jc w:val="both"/>
        <w:rPr>
          <w:rFonts w:ascii="Times New Roman" w:hAnsi="Times New Roman" w:cs="Times New Roman" w:eastAsia="Times New Roman"/>
          <w:szCs w:val="20"/>
        </w:rPr>
        <w:pStyle w:val="P68B1DB1-Normal14"/>
      </w:pPr>
      <w:r>
        <w:t xml:space="preserve">Οι εθνικές διατάξεις που προβλέπουν έμμεσους συμβατικούς όρους σχετικά με την εμπορεύσιμη ποιότητα, την καταλληλότητα προς χρήση ή τη γενική ποιότητα των πωλούμενων προϊόντων δεν συνιστούν διατάξεις απαγόρευσης.</w:t>
      </w:r>
    </w:p>
    <w:p w14:paraId="399B39AC" w14:textId="77777777">
      <w:pPr>
        <w:widowControl w:val="0"/>
        <w:tabs>
          <w:tab w:val="left" w:pos="430"/>
        </w:tabs>
        <w:autoSpaceDE w:val="0"/>
        <w:autoSpaceDN w:val="0"/>
        <w:spacing w:after="0" w:line="240" w:lineRule="auto"/>
        <w:jc w:val="both"/>
        <w:rPr>
          <w:rFonts w:ascii="Times New Roman" w:hAnsi="Times New Roman" w:cs="Times New Roman" w:eastAsia="Times New Roman"/>
          <w:i/>
          <w:iCs/>
          <w:sz w:val="20"/>
          <w:szCs w:val="16"/>
        </w:rPr>
      </w:pPr>
    </w:p>
    <w:p w14:paraId="03484B57" w14:textId="639C0DF2">
      <w:pPr>
        <w:pStyle w:val="P68B1DB1-Normal15"/>
        <w:widowControl w:val="0"/>
        <w:tabs>
          <w:tab w:val="left" w:pos="430"/>
        </w:tabs>
        <w:autoSpaceDE w:val="0"/>
        <w:autoSpaceDN w:val="0"/>
        <w:spacing w:after="0" w:line="240" w:lineRule="auto"/>
        <w:ind w:left="567"/>
        <w:jc w:val="both"/>
        <w:rPr>
          <w:iCs/>
        </w:rPr>
      </w:pPr>
      <w:r>
        <w:t>«</w:t>
      </w:r>
      <w:bookmarkStart w:id="107" w:name="point70"/>
      <w:r>
        <w:t>70</w:t>
      </w:r>
      <w:bookmarkEnd w:id="107"/>
      <w:r>
        <w:t xml:space="preserve">. [...] η επίμαχη στην κύρια δίκη ρύθμιση δεν εμπίπτει στο πεδίο εφαρμογής των τεχνικών κανόνων στους οποίους αναφέρεται το άρθρο 1 παράγραφος 11, της οδηγίας 98/34, στο μέτρο που δεν περιέχει καμία απαγόρευση, κατά την έννοια της οδηγίας αυτής, όσον αφορά την κατασκευή, την εισαγωγή, την εμπορία ή τη χρήση ενός προϊόντος, την παροχή ή τη χρήση ενός προϊόντος, την παροχή ή τη χρήση μιας υπηρεσίας ή την εγκατάσταση ως παρέχουσα υπηρεσίες.»</w:t>
      </w:r>
    </w:p>
    <w:p w14:paraId="444E99F8" w14:textId="77777777">
      <w:pPr>
        <w:spacing w:after="0" w:line="240" w:lineRule="auto"/>
      </w:pPr>
    </w:p>
    <w:p w14:paraId="178807FF" w14:textId="18545DE8">
      <w:pPr>
        <w:pStyle w:val="P68B1DB1-Normal13"/>
        <w:widowControl w:val="0"/>
        <w:autoSpaceDE w:val="0"/>
        <w:autoSpaceDN w:val="0"/>
        <w:spacing w:after="0" w:line="240" w:lineRule="auto"/>
        <w:jc w:val="both"/>
        <w:outlineLvl w:val="1"/>
      </w:pPr>
      <w:hyperlink r:id="rId65" w:anchor="ctx1" w:history="1">
        <w:r>
          <w:rPr>
            <w:color w:val="0000FF"/>
            <w:u w:val="single"/>
          </w:rPr>
          <w:t xml:space="preserve">Απόφαση της 28 Μαΐου 2020</w:t>
        </w:r>
      </w:hyperlink>
      <w:r>
        <w:t xml:space="preserve"> στην υπόθεση C-727/17, ECO-WIND Construction, σκέψεις 45 έως 47</w:t>
      </w:r>
      <w:bookmarkEnd w:id="108"/>
    </w:p>
    <w:p w14:paraId="58A77184" w14:textId="77777777">
      <w:pPr>
        <w:widowControl w:val="0"/>
        <w:autoSpaceDE w:val="0"/>
        <w:autoSpaceDN w:val="0"/>
        <w:spacing w:after="0" w:line="240" w:lineRule="auto"/>
        <w:jc w:val="both"/>
        <w:rPr>
          <w:rFonts w:ascii="Times New Roman" w:hAnsi="Times New Roman" w:cs="Times New Roman" w:eastAsia="Times New Roman"/>
          <w:szCs w:val="20"/>
        </w:rPr>
      </w:pPr>
    </w:p>
    <w:p w14:paraId="2ABAB16B" w14:textId="5B45D2BF">
      <w:pPr>
        <w:pStyle w:val="P68B1DB1-Normal14"/>
        <w:widowControl w:val="0"/>
        <w:autoSpaceDE w:val="0"/>
        <w:autoSpaceDN w:val="0"/>
        <w:spacing w:after="0" w:line="240" w:lineRule="auto"/>
        <w:jc w:val="both"/>
      </w:pPr>
      <w:r>
        <w:t xml:space="preserve">Ρύθμιση η οποία επιβάλλει ελάχιστη απόσταση για την εγκατάσταση ανεμογεννητριών δεν συνιστά απαγόρευση κατασκευής, εισαγωγής, εμπορίας ή χρήσης ενός προϊόντος, εκτός αν συνεπάγεται de facto απαγόρευση της εμπορίας ανεμογεννητριών, χωρίς να αφήνει κανένα περιθώριο για οποιαδήποτε χρήση ανεμογεννητριών πλην μιας καθαρά περιθωριακής χρήσης.</w:t>
      </w:r>
    </w:p>
    <w:p w14:paraId="57350EE4" w14:textId="77777777">
      <w:pPr>
        <w:pStyle w:val="BodyText"/>
        <w:jc w:val="left"/>
      </w:pPr>
    </w:p>
    <w:p w14:paraId="671DACC6" w14:textId="1CB89713">
      <w:pPr>
        <w:pStyle w:val="P68B1DB1-BodyText19"/>
        <w:ind w:left="567"/>
        <w:rPr>
          <w:iCs/>
        </w:rPr>
      </w:pPr>
      <w:r>
        <w:t xml:space="preserve">«45. Η κατηγορία αυτή προϋποθέτει ότι το επίμαχο μέτρο έχει περιεχόμενο που υπερβαίνει σαφώς τον περιορισμό ορισμένων χρήσεων του επίμαχου προϊόντος και ότι δεν περιορίζεται σε έναν απλό περιορισμό της χρήσης του (αποφάσεις της 21 Απριλίου 2005, Lindberg, C-267/03, σκέψη 76, και της 19 Ιουλίου 2012, Fortuna κ.λπ., C-213/11, C-214/11 και C-217/11, σκέψη 31).</w:t>
      </w:r>
    </w:p>
    <w:p w14:paraId="787A0A4F" w14:textId="77777777">
      <w:pPr>
        <w:pStyle w:val="P68B1DB1-BodyText19"/>
        <w:ind w:left="567"/>
        <w:rPr>
          <w:iCs/>
        </w:rPr>
      </w:pPr>
    </w:p>
    <w:p w14:paraId="7CEA657E" w14:textId="35F61E5B">
      <w:pPr>
        <w:pStyle w:val="P68B1DB1-BodyText19"/>
        <w:ind w:left="567"/>
        <w:rPr>
          <w:iCs/>
        </w:rPr>
      </w:pPr>
      <w:r>
        <w:t xml:space="preserve">46. Η κατηγορία αυτή αφορά ιδίως τα εθνικά μέτρα που δεν αφήνουν κανένα περιθώριο για οποιαδήποτε άλλη χρήση του οικείου προϊόντος πλην μιας καθαρά περιθωριακής χρήσεως (αποφάσεις της 21 Απριλίου 2005, Lindberg, C-267/03, σκέψη 77, και της 19 Ιουλίου 2012, Fortuna κ.λπ., C-213/11, C-214/11 και C-217/11, σκέψη 32).</w:t>
      </w:r>
    </w:p>
    <w:p w14:paraId="47448916" w14:textId="77777777">
      <w:pPr>
        <w:pStyle w:val="P68B1DB1-BodyText19"/>
        <w:ind w:left="567"/>
        <w:rPr>
          <w:iCs/>
        </w:rPr>
      </w:pPr>
    </w:p>
    <w:p w14:paraId="6508CA59" w14:textId="00D7F268">
      <w:pPr>
        <w:pStyle w:val="P68B1DB1-BodyText19"/>
        <w:ind w:left="567"/>
        <w:rPr>
          <w:iCs/>
        </w:rPr>
      </w:pPr>
      <w:r>
        <w:t xml:space="preserve">47. Εν προκειμένω, μολονότι η απαίτηση σύμφωνα με την οποία η εγκατάσταση ανεμογεννήτριας εξαρτάται από την τήρηση της προϋπόθεσης ελάχιστης απόστασης μεταξύ της ανεμογεννήτριας και των κτιρίων που επιτελούν οικιστική λειτουργία, η οποία επιβάλλεται από την επίμαχη στην κύρια δίκη εθνική ρύθμιση, περιλαμβάνει βεβαίως απαγόρευση εγκατάστασης ανεμογεννήτριας σε ελάχιστη απόσταση μικρότερη από το δεκαπλάσιο του συνολικού ύψους της σχεδιαζόμενης εγκατάστασης από κάθε κτίριο που επιτελεί οικιστική λειτουργία, πλην όμως η ρύθμιση αυτή δεν απαγορεύει στους οικονομικούς φορείς να συνεχίσουν να εγκαθιστούν ανεμογεννήτριες και, ως εκ τούτου, να χρησιμοποιούν και να εμπορεύονται ανεμογεννήτριες.»</w:t>
      </w:r>
    </w:p>
    <w:p w14:paraId="17B77596" w14:textId="77777777">
      <w:pPr>
        <w:pStyle w:val="P68B1DB1-Normal4"/>
        <w:spacing w:after="0" w:line="240" w:lineRule="auto"/>
        <w:rPr>
          <w:rFonts w:ascii="Times New Roman" w:hAnsi="Times New Roman" w:cs="Times New Roman" w:eastAsia="Times New Roman"/>
          <w:i/>
          <w:iCs/>
          <w:szCs w:val="20"/>
        </w:rPr>
      </w:pPr>
      <w:r>
        <w:br w:type="page"/>
      </w:r>
    </w:p>
    <w:p w14:paraId="235FB3C0" w14:textId="44F6C5C7">
      <w:pPr>
        <w:pStyle w:val="P68B1DB1-Heading24"/>
        <w:numPr>
          <w:ilvl w:val="0"/>
          <w:numId w:val="35"/>
        </w:numPr>
        <w:spacing w:before="0" w:after="0"/>
        <w:jc w:val="center"/>
        <w:rPr>
          <w:bCs/>
          <w:color w:val="auto"/>
        </w:rPr>
      </w:pPr>
      <w:bookmarkStart w:id="109" w:name="_Ref194484603"/>
      <w:bookmarkStart w:id="110" w:name="_Toc203035671"/>
      <w:r>
        <w:t xml:space="preserve">Τεχνικοί κανονισμοί de Facto</w:t>
      </w:r>
      <w:bookmarkEnd w:id="109"/>
      <w:bookmarkEnd w:id="110"/>
    </w:p>
    <w:p w14:paraId="297F85EC" w14:textId="77777777">
      <w:pPr>
        <w:pStyle w:val="BodyText"/>
      </w:pPr>
    </w:p>
    <w:p w14:paraId="6C908457" w14:textId="3B825828">
      <w:pPr>
        <w:pStyle w:val="P68B1DB1-BodyText11"/>
        <w:ind w:left="567"/>
        <w:rPr>
          <w:i/>
        </w:rPr>
      </w:pPr>
      <w:r>
        <w:t xml:space="preserve">«Οι τεχνικοί κανόνες de facto περιλαμβάνουν: </w:t>
      </w:r>
    </w:p>
    <w:p w14:paraId="277715A6" w14:textId="77777777">
      <w:pPr>
        <w:pStyle w:val="BodyText"/>
        <w:ind w:left="567"/>
        <w:rPr>
          <w:i/>
        </w:rPr>
      </w:pPr>
    </w:p>
    <w:p w14:paraId="28BCD2BD" w14:textId="757EEC79">
      <w:pPr>
        <w:pStyle w:val="P68B1DB1-BodyText11"/>
        <w:numPr>
          <w:ilvl w:val="0"/>
          <w:numId w:val="31"/>
        </w:numPr>
        <w:rPr>
          <w:i/>
        </w:rPr>
      </w:pPr>
      <w:r>
        <w:t xml:space="preserve">οι νομοθετικές, κανονιστικές ή διοικητικές διατάξεις ενός κράτους μέλους οι οποίες παραπέμπουν είτε σε τεχνικές προδιαγραφές ή άλλες απαιτήσεις είτε σε κανόνες σχετικά με τις υπηρεσίες, είτε σε επαγγελματικούς κώδικες ή κώδικες ορθής πρακτικής που με τη σειρά τους παραπέμπουν σε τεχνικές προδιαγραφές ή άλλες απαιτήσεις ή κανόνες σχετικά με τις υπηρεσίες, η τήρηση των οποίων αποτελεί τεκμήριο συμβατότητας προς τις προδιαγραφές που καθορίζονται από τις εν λόγω νομοθετικές, κανονιστικές ή διοικητικές διατάξεις, </w:t>
      </w:r>
    </w:p>
    <w:p w14:paraId="32E4257D" w14:textId="77777777">
      <w:pPr>
        <w:pStyle w:val="BodyText"/>
        <w:ind w:left="1287"/>
        <w:rPr>
          <w:i/>
        </w:rPr>
      </w:pPr>
    </w:p>
    <w:p w14:paraId="5E0B6B62" w14:textId="2D5EF06C">
      <w:pPr>
        <w:pStyle w:val="P68B1DB1-BodyText11"/>
        <w:numPr>
          <w:ilvl w:val="0"/>
          <w:numId w:val="31"/>
        </w:numPr>
        <w:rPr>
          <w:i/>
        </w:rPr>
      </w:pPr>
      <w:r>
        <w:t xml:space="preserve">οι εκούσιες συμφωνίες στις οποίες η δημόσια αρχή είναι συμβαλλόμενο μέρος και οι οποίες αποσκοπούν στην τήρηση, προς το δημόσιο συμφέρον, των τεχνικών προδιαγραφών ή άλλων απαιτήσεων ή κανόνων σχετικά με τις υπηρεσίες. Εξαιρούνται οι συγγραφές υποχρεώσεων των δημόσιων συμβάσεων· </w:t>
      </w:r>
    </w:p>
    <w:p w14:paraId="4BEF10A9" w14:textId="77777777">
      <w:pPr>
        <w:pStyle w:val="BodyText"/>
        <w:rPr>
          <w:i/>
        </w:rPr>
      </w:pPr>
    </w:p>
    <w:p w14:paraId="5C79F6B1" w14:textId="7967F579">
      <w:pPr>
        <w:pStyle w:val="P68B1DB1-BodyText11"/>
        <w:numPr>
          <w:ilvl w:val="0"/>
          <w:numId w:val="31"/>
        </w:numPr>
        <w:rPr>
          <w:i/>
        </w:rPr>
      </w:pPr>
      <w:r>
        <w:t xml:space="preserve">οι τεχνικές προδιαγραφές ή άλλες απαιτήσεις ή οι κανόνες περί υπηρεσιών, που συνδέονται με φορολογικά ή οικονομικά μέτρα και επηρεάζουν την κατανάλωση προϊόντων ή υπηρεσιών ενθαρρύνοντας την τήρηση των τεχνικών αυτών προδιαγραφών ή άλλων απαιτήσεων ή κανόνων σχετικά με τις υπηρεσίες· δεν περιλαμβάνονται τεχνικές προδιαγραφές ή άλλες απαιτήσεις ή κανόνες σχετικά με τις υπηρεσίες που συνδέονται με τα εθνικά συστήματα κοινωνικής ασφάλισης. </w:t>
      </w:r>
    </w:p>
    <w:p w14:paraId="712A28B1" w14:textId="77777777">
      <w:pPr>
        <w:pStyle w:val="BodyText"/>
        <w:rPr>
          <w:i/>
        </w:rPr>
      </w:pPr>
    </w:p>
    <w:p w14:paraId="24545D3F" w14:textId="615DFC82">
      <w:pPr>
        <w:pStyle w:val="P68B1DB1-BodyText11"/>
        <w:ind w:left="567"/>
        <w:rPr>
          <w:i/>
        </w:rPr>
      </w:pPr>
      <w:r>
        <w:t xml:space="preserve">Περιλαμβάνονται οι τεχνικοί κανόνες που επιβάλλονται από τις αρχές που ορίζονται από τα κράτη μέλη και περιλαμβάνονται σε κατάλογο που καταρτίζεται και ενημερώνεται, κατά περίπτωση, από την Επιτροπή, στο πλαίσιο της επιτροπής που αναφέρεται στο άρθρο 2.»</w:t>
      </w:r>
    </w:p>
    <w:p w14:paraId="5E87FB40" w14:textId="77777777">
      <w:pPr>
        <w:pStyle w:val="BodyText"/>
        <w:ind w:left="567"/>
        <w:rPr>
          <w:i/>
        </w:rPr>
      </w:pPr>
    </w:p>
    <w:p w14:paraId="5389ED96" w14:textId="0CBC1966">
      <w:pPr>
        <w:pStyle w:val="BodyText"/>
        <w:jc w:val="right"/>
      </w:pPr>
      <w:r>
        <w:t xml:space="preserve">[άρθρο 1 παράγραφος στοιχείο στ) ́, δεύτερη και τρίτη περίοδος, της οδηγίας (ΕΕ) 2015/1535]</w:t>
      </w:r>
    </w:p>
    <w:p w14:paraId="1343FCC6" w14:textId="77777777">
      <w:pPr>
        <w:pStyle w:val="BodyText"/>
        <w:ind w:left="567"/>
        <w:rPr>
          <w:i/>
          <w:iCs/>
          <w:sz w:val="20"/>
        </w:rPr>
      </w:pPr>
    </w:p>
    <w:p w14:paraId="46B01CEE" w14:textId="37C6A676">
      <w:pPr>
        <w:pStyle w:val="P68B1DB1-Normal13"/>
        <w:widowControl w:val="0"/>
        <w:autoSpaceDE w:val="0"/>
        <w:autoSpaceDN w:val="0"/>
        <w:spacing w:after="0" w:line="240" w:lineRule="auto"/>
        <w:jc w:val="both"/>
        <w:outlineLvl w:val="1"/>
      </w:pPr>
      <w:hyperlink r:id="rId66" w:history="1">
        <w:r>
          <w:rPr>
            <w:color w:val="0000FF"/>
            <w:u w:val="single"/>
          </w:rPr>
          <w:t xml:space="preserve">Απόφαση της 20 Μαρτίου 1997</w:t>
        </w:r>
      </w:hyperlink>
      <w:r>
        <w:t xml:space="preserve"> στην υπόθεση C-13/96, Bic Benelux, σκέψεις 23 έως 25</w:t>
      </w:r>
      <w:bookmarkEnd w:id="111"/>
    </w:p>
    <w:p w14:paraId="6D52B9D0" w14:textId="77777777">
      <w:pPr>
        <w:widowControl w:val="0"/>
        <w:tabs>
          <w:tab w:val="left" w:pos="396"/>
          <w:tab w:val="left" w:pos="400"/>
        </w:tabs>
        <w:autoSpaceDE w:val="0"/>
        <w:autoSpaceDN w:val="0"/>
        <w:spacing w:after="0" w:line="240" w:lineRule="auto"/>
        <w:jc w:val="both"/>
        <w:rPr>
          <w:rFonts w:ascii="Times New Roman" w:hAnsi="Times New Roman" w:cs="Times New Roman" w:eastAsia="Times New Roman"/>
          <w:szCs w:val="20"/>
        </w:rPr>
      </w:pPr>
    </w:p>
    <w:p w14:paraId="19AF5B39" w14:textId="5DD94CEA">
      <w:pPr>
        <w:pStyle w:val="P68B1DB1-Normal14"/>
        <w:widowControl w:val="0"/>
        <w:tabs>
          <w:tab w:val="left" w:pos="396"/>
          <w:tab w:val="left" w:pos="400"/>
        </w:tabs>
        <w:autoSpaceDE w:val="0"/>
        <w:autoSpaceDN w:val="0"/>
        <w:spacing w:after="0" w:line="240" w:lineRule="auto"/>
        <w:jc w:val="both"/>
      </w:pPr>
      <w:r>
        <w:t xml:space="preserve">Απαίτηση σήμανσης που αποσκοπεί στην ενημέρωση του καταναλωτή σχετικά με το περιβαλλοντικό αποτύπωμα ορισμένων προϊόντων και συνδέεται με φόρο, αλλά συνιστά τεχνική προδιαγραφή. Δεν μπορεί να θεωρηθεί ότι συνδέεται αποκλειστικά με «φορολογικό μέτρο» και, ως εκ τούτου, δεν εμπίπτει στον ορισμό των «εν τοις πράγμασι τεχνικών κανόνων».</w:t>
      </w:r>
    </w:p>
    <w:p w14:paraId="34416FD0" w14:textId="77777777">
      <w:pPr>
        <w:pStyle w:val="P68B1DB1-Normal15"/>
        <w:widowControl w:val="0"/>
        <w:autoSpaceDE w:val="0"/>
        <w:autoSpaceDN w:val="0"/>
        <w:spacing w:after="0" w:line="240" w:lineRule="auto"/>
        <w:jc w:val="both"/>
      </w:pPr>
    </w:p>
    <w:p w14:paraId="308DB606" w14:textId="777B30B5">
      <w:pPr>
        <w:pStyle w:val="P68B1DB1-Normal15"/>
        <w:widowControl w:val="0"/>
        <w:autoSpaceDE w:val="0"/>
        <w:autoSpaceDN w:val="0"/>
        <w:spacing w:after="0" w:line="240" w:lineRule="auto"/>
        <w:ind w:left="510"/>
        <w:jc w:val="both"/>
      </w:pPr>
      <w:r>
        <w:t xml:space="preserve">«23. [...] πρώτον, η επίμαχη στην κύρια δίκη απαίτηση σημάνσεως συνιστά, κατά τον ορισμό που δίδεται στο άρθρο 1 παράγραφος 5, της οδηγίας 83/189, de jure τεχνικό κανόνα, καθόσον «η τήρησή του [...] είναι υποχρεωτική [...] σε περίπτωση εμπορίας» του οικείου προϊόντος και υπό την έννοια ότι, σύμφωνα με τον ορισμό που δίδεται στο άρθρο 1 παράγραφος 1, αποτελεί τεχνική προδιαγραφή, δεδομένου ότι η εν λόγω διάταξη ορίζει «τα απαιτούμενα χαρακτηριστικά ενός προϊόντος, όπως [...] τις απαιτήσεις που ισχύουν για το προϊόν όσον αφορά [...] τη σήμανση ή την τοποθέτηση ετικέτας». </w:t>
      </w:r>
    </w:p>
    <w:p w14:paraId="05172C30" w14:textId="77777777">
      <w:pPr>
        <w:pStyle w:val="P68B1DB1-Normal15"/>
        <w:widowControl w:val="0"/>
        <w:autoSpaceDE w:val="0"/>
        <w:autoSpaceDN w:val="0"/>
        <w:spacing w:after="0" w:line="240" w:lineRule="auto"/>
        <w:ind w:left="510"/>
        <w:jc w:val="both"/>
      </w:pPr>
    </w:p>
    <w:p w14:paraId="136F7452" w14:textId="4C08810C">
      <w:pPr>
        <w:pStyle w:val="P68B1DB1-Normal15"/>
        <w:widowControl w:val="0"/>
        <w:autoSpaceDE w:val="0"/>
        <w:autoSpaceDN w:val="0"/>
        <w:spacing w:after="0" w:line="240" w:lineRule="auto"/>
        <w:ind w:left="510"/>
        <w:jc w:val="both"/>
      </w:pPr>
      <w:r>
        <w:t xml:space="preserve">24. Δεύτερον, πρέπει να παρατηρηθεί ότι η επίμαχη σήμανση έχει, μεταξύ άλλων, σκοπό να ενημερώνει το κοινό ως προς τις συνέπειες των προϊόντων επί του περιβάλλοντος και ότι η Βελγική Κυβέρνηση επιβεβαίωσε τη σημασία που πρέπει να δοθεί σ’ αυτή την πλευρά των κανόνων περί σημάνσεως. Συνεπώς, ο σκοπός του φόρου οικολογίας, ο οποίος αποβλέπει στην προστασία του περιβάλλοντος, ενισχύεται με τη σήμανση, η οποία, όπως άλλες οικολογικές ετικέτες είτε συνδέονται είτε δεν συνδέονται με φόρους οικολογίας, υπενθυμίζει στους καταναλωτές τις βλαπτικές συνέπειες των περί ων πρόκειται προϊόντων επί του περιβάλλοντος. </w:t>
      </w:r>
    </w:p>
    <w:p w14:paraId="630640E3" w14:textId="77777777">
      <w:pPr>
        <w:pStyle w:val="P68B1DB1-Normal15"/>
        <w:widowControl w:val="0"/>
        <w:autoSpaceDE w:val="0"/>
        <w:autoSpaceDN w:val="0"/>
        <w:spacing w:after="0" w:line="240" w:lineRule="auto"/>
        <w:ind w:left="510"/>
        <w:jc w:val="both"/>
      </w:pPr>
    </w:p>
    <w:p w14:paraId="2F553F93" w14:textId="7D4B80F2">
      <w:pPr>
        <w:pStyle w:val="P68B1DB1-Normal15"/>
        <w:widowControl w:val="0"/>
        <w:autoSpaceDE w:val="0"/>
        <w:autoSpaceDN w:val="0"/>
        <w:spacing w:after="0" w:line="240" w:lineRule="auto"/>
        <w:ind w:left="510"/>
        <w:jc w:val="both"/>
      </w:pPr>
      <w:r>
        <w:t xml:space="preserve">25. Δεδομένου ότι η επίμαχη απαίτηση σημάνσεως ουδόλως μπορεί να θεωρηθεί ως αμιγώς φορολογικό συνοδευτικό μέτρο, δεν συνιστά, επομένως, απαίτηση συνδεόμενη με φορολογικό μέτρο κατά την έννοια του άρθρου 1 παράγραφος 9, δεύτερο εδάφιο, τρίτη περίπτωση, της οδηγίας 83/189, όπως τροποποιήθηκε με την οδηγία 94/10.»</w:t>
      </w:r>
    </w:p>
    <w:p w14:paraId="2A051963" w14:textId="77777777">
      <w:pPr>
        <w:pStyle w:val="BodyText"/>
        <w:rPr>
          <w:i/>
          <w:iCs/>
          <w:sz w:val="20"/>
        </w:rPr>
      </w:pPr>
    </w:p>
    <w:p w14:paraId="0C96C56C" w14:textId="48164FB1">
      <w:pPr>
        <w:pStyle w:val="P68B1DB1-Normal14"/>
        <w:widowControl w:val="0"/>
        <w:autoSpaceDE w:val="0"/>
        <w:autoSpaceDN w:val="0"/>
        <w:spacing w:after="0" w:line="240" w:lineRule="auto"/>
        <w:jc w:val="both"/>
        <w:outlineLvl w:val="1"/>
        <w:rPr>
          <w:b/>
          <w:i/>
        </w:rPr>
      </w:pPr>
      <w:hyperlink r:id="rId67" w:history="1">
        <w:r>
          <w:rPr>
            <w:b/>
            <w:i/>
            <w:color w:val="0000FF"/>
            <w:u w:val="single"/>
          </w:rPr>
          <w:t xml:space="preserve">Απόφαση της 10 Ιουλίου 2014 στην</w:t>
        </w:r>
        <w:r>
          <w:rPr>
            <w:b/>
            <w:i/>
          </w:rPr>
          <w:t xml:space="preserve"> υπόθεση</w:t>
        </w:r>
        <w:r>
          <w:rPr>
            <w:b/>
            <w:i/>
          </w:rPr>
          <w:t xml:space="preserve"> C-307/13,</w:t>
        </w:r>
        <w:r>
          <w:rPr>
            <w:b/>
            <w:i/>
          </w:rPr>
          <w:t xml:space="preserve"> Ivansson κ.λπ.</w:t>
        </w:r>
        <w:r>
          <w:rPr>
            <w:b/>
            <w:i/>
            <w:color w:val="0000FF"/>
            <w:u w:val="single"/>
          </w:rPr>
          <w:t xml:space="preserve">, σκέψεις 30 και 31</w:t>
        </w:r>
      </w:hyperlink>
      <w:bookmarkEnd w:id="112"/>
    </w:p>
    <w:p w14:paraId="0F2071D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ABC0205" w14:textId="0A761A08">
      <w:pPr>
        <w:pStyle w:val="P68B1DB1-Normal14"/>
        <w:widowControl w:val="0"/>
        <w:tabs>
          <w:tab w:val="left" w:pos="396"/>
          <w:tab w:val="left" w:pos="407"/>
        </w:tabs>
        <w:autoSpaceDE w:val="0"/>
        <w:autoSpaceDN w:val="0"/>
        <w:spacing w:after="0" w:line="240" w:lineRule="auto"/>
        <w:jc w:val="both"/>
      </w:pPr>
      <w:r>
        <w:t xml:space="preserve">Η αναφορά σε λεπτομερείς διοικητικούς κανόνες που περιέχουν «τεχνικές προδιαγραφές» ή «άλλες απαιτήσεις» μπορεί να προσδώσει σε σχέδιο νόμου τον χαρακτήρα «de facto τεχνικού κανόνα».</w:t>
      </w:r>
    </w:p>
    <w:p w14:paraId="49A66D81" w14:textId="77777777">
      <w:pPr>
        <w:widowControl w:val="0"/>
        <w:tabs>
          <w:tab w:val="left" w:pos="396"/>
          <w:tab w:val="left" w:pos="407"/>
        </w:tabs>
        <w:autoSpaceDE w:val="0"/>
        <w:autoSpaceDN w:val="0"/>
        <w:spacing w:after="0" w:line="240" w:lineRule="auto"/>
        <w:jc w:val="both"/>
        <w:rPr>
          <w:rFonts w:ascii="Times New Roman" w:hAnsi="Times New Roman" w:cs="Times New Roman" w:eastAsia="Times New Roman"/>
          <w:szCs w:val="20"/>
        </w:rPr>
      </w:pPr>
    </w:p>
    <w:p w14:paraId="5AA4573D" w14:textId="6BC7CE32">
      <w:pPr>
        <w:pStyle w:val="P68B1DB1-Normal15"/>
        <w:widowControl w:val="0"/>
        <w:tabs>
          <w:tab w:val="left" w:pos="396"/>
          <w:tab w:val="left" w:pos="407"/>
        </w:tabs>
        <w:autoSpaceDE w:val="0"/>
        <w:autoSpaceDN w:val="0"/>
        <w:spacing w:after="0" w:line="240" w:lineRule="auto"/>
        <w:ind w:left="567"/>
        <w:jc w:val="both"/>
        <w:rPr>
          <w:iCs/>
        </w:rPr>
      </w:pPr>
      <w:r>
        <w:t xml:space="preserve">«30. [...] πρέπει να γίνει δεκτό ότι, μολονότι </w:t>
      </w:r>
      <w:r>
        <w:rPr>
          <w:i w:val="0"/>
        </w:rPr>
        <w:t xml:space="preserve">το εν λόγω άρθρο [του εθνικού δικαίου]</w:t>
      </w:r>
      <w:r>
        <w:t xml:space="preserve"> δεν συνιστά αυτό καθαυτό τεχνικό κανόνα, στο δεύτερο εδάφιό του παραπέμπει σε συμπληρωματικές διατάξεις σχετικά με την εκτροφή ορνίθων, οι οποίες θα ανακοινωθούν μεταγενέστερα από το συμβούλιο γεωργίας.</w:t>
      </w:r>
    </w:p>
    <w:p w14:paraId="6DB3B6F8" w14:textId="77777777">
      <w:pPr>
        <w:pStyle w:val="P68B1DB1-Normal15"/>
        <w:widowControl w:val="0"/>
        <w:tabs>
          <w:tab w:val="left" w:pos="396"/>
          <w:tab w:val="left" w:pos="407"/>
        </w:tabs>
        <w:autoSpaceDE w:val="0"/>
        <w:autoSpaceDN w:val="0"/>
        <w:spacing w:after="0" w:line="240" w:lineRule="auto"/>
        <w:ind w:left="567"/>
        <w:jc w:val="both"/>
        <w:rPr>
          <w:iCs/>
        </w:rPr>
      </w:pPr>
    </w:p>
    <w:p w14:paraId="7D1833D5" w14:textId="7451C7D7">
      <w:pPr>
        <w:pStyle w:val="P68B1DB1-Normal15"/>
        <w:widowControl w:val="0"/>
        <w:tabs>
          <w:tab w:val="left" w:pos="396"/>
          <w:tab w:val="left" w:pos="407"/>
        </w:tabs>
        <w:autoSpaceDE w:val="0"/>
        <w:autoSpaceDN w:val="0"/>
        <w:spacing w:after="0" w:line="240" w:lineRule="auto"/>
        <w:ind w:left="567"/>
        <w:jc w:val="both"/>
        <w:rPr>
          <w:iCs/>
        </w:rPr>
      </w:pPr>
      <w:r>
        <w:t xml:space="preserve">31. Μια τέτοια αναφορά σε λεπτομερέστερους διοικητικούς κανόνες μπορεί, υπό την προϋπόθεση ότι οι κανόνες αυτοί μπορούν να θεωρηθούν ως «τεχνικές προδιαγραφές» ή «άλλες απαιτήσεις», να προσδώσει την ιδιότητα του «de facto τεχνικού κανόνα» στο άρθρο 9 του DSF, σύμφωνα με το άρθρο 1 παράγραφος 11, πρώτη περίπτωση, της οδηγίας 98/34.»</w:t>
      </w:r>
    </w:p>
    <w:p w14:paraId="770077A5" w14:textId="77777777">
      <w:pPr>
        <w:pStyle w:val="BodyText"/>
        <w:rPr>
          <w:i/>
          <w:iCs/>
          <w:sz w:val="20"/>
        </w:rPr>
      </w:pPr>
    </w:p>
    <w:p w14:paraId="0CF29864" w14:textId="5F056C69">
      <w:pPr>
        <w:pStyle w:val="P68B1DB1-Normal13"/>
        <w:widowControl w:val="0"/>
        <w:autoSpaceDE w:val="0"/>
        <w:autoSpaceDN w:val="0"/>
        <w:spacing w:after="0" w:line="240" w:lineRule="auto"/>
        <w:jc w:val="both"/>
        <w:outlineLvl w:val="1"/>
      </w:pPr>
      <w:hyperlink r:id="rId68" w:anchor="ctx1" w:history="1">
        <w:r>
          <w:rPr>
            <w:color w:val="0000FF"/>
            <w:u w:val="single"/>
          </w:rPr>
          <w:t xml:space="preserve">Απόφαση της 11 Ιουνίου 2015</w:t>
        </w:r>
      </w:hyperlink>
      <w:r>
        <w:t xml:space="preserve"> στην υπόθεση C-98/14, Berlington Hungary κ.λπ., σκέψεις 95 έως 97</w:t>
      </w:r>
      <w:bookmarkEnd w:id="113"/>
    </w:p>
    <w:p w14:paraId="51CCE70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CC8DCCD" w14:textId="152D2442">
      <w:pPr>
        <w:pStyle w:val="P68B1DB1-Normal14"/>
        <w:widowControl w:val="0"/>
        <w:tabs>
          <w:tab w:val="left" w:pos="396"/>
          <w:tab w:val="left" w:pos="398"/>
        </w:tabs>
        <w:autoSpaceDE w:val="0"/>
        <w:autoSpaceDN w:val="0"/>
        <w:spacing w:after="0" w:line="240" w:lineRule="auto"/>
        <w:jc w:val="both"/>
      </w:pPr>
      <w:r>
        <w:t xml:space="preserve">Εθνικές διατάξεις οι οποίες πολλαπλασιάζουν επί πέντε τον φόρο που επιβάλλεται στα μηχανήματα τυχερών παιγνίων που λειτουργούν στις αίθουσες παιγνίων και εισάγουν επίσης αναλογικό φόρο επί της δραστηριότητας αυτής δεν συνιστούν «de facto τεχνικούς κανόνες», δεδομένου ότι πρόκειται για φορολογικές διατάξεις και όχι για «τεχνικές προδιαγραφές συνδεόμενες με φορολογικό κανόνα» κατά την έννοια της οδηγίας.</w:t>
      </w:r>
    </w:p>
    <w:p w14:paraId="00CB80B7" w14:textId="77777777">
      <w:pPr>
        <w:widowControl w:val="0"/>
        <w:tabs>
          <w:tab w:val="left" w:pos="396"/>
          <w:tab w:val="left" w:pos="449"/>
        </w:tabs>
        <w:autoSpaceDE w:val="0"/>
        <w:autoSpaceDN w:val="0"/>
        <w:spacing w:after="0" w:line="240" w:lineRule="auto"/>
        <w:jc w:val="both"/>
        <w:rPr>
          <w:rFonts w:ascii="Times New Roman" w:hAnsi="Times New Roman" w:cs="Times New Roman" w:eastAsia="Times New Roman"/>
          <w:i/>
          <w:iCs/>
          <w:sz w:val="20"/>
          <w:szCs w:val="16"/>
        </w:rPr>
      </w:pPr>
    </w:p>
    <w:p w14:paraId="5DBF183B" w14:textId="70A7203F">
      <w:pPr>
        <w:pStyle w:val="P68B1DB1-Normal15"/>
        <w:widowControl w:val="0"/>
        <w:tabs>
          <w:tab w:val="left" w:pos="396"/>
          <w:tab w:val="left" w:pos="449"/>
        </w:tabs>
        <w:autoSpaceDE w:val="0"/>
        <w:autoSpaceDN w:val="0"/>
        <w:spacing w:after="0" w:line="240" w:lineRule="auto"/>
        <w:ind w:left="567"/>
        <w:jc w:val="both"/>
      </w:pPr>
      <w:r>
        <w:t xml:space="preserve">«95. Κατά το άρθρο 1 παράγραφος 11, τρίτη περίπτωση, της οδηγίας αυτής, οι «τεχνικοί κανόνες εν τοις πράγμασι», κατά την έννοια της διατάξεως αυτής, συνίστανται σε «τεχνικές προδιαγραφές ή άλλες απαιτήσεις ή κανόνες σχετικά με τις υπηρεσίες που συνδέονται με φορολογικά ή οικονομικά μέτρα τα οποία επηρεάζουν την κατανάλωση προϊόντων ή υπηρεσιών ενθαρρύνοντας την τήρηση αυτών των τεχνικών προδιαγραφών ή άλλων απαιτήσεων ή κανόνων σχετικά με τις υπηρεσίες».</w:t>
      </w:r>
    </w:p>
    <w:p w14:paraId="07116B99" w14:textId="77777777">
      <w:pPr>
        <w:pStyle w:val="P68B1DB1-Normal15"/>
        <w:widowControl w:val="0"/>
        <w:tabs>
          <w:tab w:val="left" w:pos="396"/>
          <w:tab w:val="left" w:pos="449"/>
        </w:tabs>
        <w:autoSpaceDE w:val="0"/>
        <w:autoSpaceDN w:val="0"/>
        <w:spacing w:after="0" w:line="240" w:lineRule="auto"/>
        <w:ind w:left="567"/>
        <w:jc w:val="both"/>
      </w:pPr>
    </w:p>
    <w:p w14:paraId="42599018" w14:textId="2DFE2CF5">
      <w:pPr>
        <w:pStyle w:val="P68B1DB1-Normal15"/>
        <w:widowControl w:val="0"/>
        <w:tabs>
          <w:tab w:val="left" w:pos="396"/>
          <w:tab w:val="left" w:pos="449"/>
        </w:tabs>
        <w:autoSpaceDE w:val="0"/>
        <w:autoSpaceDN w:val="0"/>
        <w:spacing w:after="0" w:line="240" w:lineRule="auto"/>
        <w:ind w:left="567"/>
        <w:jc w:val="both"/>
      </w:pPr>
      <w:r>
        <w:t xml:space="preserve">96. Από τη διατύπωση αυτή προκύπτει ότι ως «τεχνικοί κανόνες de facto» νοούνται όχι τα ίδια τα φορολογικά μέτρα, αλλά οι τεχνικές προδιαγραφές ή άλλες απαιτήσεις που συνδέονται με αυτά.</w:t>
      </w:r>
    </w:p>
    <w:p w14:paraId="00F9B573" w14:textId="77777777">
      <w:pPr>
        <w:pStyle w:val="P68B1DB1-Normal15"/>
        <w:widowControl w:val="0"/>
        <w:tabs>
          <w:tab w:val="left" w:pos="396"/>
          <w:tab w:val="left" w:pos="449"/>
        </w:tabs>
        <w:autoSpaceDE w:val="0"/>
        <w:autoSpaceDN w:val="0"/>
        <w:spacing w:after="0" w:line="240" w:lineRule="auto"/>
        <w:ind w:left="567"/>
        <w:jc w:val="both"/>
      </w:pPr>
    </w:p>
    <w:p w14:paraId="60E2105A" w14:textId="6B2A54B5">
      <w:pPr>
        <w:pStyle w:val="P68B1DB1-Normal15"/>
        <w:widowControl w:val="0"/>
        <w:tabs>
          <w:tab w:val="left" w:pos="396"/>
          <w:tab w:val="left" w:pos="449"/>
        </w:tabs>
        <w:autoSpaceDE w:val="0"/>
        <w:autoSpaceDN w:val="0"/>
        <w:spacing w:after="0" w:line="240" w:lineRule="auto"/>
        <w:ind w:left="567"/>
        <w:jc w:val="both"/>
        <w:rPr>
          <w:iCs/>
        </w:rPr>
      </w:pPr>
      <w:r>
        <w:t xml:space="preserve">97. Ως εκ τούτου, φορολογική ρύθμιση όπως η επίμαχη στην κύρια δίκη, η οποία δεν συνοδεύεται από καμία τεχνική προδιαγραφή ή άλλη απαίτηση με την οποία υποτίθεται ότι διασφαλίζει την τήρησή της, δεν μπορεί να χαρακτηριστεί ως «τεχνικός κανόνας de facto».</w:t>
      </w:r>
    </w:p>
    <w:p w14:paraId="37BAFBC9" w14:textId="77777777">
      <w:pPr>
        <w:pStyle w:val="BodyText"/>
        <w:rPr>
          <w:i/>
          <w:iCs/>
          <w:sz w:val="20"/>
        </w:rPr>
      </w:pPr>
    </w:p>
    <w:p w14:paraId="7274149C" w14:textId="5D545442">
      <w:pPr>
        <w:pStyle w:val="P68B1DB1-Normal13"/>
        <w:widowControl w:val="0"/>
        <w:autoSpaceDE w:val="0"/>
        <w:autoSpaceDN w:val="0"/>
        <w:spacing w:after="0" w:line="240" w:lineRule="auto"/>
        <w:jc w:val="both"/>
        <w:outlineLvl w:val="1"/>
      </w:pPr>
      <w:hyperlink r:id="rId69" w:history="1">
        <w:r>
          <w:rPr>
            <w:color w:val="0000FF"/>
            <w:u w:val="single"/>
          </w:rPr>
          <w:t xml:space="preserve">Απόφαση της 8 Οκτωβρίου 2020</w:t>
        </w:r>
      </w:hyperlink>
      <w:r>
        <w:t xml:space="preserve">, Admiral Sportwetten κ.λπ. (σκέψεις 38 και 41)</w:t>
      </w:r>
      <w:bookmarkEnd w:id="114"/>
    </w:p>
    <w:p w14:paraId="6A479E47"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szCs w:val="20"/>
        </w:rPr>
      </w:pPr>
    </w:p>
    <w:p w14:paraId="58900280" w14:textId="5B06B273">
      <w:pPr>
        <w:pStyle w:val="P68B1DB1-Normal14"/>
        <w:widowControl w:val="0"/>
        <w:tabs>
          <w:tab w:val="left" w:pos="537"/>
          <w:tab w:val="left" w:pos="539"/>
        </w:tabs>
        <w:autoSpaceDE w:val="0"/>
        <w:autoSpaceDN w:val="0"/>
        <w:spacing w:after="0" w:line="240" w:lineRule="auto"/>
        <w:jc w:val="both"/>
      </w:pPr>
      <w:r>
        <w:t xml:space="preserve">Η φορολογική νομοθεσία, η οποία δεν συνοδεύεται από καμία «τεχνική προδιαγραφή» ή οποιαδήποτε άλλη απαίτηση προς την οποία αποσκοπεί να εξασφαλίσει την τήρηση, δεν μπορεί να χαρακτηριστεί ως «τεχνικός κανόνας de facto». Επομένως, εθνική φορολογική ρύθμιση η οποία προβλέπει τη φορολόγηση της εκμεταλλεύσεως μηχανημάτων αθλητικών στοιχημάτων δεν συνιστά «τεχνικό κανόνα».</w:t>
      </w:r>
    </w:p>
    <w:p w14:paraId="27BCDA3E"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i/>
          <w:iCs/>
          <w:sz w:val="20"/>
          <w:szCs w:val="16"/>
        </w:rPr>
      </w:pPr>
    </w:p>
    <w:p w14:paraId="130D4C07" w14:textId="276A8931">
      <w:pPr>
        <w:pStyle w:val="P68B1DB1-Normal15"/>
        <w:widowControl w:val="0"/>
        <w:tabs>
          <w:tab w:val="left" w:pos="537"/>
          <w:tab w:val="left" w:pos="539"/>
        </w:tabs>
        <w:autoSpaceDE w:val="0"/>
        <w:autoSpaceDN w:val="0"/>
        <w:spacing w:after="0" w:line="240" w:lineRule="auto"/>
        <w:ind w:left="567"/>
        <w:jc w:val="both"/>
        <w:rPr>
          <w:iCs/>
        </w:rPr>
      </w:pPr>
      <w:r>
        <w:t xml:space="preserve">«38. [...] όσον αφορά τους εν τοις πράγμασι τεχνικούς κανόνες κατά την έννοια του άρθρου 1 παράγραφος στοιχείο στ) ́, σημείο iii, της οδηγίας 2015/1535, το Δικαστήριο έχει κρίνει ότι η φορολογική νομοθεσία, η οποία δεν συνοδεύεται από καμία τεχνική προδιαγραφή ή άλλη απαίτηση με την οποία φέρεται να εξασφαλίζει την τήρησή της, δεν μπορεί να χαρακτηριστεί ως «τεχνικός κανόνας de facto» (πρβλ. απόφαση της 11 Ιουνίου 2015, Berlington Hungary κ.λπ., C</w:t>
        <w:noBreakHyphen/>
        <w:t xml:space="preserve">98/14, σκέψη 97).»</w:t>
      </w:r>
    </w:p>
    <w:p w14:paraId="002A514F" w14:textId="77777777">
      <w:pPr>
        <w:widowControl w:val="0"/>
        <w:tabs>
          <w:tab w:val="left" w:pos="537"/>
          <w:tab w:val="left" w:pos="539"/>
        </w:tabs>
        <w:autoSpaceDE w:val="0"/>
        <w:autoSpaceDN w:val="0"/>
        <w:spacing w:after="0" w:line="240" w:lineRule="auto"/>
        <w:ind w:left="567"/>
        <w:jc w:val="both"/>
        <w:rPr>
          <w:rFonts w:ascii="Times New Roman" w:hAnsi="Times New Roman" w:cs="Times New Roman" w:eastAsia="Times New Roman"/>
          <w:i/>
          <w:iCs/>
          <w:sz w:val="20"/>
          <w:szCs w:val="16"/>
        </w:rPr>
      </w:pPr>
    </w:p>
    <w:p w14:paraId="727DEFFB" w14:textId="18B04311">
      <w:pPr>
        <w:pStyle w:val="P68B1DB1-Normal15"/>
        <w:widowControl w:val="0"/>
        <w:tabs>
          <w:tab w:val="left" w:pos="537"/>
          <w:tab w:val="left" w:pos="539"/>
        </w:tabs>
        <w:autoSpaceDE w:val="0"/>
        <w:autoSpaceDN w:val="0"/>
        <w:spacing w:after="0" w:line="240" w:lineRule="auto"/>
        <w:ind w:left="567"/>
        <w:jc w:val="both"/>
        <w:rPr>
          <w:iCs/>
        </w:rPr>
      </w:pPr>
      <w:r>
        <w:t>«</w:t>
      </w:r>
      <w:bookmarkStart w:id="115" w:name="point41"/>
      <w:r>
        <w:t>41</w:t>
      </w:r>
      <w:bookmarkEnd w:id="115"/>
      <w:r>
        <w:t xml:space="preserve">. Κατά συνέπεια, λαμβανομένου υπόψη του συνόλου των ανωτέρω σκέψεων, στο πρώτο προδικαστικό ερώτημα πρέπει να δοθεί η απάντηση ότι το άρθρο 1 της οδηγίας 2015/1535 έχει την έννοια ότι εθνικός φορολογικός κανόνας ο οποίος προβλέπει τη φορολόγηση της εκμεταλλεύσεως τερματικών στοιχημάτων δεν συνιστά «τεχνικό κανόνα» κατά την έννοια του άρθρου αυτού.»</w:t>
      </w:r>
    </w:p>
    <w:p w14:paraId="5C076B9C" w14:textId="77777777">
      <w:pPr>
        <w:pStyle w:val="BodyText"/>
        <w:rPr>
          <w:i/>
          <w:iCs/>
          <w:sz w:val="20"/>
        </w:rPr>
      </w:pPr>
    </w:p>
    <w:p w14:paraId="5F483606" w14:textId="4F0BCA00">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70" w:history="1">
        <w:r>
          <w:rPr>
            <w:rStyle w:val="Hyperlink"/>
            <w:rFonts w:ascii="Times New Roman" w:hAnsi="Times New Roman" w:cs="Times New Roman" w:eastAsia="Times New Roman"/>
            <w:b/>
            <w:i/>
            <w:color w:val="0000FF"/>
            <w:szCs w:val="20"/>
          </w:rPr>
          <w:t xml:space="preserve">Απόφαση της 22 Δεκεμβρίου 2022</w:t>
        </w:r>
      </w:hyperlink>
      <w:r>
        <w:rPr>
          <w:rFonts w:ascii="Times New Roman" w:hAnsi="Times New Roman" w:cs="Times New Roman" w:eastAsia="Times New Roman"/>
          <w:b/>
          <w:i/>
          <w:szCs w:val="20"/>
        </w:rPr>
        <w:t xml:space="preserve">, Airbnb Ireland και Airbnb Payments UK,</w:t>
        <w:noBreakHyphen/>
        <w:t xml:space="preserve">C 83/21, σκέψεις 29 και 30.</w:t>
      </w:r>
      <w:bookmarkEnd w:id="116"/>
    </w:p>
    <w:p w14:paraId="704D5C25"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szCs w:val="20"/>
        </w:rPr>
      </w:pPr>
    </w:p>
    <w:p w14:paraId="1AD7B89C" w14:textId="00C14D39">
      <w:pPr>
        <w:widowControl w:val="0"/>
        <w:tabs>
          <w:tab w:val="left" w:pos="537"/>
          <w:tab w:val="left" w:pos="539"/>
        </w:tabs>
        <w:autoSpaceDE w:val="0"/>
        <w:autoSpaceDN w:val="0"/>
        <w:spacing w:after="0" w:line="240" w:lineRule="auto"/>
        <w:jc w:val="both"/>
        <w:rPr>
          <w:rFonts w:ascii="Times New Roman" w:hAnsi="Times New Roman" w:cs="Times New Roman" w:eastAsia="Times New Roman"/>
          <w:szCs w:val="20"/>
        </w:rPr>
        <w:pStyle w:val="P68B1DB1-Normal14"/>
      </w:pPr>
      <w:r>
        <w:t xml:space="preserve">Μια ρύθμιση φορολογικού χαρακτήρα δεν μπορεί, αυτή καθαυτή, να χαρακτηριστεί ως «τεχνικός κανόνας de facto».</w:t>
      </w:r>
    </w:p>
    <w:p w14:paraId="19FFADF5"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i/>
          <w:iCs/>
          <w:sz w:val="20"/>
          <w:szCs w:val="16"/>
        </w:rPr>
      </w:pPr>
    </w:p>
    <w:p w14:paraId="7EE5EF44" w14:textId="19450D26">
      <w:pPr>
        <w:pStyle w:val="P68B1DB1-BodyText19"/>
        <w:ind w:left="567"/>
      </w:pPr>
      <w:r>
        <w:t xml:space="preserve">«29. Όσον αφορά, τρίτον, την οδηγία 2015/1535, επισημαίνεται ότι αυτή αφορά «τη Συνθήκη [ΛΕΕ], και ιδίως τα άρθρα της 114, 337 και 43». Μπορεί, επομένως, να επισημανθεί εκ προοιμίου ότι η εξαίρεση που προβλέπεται στο άρθρο 114 παράγραφος 2, ΣΛΕΕ σχετικά με τις «φορολογικές διατάξεις» έχει εφαρμογή και όσον αφορά την οδηγία αυτή, για τους λόγους που εκτέθηκαν στη σκέψη 25 της παρούσας αποφάσεως.</w:t>
      </w:r>
    </w:p>
    <w:p w14:paraId="5619063A" w14:textId="77777777">
      <w:pPr>
        <w:pStyle w:val="P68B1DB1-BodyText19"/>
        <w:ind w:left="567"/>
      </w:pPr>
    </w:p>
    <w:p w14:paraId="43BD732D" w14:textId="6B6E6B11">
      <w:pPr>
        <w:pStyle w:val="P68B1DB1-BodyText19"/>
        <w:ind w:left="567"/>
        <w:rPr>
          <w:iCs/>
        </w:rPr>
      </w:pPr>
      <w:r>
        <w:t xml:space="preserve">30. Επιπλέον, το περιεχόμενο της οδηγίας 2015/1535 επιβεβαιώνει εμμέσως την εξαίρεση των «φορολογικών διατάξεων» από το πεδίο εφαρμογής της, καθόσον στο άρθρο 1 παράγραφος στοιχείο στ) ́, σημείο iii, της οδηγίας αυτής αναφέρονται ρητώς, μεταξύ των de facto τεχνικών κανόνων, οι τεχνικές προδιαγραφές ή άλλες απαιτήσεις ή οι κανόνες περί υπηρεσιών «που συνδέονται με φορολογικά ή οικονομικά μέτρα». Ως εκ τούτου, δεν πρόκειται για πραγματικά φορολογικά μέτρα, αλλά μόνο για μέτρα που συνδέονται με φορολογικά μέτρα (βλ., υπό την έννοια αυτή, απόφαση της 8 Οκτωβρίου 2020, Admiral Sportwetten κ.λπ., C-711/19, Ă, σκέψη 38)· ως εκ τούτου, οι τελευταίες παραμένουν, αυτές καθαυτές, εκτός του πεδίου εφαρμογής της εν λόγω οδηγίας.»</w:t>
      </w:r>
    </w:p>
    <w:p w14:paraId="5775DA65" w14:textId="01ED6DBB">
      <w:pPr>
        <w:pStyle w:val="P68B1DB1-Normal4"/>
        <w:spacing w:after="0" w:line="240" w:lineRule="auto"/>
        <w:rPr>
          <w:rFonts w:ascii="Times New Roman" w:hAnsi="Times New Roman" w:cs="Times New Roman" w:eastAsia="Times New Roman"/>
          <w:i/>
          <w:iCs/>
          <w:szCs w:val="20"/>
        </w:rPr>
      </w:pPr>
      <w:r>
        <w:br w:type="page"/>
      </w:r>
    </w:p>
    <w:p w14:paraId="5F7E7C6E" w14:textId="032BD921">
      <w:pPr>
        <w:pStyle w:val="P68B1DB1-Heading24"/>
        <w:numPr>
          <w:ilvl w:val="0"/>
          <w:numId w:val="35"/>
        </w:numPr>
        <w:spacing w:before="0" w:after="0"/>
        <w:jc w:val="center"/>
        <w:rPr>
          <w:bCs/>
          <w:color w:val="auto"/>
        </w:rPr>
      </w:pPr>
      <w:bookmarkStart w:id="117" w:name="_Ref196314231"/>
      <w:bookmarkStart w:id="118" w:name="_Ref194484613"/>
      <w:bookmarkStart w:id="119" w:name="_Toc203035672"/>
      <w:r>
        <w:t xml:space="preserve">Εξαιρούμενα θέματα</w:t>
      </w:r>
      <w:bookmarkEnd w:id="117"/>
      <w:bookmarkEnd w:id="118"/>
      <w:bookmarkEnd w:id="119"/>
    </w:p>
    <w:p w14:paraId="1278603B" w14:textId="77777777">
      <w:pPr>
        <w:pStyle w:val="BodyText"/>
        <w:rPr>
          <w:b/>
          <w:bCs/>
        </w:rPr>
      </w:pPr>
    </w:p>
    <w:p w14:paraId="1B32B976" w14:textId="77777777">
      <w:pPr>
        <w:pStyle w:val="P68B1DB1-BodyText11"/>
        <w:ind w:left="567"/>
      </w:pPr>
      <w:r>
        <w:t xml:space="preserve">«2. Από την παρούσα οδηγία δεν καλύπτονται: </w:t>
      </w:r>
    </w:p>
    <w:p w14:paraId="04019AF2" w14:textId="77777777">
      <w:pPr>
        <w:pStyle w:val="P68B1DB1-BodyText11"/>
        <w:ind w:left="1287" w:firstLine="153"/>
      </w:pPr>
      <w:r>
        <w:t xml:space="preserve">α) υπηρεσίες ραδιοφωνικής μετάδοσης· </w:t>
      </w:r>
    </w:p>
    <w:p w14:paraId="1EADA741" w14:textId="108B47F0">
      <w:pPr>
        <w:pStyle w:val="P68B1DB1-BodyText11"/>
        <w:ind w:left="1440"/>
      </w:pPr>
      <w:r>
        <w:t xml:space="preserve">β) υπηρεσίες τηλεοπτικής μετάδοσης που καλύπτονται από το άρθρο 1 παράγραφος 1 στοιχείο ε) της οδηγίας 2010/13/ΕΕ του Ευρωπαϊκού Κοινοβουλίου και του Συμβουλίου (1). </w:t>
      </w:r>
    </w:p>
    <w:p w14:paraId="7DD31811" w14:textId="77777777">
      <w:pPr>
        <w:pStyle w:val="P68B1DB1-BodyText11"/>
        <w:ind w:left="567"/>
      </w:pPr>
    </w:p>
    <w:p w14:paraId="21C04911" w14:textId="0885ED27">
      <w:pPr>
        <w:pStyle w:val="P68B1DB1-BodyText11"/>
        <w:ind w:left="567"/>
      </w:pPr>
      <w:r>
        <w:t xml:space="preserve">3. Η παρούσα οδηγία δεν εφαρμόζεται σε κανόνες που αφορούν θέματα τα οποία καλύπτονται από την ενωσιακή νομοθεσία στον τομέα των τηλεπικοινωνιακών υπηρεσιών, όπως καλύπτεται από την οδηγία 2002/21/ΕΚ του Ευρωπαϊκού Κοινοβουλίου και του Συμβουλίου (2). </w:t>
      </w:r>
    </w:p>
    <w:p w14:paraId="14E66827" w14:textId="77777777">
      <w:pPr>
        <w:pStyle w:val="P68B1DB1-BodyText11"/>
        <w:ind w:left="567"/>
      </w:pPr>
    </w:p>
    <w:p w14:paraId="21D3AD3B" w14:textId="663656A4">
      <w:pPr>
        <w:pStyle w:val="P68B1DB1-BodyText11"/>
        <w:ind w:left="567"/>
      </w:pPr>
      <w:r>
        <w:t xml:space="preserve">4. Η παρούσα οδηγία δεν εφαρμόζεται σε κανόνες που αφορούν θέματα που καλύπτονται από την ενωσιακή νομοθεσία στον τομέα των χρηματοπιστωτικών υπηρεσιών, όπως απαριθμούνται ενδεικτικά στο παράρτημα ΙΙ της παρούσας οδηγίας. </w:t>
      </w:r>
    </w:p>
    <w:p w14:paraId="0E58960E" w14:textId="77777777">
      <w:pPr>
        <w:pStyle w:val="P68B1DB1-BodyText11"/>
        <w:ind w:left="567"/>
      </w:pPr>
    </w:p>
    <w:p w14:paraId="66AEA247" w14:textId="77777777">
      <w:pPr>
        <w:pStyle w:val="P68B1DB1-BodyText11"/>
        <w:ind w:left="567"/>
      </w:pPr>
      <w:r>
        <w:t xml:space="preserve">5. Με εξαίρεση το άρθρο 5 παράγραφος 3, η παρούσα οδηγία δεν εφαρμόζεται στους κανόνες που θεσπίζονται από ή για ρυθμιζόμενες αγορές κατά την έννοια της οδηγίας 2004/39/ΕΚ του Ευρωπαϊκού Κοινοβουλίου και του Συμβουλίου (3) ή από ή για άλλες αγορές ή οργανισμούς που εκτελούν καθήκοντα εκκαθάρισης ή διακανονισμού για τις εν λόγω αγορές.</w:t>
      </w:r>
    </w:p>
    <w:p w14:paraId="5D510CB9" w14:textId="77777777">
      <w:pPr>
        <w:pStyle w:val="P68B1DB1-BodyText11"/>
        <w:ind w:left="567"/>
      </w:pPr>
    </w:p>
    <w:p w14:paraId="70E3F74F" w14:textId="117D7E99">
      <w:pPr>
        <w:pStyle w:val="P68B1DB1-BodyText11"/>
        <w:ind w:left="567"/>
      </w:pPr>
      <w:r>
        <w:t xml:space="preserve">6. Η παρούσα οδηγία δεν ισχύει για τα μέτρα που τα κράτη μέλη κρίνουν αναγκαία στο πλαίσιο των Συνθηκών προκειμένου να εξασφαλίσουν την προστασία του κοινού, και ιδιαίτερα των εργαζομένων, κατά τη χρήση προϊόντων, εφόσον τα μέτρα αυτά δεν επηρεάζουν τα προϊόντα.</w:t>
      </w:r>
    </w:p>
    <w:p w14:paraId="24FE75EA" w14:textId="77777777">
      <w:pPr>
        <w:pStyle w:val="P68B1DB1-BodyText11"/>
        <w:ind w:left="567"/>
      </w:pPr>
    </w:p>
    <w:p w14:paraId="74938EC0" w14:textId="5965F3C9">
      <w:pPr>
        <w:pStyle w:val="BodyText"/>
        <w:ind w:left="1080"/>
        <w:jc w:val="right"/>
      </w:pPr>
      <w:r>
        <w:t xml:space="preserve">(Άρθρο 1 παράγραφος 2 έως (6) της οδηγίας (ΕΕ) 2015/1535)</w:t>
      </w:r>
    </w:p>
    <w:p w14:paraId="2BAD670C" w14:textId="77777777">
      <w:pPr>
        <w:pStyle w:val="BodyText"/>
        <w:rPr>
          <w:i/>
          <w:iCs/>
          <w:sz w:val="20"/>
        </w:rPr>
      </w:pPr>
    </w:p>
    <w:p w14:paraId="0C974BBF" w14:textId="3B58908A">
      <w:pPr>
        <w:pStyle w:val="P68B1DB1-BodyText23"/>
        <w:ind w:left="567"/>
        <w:rPr>
          <w:iCs/>
        </w:rPr>
      </w:pPr>
      <w:r>
        <w:t xml:space="preserve">«“τηλεοπτική εκπομπή” ή “τηλεοπτική εκπομπή” (δηλαδή γραμμική υπηρεσία οπτικοακουστικών μέσων): υπηρεσία οπτικοακουστικών μέσων που παρέχεται από πάροχο υπηρεσιών οπτικοακουστικών μέσων για ταυτόχρονη παρακολούθηση προγραμμάτων βάσει προγράμματος·»</w:t>
      </w:r>
    </w:p>
    <w:p w14:paraId="68D48BC5" w14:textId="77777777">
      <w:pPr>
        <w:pStyle w:val="BodyText"/>
        <w:ind w:left="567"/>
        <w:rPr>
          <w:i/>
          <w:iCs/>
          <w:szCs w:val="24"/>
        </w:rPr>
      </w:pPr>
    </w:p>
    <w:p w14:paraId="1E9F9AD6" w14:textId="648E8643">
      <w:pPr>
        <w:pStyle w:val="BodyText"/>
        <w:ind w:left="1080"/>
        <w:jc w:val="right"/>
      </w:pPr>
      <w:r>
        <w:t xml:space="preserve">(Άρθρο 1 παράγραφος στοιχείο ε) της οδηγίας 2010/13/ΕΕ)</w:t>
      </w:r>
    </w:p>
    <w:p w14:paraId="13E3D11F" w14:textId="77777777">
      <w:pPr>
        <w:pStyle w:val="BodyText"/>
        <w:ind w:left="1080"/>
        <w:jc w:val="right"/>
      </w:pPr>
    </w:p>
    <w:p w14:paraId="6E0ADBB8" w14:textId="55100584">
      <w:pPr>
        <w:pStyle w:val="P68B1DB1-BodyText11"/>
        <w:jc w:val="center"/>
        <w:rPr>
          <w:i/>
        </w:rPr>
      </w:pPr>
      <w:r>
        <w:t xml:space="preserve">Ενδεικτικός κατάλογος χρηματοπιστωτικών υπηρεσιών που αναφέρονται στο άρθρο 1 παράγραφος 4</w:t>
      </w:r>
    </w:p>
    <w:p w14:paraId="25F72A02" w14:textId="77777777">
      <w:pPr>
        <w:pStyle w:val="BodyText"/>
        <w:jc w:val="center"/>
        <w:rPr>
          <w:i/>
        </w:rPr>
      </w:pPr>
    </w:p>
    <w:p w14:paraId="319C26B1" w14:textId="77777777">
      <w:pPr>
        <w:pStyle w:val="P68B1DB1-BodyText11"/>
        <w:ind w:left="567"/>
        <w:rPr>
          <w:i/>
        </w:rPr>
      </w:pPr>
      <w:r>
        <w:t xml:space="preserve">— Επενδυτικές υπηρεσίες, </w:t>
      </w:r>
    </w:p>
    <w:p w14:paraId="4E853016" w14:textId="77777777">
      <w:pPr>
        <w:pStyle w:val="P68B1DB1-BodyText11"/>
        <w:ind w:left="567"/>
        <w:rPr>
          <w:i/>
        </w:rPr>
      </w:pPr>
      <w:r>
        <w:t xml:space="preserve">— ασφαλιστικές και αντασφαλιστικές εργασίες, </w:t>
      </w:r>
    </w:p>
    <w:p w14:paraId="6692A963" w14:textId="77777777">
      <w:pPr>
        <w:pStyle w:val="P68B1DB1-BodyText11"/>
        <w:ind w:left="567"/>
        <w:rPr>
          <w:i/>
        </w:rPr>
      </w:pPr>
      <w:r>
        <w:t xml:space="preserve">— τραπεζικές υπηρεσίες, </w:t>
      </w:r>
    </w:p>
    <w:p w14:paraId="23791C4C" w14:textId="77777777">
      <w:pPr>
        <w:pStyle w:val="P68B1DB1-BodyText11"/>
        <w:ind w:left="567"/>
        <w:rPr>
          <w:i/>
        </w:rPr>
      </w:pPr>
      <w:r>
        <w:t xml:space="preserve">— πράξεις που αφορούν συνταξιοδοτικά ταμεία, </w:t>
      </w:r>
    </w:p>
    <w:p w14:paraId="783F6792" w14:textId="77777777">
      <w:pPr>
        <w:pStyle w:val="P68B1DB1-BodyText11"/>
        <w:ind w:left="567"/>
        <w:rPr>
          <w:i/>
        </w:rPr>
      </w:pPr>
      <w:r>
        <w:t xml:space="preserve">υπηρεσίες που σχετίζονται με συναλλαγές σε συμβόλαια μελλοντικής εκπλήρωσης ή δικαιώματα προαίρεσης. </w:t>
      </w:r>
    </w:p>
    <w:p w14:paraId="2DCD1B55" w14:textId="77777777">
      <w:pPr>
        <w:pStyle w:val="BodyText"/>
        <w:ind w:left="567"/>
        <w:rPr>
          <w:i/>
        </w:rPr>
      </w:pPr>
    </w:p>
    <w:p w14:paraId="337555AF" w14:textId="77777777">
      <w:pPr>
        <w:pStyle w:val="P68B1DB1-BodyText11"/>
        <w:ind w:left="567"/>
        <w:rPr>
          <w:i/>
        </w:rPr>
      </w:pPr>
      <w:r>
        <w:t xml:space="preserve">Οι υπηρεσίες αυτές περιλαμβάνουν ιδίως: </w:t>
      </w:r>
    </w:p>
    <w:p w14:paraId="3764E7FA" w14:textId="7CA8CD82">
      <w:pPr>
        <w:pStyle w:val="P68B1DB1-BodyText11"/>
        <w:ind w:left="567"/>
        <w:rPr>
          <w:i/>
        </w:rPr>
      </w:pPr>
      <w:r>
        <w:t xml:space="preserve">α) επενδυτικές υπηρεσίες που αναφέρονται στο παράρτημα της οδηγίας 2004/39/ΕΚ· τις υπηρεσίες οργανισμών συλλογικών επενδύσεων· </w:t>
      </w:r>
    </w:p>
    <w:p w14:paraId="5E0AD7FB" w14:textId="67C20460">
      <w:pPr>
        <w:pStyle w:val="P68B1DB1-BodyText11"/>
        <w:ind w:left="567"/>
        <w:rPr>
          <w:i/>
        </w:rPr>
      </w:pPr>
      <w:r>
        <w:t xml:space="preserve">β) υπηρεσίες που καλύπτονται από τις δραστηριότητες που υπόκεινται σε αμοιβαία αναγνώριση οι οποίες αναφέρονται στο παράρτημα I της οδηγίας 2013/36/ΕΕ του Ευρωπαϊκού Κοινοβουλίου και του Συμβουλίου (1)· </w:t>
      </w:r>
    </w:p>
    <w:p w14:paraId="48C2F22B" w14:textId="3B1B8A48">
      <w:pPr>
        <w:pStyle w:val="P68B1DB1-BodyText11"/>
        <w:ind w:left="567"/>
        <w:rPr>
          <w:i/>
        </w:rPr>
      </w:pPr>
      <w:r>
        <w:t xml:space="preserve">γ) δραστηριότητες που καλύπτονται από τις ασφαλιστικές και αντασφαλιστικές δραστηριότητες που αναφέρονται στην οδηγία 2009/138/ΕΚ του Ευρωπαϊκού Κοινοβουλίου και του Συμβουλίου (2).</w:t>
      </w:r>
    </w:p>
    <w:p w14:paraId="29E9A8E3" w14:textId="77777777">
      <w:pPr>
        <w:pStyle w:val="BodyText"/>
        <w:ind w:left="720"/>
        <w:rPr>
          <w:i/>
        </w:rPr>
      </w:pPr>
    </w:p>
    <w:p w14:paraId="79D13F1F" w14:textId="142C9AC5">
      <w:pPr>
        <w:pStyle w:val="BodyText"/>
        <w:ind w:left="1080"/>
        <w:jc w:val="right"/>
      </w:pPr>
      <w:r>
        <w:t xml:space="preserve">(Παράρτημα II της οδηγίας (ΕΕ) 2015/1535)</w:t>
      </w:r>
    </w:p>
    <w:p w14:paraId="0C95D790" w14:textId="77777777">
      <w:pPr>
        <w:pStyle w:val="BodyText"/>
        <w:ind w:left="567"/>
        <w:rPr>
          <w:i/>
          <w:iCs/>
          <w:szCs w:val="24"/>
        </w:rPr>
      </w:pPr>
    </w:p>
    <w:p w14:paraId="7A47117F" w14:textId="7E196DE2">
      <w:pPr>
        <w:pStyle w:val="P68B1DB1-BodyText23"/>
        <w:ind w:left="567"/>
        <w:rPr>
          <w:iCs/>
        </w:rPr>
      </w:pPr>
      <w:r>
        <w:t xml:space="preserve">«“ρυθμιζόμενη αγορά”: πολυμερές σύστημα το οποίο διαχειρίζεται και/ή διαχειρίζεται διαχειριστής αγοράς και το οποίο φέρνει σε επαφή ή διευκολύνει την προσέγγιση πολλαπλών συμφερόντων τρίτων για αγορά και πώληση χρηματοπιστωτικών μέσων — εντός του συστήματος και σύμφωνα με τους κανόνες του που δεν παρέχουν διακριτική ευχέρεια — κατά τρόπο που καταλήγει σε σύμβαση, όσον αφορά τα χρηματοπιστωτικά μέσα που έχουν εισαχθεί προς διαπραγμάτευση σύμφωνα με τους κανόνες και/ή τα συστήματά του, και το οποίο έχει λάβει άδεια λειτουργίας και λειτουργεί τακτικά και σύμφωνα με τον τίτλο ΙΙΙ της παρούσας οδηγίας·»</w:t>
      </w:r>
    </w:p>
    <w:p w14:paraId="326B89D5" w14:textId="77777777">
      <w:pPr>
        <w:pStyle w:val="BodyText"/>
        <w:ind w:left="567"/>
        <w:rPr>
          <w:i/>
          <w:iCs/>
          <w:szCs w:val="24"/>
        </w:rPr>
      </w:pPr>
    </w:p>
    <w:p w14:paraId="2EE59DAD" w14:textId="7FE2F68F">
      <w:pPr>
        <w:pStyle w:val="P68B1DB1-BodyText24"/>
        <w:ind w:left="567"/>
        <w:jc w:val="right"/>
      </w:pPr>
      <w:r>
        <w:t xml:space="preserve">(Άρθρο 4 παράγραφος 21 της οδηγίας 2014/65/ΕΕ, </w:t>
      </w:r>
    </w:p>
    <w:p w14:paraId="510D994F" w14:textId="6EE676DC">
      <w:pPr>
        <w:pStyle w:val="P68B1DB1-BodyText24"/>
        <w:ind w:left="567"/>
        <w:jc w:val="right"/>
      </w:pPr>
      <w:r>
        <w:t xml:space="preserve">αναδιατύπωση της οδηγίας 2004/39/ΕΚ) </w:t>
      </w:r>
    </w:p>
    <w:p w14:paraId="4A6FAABA" w14:textId="77777777">
      <w:pPr>
        <w:pStyle w:val="BodyText"/>
        <w:rPr>
          <w:i/>
          <w:iCs/>
          <w:sz w:val="20"/>
        </w:rPr>
      </w:pPr>
    </w:p>
    <w:p w14:paraId="0469372E" w14:textId="4281AF71">
      <w:pPr>
        <w:widowControl w:val="0"/>
        <w:autoSpaceDE w:val="0"/>
        <w:autoSpaceDN w:val="0"/>
        <w:spacing w:after="0" w:line="240" w:lineRule="auto"/>
        <w:jc w:val="both"/>
        <w:rPr>
          <w:rFonts w:ascii="Times New Roman" w:hAnsi="Times New Roman" w:cs="Times New Roman" w:eastAsia="Times New Roman"/>
          <w:i/>
          <w:iCs/>
          <w:sz w:val="20"/>
          <w:szCs w:val="16"/>
        </w:rPr>
      </w:pPr>
      <w:hyperlink r:id="rId71" w:history="1">
        <w:r>
          <w:rPr>
            <w:rStyle w:val="Hyperlink"/>
            <w:rFonts w:ascii="Times New Roman" w:hAnsi="Times New Roman" w:cs="Times New Roman" w:eastAsia="Times New Roman"/>
            <w:b/>
            <w:i/>
            <w:color w:val="0000FF"/>
            <w:szCs w:val="20"/>
          </w:rPr>
          <w:t xml:space="preserve">Απόφαση της 2 Ιουνίου 2005</w:t>
        </w:r>
      </w:hyperlink>
      <w:r>
        <w:rPr>
          <w:rFonts w:ascii="Times New Roman" w:hAnsi="Times New Roman" w:cs="Times New Roman" w:eastAsia="Times New Roman"/>
          <w:b/>
          <w:i/>
          <w:szCs w:val="20"/>
        </w:rPr>
        <w:t xml:space="preserve"> στην υπόθεση C-89/04, Mediakabel BV, σκέψεις 22 και 23</w:t>
      </w:r>
    </w:p>
    <w:p w14:paraId="5376935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5F56159" w14:textId="0FDB95BE">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Υπηρεσία τηλεοπτικής μετάδοσης διαθέσιμη κατόπιν αιτήσεως του συνδρομητή, αποτελούμενη από ταινίες των οποίων η συχνότητα και ο χρόνος καθορίζονται από τον πάροχο, συνιστά υπηρεσία «σχεδόν βίντεο κατά παραγγελία» που εμπίπτει στην έννοια των «υπηρεσιών τηλεοπτικής μετάδοσης». Η έννοια αυτή ορίζεται αυτοτελώς στην οδηγία 2010/13/ΕΕ (πρώην οδηγία 89/552/ΕΟΚ), ανεξάρτητα από την έννοια της «υπηρεσίας της κοινωνίας της πληροφορίας».</w:t>
      </w:r>
    </w:p>
    <w:p w14:paraId="558582FC"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2B878292" w14:textId="6F6E7A42">
      <w:pPr>
        <w:pStyle w:val="P68B1DB1-Normal15"/>
        <w:widowControl w:val="0"/>
        <w:autoSpaceDE w:val="0"/>
        <w:autoSpaceDN w:val="0"/>
        <w:spacing w:after="0" w:line="240" w:lineRule="auto"/>
        <w:ind w:left="567"/>
        <w:jc w:val="both"/>
      </w:pPr>
      <w:r>
        <w:t xml:space="preserve">«22. [...] το περιεχόμενο της έννοιας της «τηλεοπτικής μεταδόσεως» ασφαλώς δεν μπορεί να συναχθεί με εξαίρεση την έννοια της «υπηρεσίας της κοινωνίας της πληροφορίας». Η οδηγία 98/34, τόσο στο άρθρο 1 παράγραφος 2, όσο και στο παράρτημα V, αναφέρεται σε υπηρεσίες οι οποίες δεν καλύπτονται από την έννοια της «υπηρεσίας της κοινωνίας της πληροφορίας» και οι οποίες δεν συνιστούν καθαυτές τηλεοπτικές υπηρεσίες. Τούτο ισχύει, μεταξύ άλλων, για τις υπηρεσίες ραδιοφωνικής μεταδόσεως. Ομοίως, οι υπηρεσίες τηλεοπτικής μεταδόσεως δεν μπορούν να περιοριστούν στις κατά το παράρτημα V, σημείο 3, της οδηγίας 98/34 υπηρεσίες που «παρέχονται με τη διαβίβαση δεδομένων χωρίς συγκεκριμένη παραγγελία και προορίζονται για ταυτόχρονη παραλαβή από απεριόριστο αριθμό αποδεκτών». Αν γινόταν δεκτή η ερμηνεία αυτή, υπηρεσίες όπως οι τηλεοπτικές υπηρεσίες κατόπιν συνδρομής οι οποίες παρέχονται σε περιορισμένο αριθμό αποδεκτών δεν θα υπάγονταν στην έννοια της «υπηρεσίας τηλεοπτικής μεταδόσεως», ενώ εμπίπτουν στην έννοια αυτή βάσει των κριτηρίων του άρθρου 1 στοιχείο α) ́, της οδηγίας 89/552.</w:t>
      </w:r>
    </w:p>
    <w:p w14:paraId="08A8E406" w14:textId="77777777">
      <w:pPr>
        <w:pStyle w:val="P68B1DB1-Normal15"/>
        <w:widowControl w:val="0"/>
        <w:autoSpaceDE w:val="0"/>
        <w:autoSpaceDN w:val="0"/>
        <w:spacing w:after="0" w:line="240" w:lineRule="auto"/>
        <w:ind w:left="567"/>
        <w:jc w:val="both"/>
      </w:pPr>
    </w:p>
    <w:p w14:paraId="1DB468BF" w14:textId="6C9EEDEF">
      <w:pPr>
        <w:pStyle w:val="P68B1DB1-Normal15"/>
        <w:widowControl w:val="0"/>
        <w:autoSpaceDE w:val="0"/>
        <w:autoSpaceDN w:val="0"/>
        <w:spacing w:after="0" w:line="240" w:lineRule="auto"/>
        <w:ind w:left="567"/>
        <w:jc w:val="both"/>
        <w:rPr>
          <w:iCs/>
        </w:rPr>
      </w:pPr>
      <w:r>
        <w:t xml:space="preserve">23. Τέλος, όταν εκδόθηκαν οι οδηγίες 98/34 και 98/48, ο κοινοτικός νομοθέτης δεν είχε πρόθεση να τροποποιήσει την οδηγία 89/552, η οποία η ίδια είχε τροποποιηθεί πριν από λιγότερο από ένα χρόνο με την οδηγία 97/36. Έτσι, η αιτιολογική σκέψη 20 της οδηγίας 98/48, η οποία τροποποίησε την οδηγία 98/34, αναφέρει ότι η οδηγία 98/48 «δεν θίγει το πεδίο εφαρμογής της οδηγίας 89/552».</w:t>
      </w:r>
    </w:p>
    <w:p w14:paraId="044761EE" w14:textId="77777777">
      <w:pPr>
        <w:widowControl w:val="0"/>
        <w:autoSpaceDE w:val="0"/>
        <w:autoSpaceDN w:val="0"/>
        <w:spacing w:after="0" w:line="240" w:lineRule="auto"/>
        <w:jc w:val="both"/>
        <w:outlineLvl w:val="1"/>
      </w:pPr>
    </w:p>
    <w:p w14:paraId="52CB59CA" w14:textId="489ADDC7">
      <w:pPr>
        <w:pStyle w:val="P68B1DB1-Normal13"/>
        <w:widowControl w:val="0"/>
        <w:autoSpaceDE w:val="0"/>
        <w:autoSpaceDN w:val="0"/>
        <w:spacing w:after="0" w:line="240" w:lineRule="auto"/>
        <w:jc w:val="both"/>
        <w:outlineLvl w:val="1"/>
      </w:pPr>
      <w:hyperlink r:id="rId72" w:history="1">
        <w:r>
          <w:rPr>
            <w:color w:val="0000FF"/>
            <w:u w:val="single"/>
          </w:rPr>
          <w:t xml:space="preserve">Απόφαση της 12 Σεπτεμβρίου 2019</w:t>
        </w:r>
      </w:hyperlink>
      <w:r>
        <w:t xml:space="preserve"> στην υπόθεση C-299/17, VG Media, σκέψη 38.</w:t>
      </w:r>
      <w:bookmarkEnd w:id="120"/>
    </w:p>
    <w:p w14:paraId="5E406CB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8980D4F" w14:textId="59AFD09D">
      <w:pPr>
        <w:pStyle w:val="P68B1DB1-Normal14"/>
        <w:widowControl w:val="0"/>
        <w:autoSpaceDE w:val="0"/>
        <w:autoSpaceDN w:val="0"/>
        <w:spacing w:after="0" w:line="240" w:lineRule="auto"/>
        <w:jc w:val="both"/>
      </w:pPr>
      <w:r>
        <w:t xml:space="preserve">Οι «τεχνικοί κανόνες» στον τομέα της πνευματικής ιδιοκτησίας δεν εξαιρούνται από το πεδίο εφαρμογής της οδηγίας, σε αντίθεση με εκείνους που αφορούν τις τηλεπικοινωνίες ή τις χρηματοπιστωτικές υπηρεσίες.</w:t>
      </w:r>
    </w:p>
    <w:p w14:paraId="2C438590"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5A61B68C" w14:textId="2AD8E891">
      <w:pPr>
        <w:pStyle w:val="P68B1DB1-Normal15"/>
        <w:widowControl w:val="0"/>
        <w:autoSpaceDE w:val="0"/>
        <w:autoSpaceDN w:val="0"/>
        <w:spacing w:after="0" w:line="240" w:lineRule="auto"/>
        <w:ind w:left="567"/>
        <w:jc w:val="both"/>
        <w:rPr>
          <w:iCs/>
        </w:rPr>
      </w:pPr>
      <w:r>
        <w:t>«</w:t>
      </w:r>
      <w:r>
        <w:t xml:space="preserve">38. [...] το γεγονός ότι το άρθρο 87 g (4) του UrhG αποτελεί μέρος της εθνικής νομοθεσίας περί πνευματικής ιδιοκτησίας ή συγγενικών δικαιωμάτων δεν είναι ικανό να θέσει υπό αμφισβήτηση την εκτίμηση αυτή. Οι τεχνικοί κανόνες περί διανοητικής ιδιοκτησίας δεν εξαιρούνται ρητώς από το πεδίο εφαρμογής του άρθρου 1 παράγραφος 5, της οδηγίας 98/34, σε αντίθεση με εκείνους που αποτελούν το αντικείμενο της ευρωπαϊκής νομοθεσίας στον τομέα των τηλεπικοινωνιακών ή των χρηματοπιστωτικών υπηρεσιών. Επιπλέον, από την απόφαση της 8 Νοεμβρίου 2007, Schwibbert (C</w:t>
        <w:noBreakHyphen/>
        <w:t xml:space="preserve">20/05,), προκύπτει ότι οι διατάξεις της εθνικής νομοθεσίας περί διανοητικής ιδιοκτησίας μπορούν να συνιστούν «τεχνικό κανόνα» υποκείμενο σε κοινοποίηση σύμφωνα με το άρθρο 8 παράγραφος 1, της εν λόγω οδηγίας.»</w:t>
      </w:r>
    </w:p>
    <w:p w14:paraId="0BCBB4FB" w14:textId="0520F280">
      <w:pPr>
        <w:pStyle w:val="P68B1DB1-Normal16"/>
        <w:spacing w:after="0" w:line="240" w:lineRule="auto"/>
        <w:rPr>
          <w:i/>
          <w:iCs/>
        </w:rPr>
      </w:pPr>
      <w:r>
        <w:br w:type="page"/>
      </w:r>
    </w:p>
    <w:p w14:paraId="2B0FDBC5" w14:textId="7963B447">
      <w:pPr>
        <w:pStyle w:val="P68B1DB1-Heading13"/>
        <w:numPr>
          <w:ilvl w:val="0"/>
          <w:numId w:val="34"/>
        </w:numPr>
        <w:spacing w:before="0" w:after="0"/>
        <w:jc w:val="center"/>
        <w:rPr>
          <w:color w:val="auto"/>
        </w:rPr>
      </w:pPr>
      <w:bookmarkStart w:id="121" w:name="_Ref194485776"/>
      <w:bookmarkStart w:id="122" w:name="_Toc203035673"/>
      <w:r>
        <w:t xml:space="preserve">Υποχρέωση κοινοποίησης</w:t>
      </w:r>
      <w:bookmarkEnd w:id="121"/>
      <w:bookmarkEnd w:id="122"/>
    </w:p>
    <w:p w14:paraId="29E2BE4E" w14:textId="77777777">
      <w:pPr>
        <w:pStyle w:val="BodyText"/>
      </w:pPr>
    </w:p>
    <w:p w14:paraId="480A7F64" w14:textId="46AC3047">
      <w:pPr>
        <w:pStyle w:val="P68B1DB1-Heading24"/>
        <w:numPr>
          <w:ilvl w:val="0"/>
          <w:numId w:val="36"/>
        </w:numPr>
        <w:spacing w:before="0" w:after="0"/>
        <w:jc w:val="center"/>
        <w:rPr>
          <w:bCs/>
          <w:color w:val="auto"/>
        </w:rPr>
      </w:pPr>
      <w:bookmarkStart w:id="123" w:name="_Ref194942628"/>
      <w:bookmarkStart w:id="124" w:name="_Toc203035674"/>
      <w:bookmarkStart w:id="125" w:name="_Ref194484702"/>
      <w:r>
        <w:t xml:space="preserve">Κοινοποίηση στο στάδιο του σχεδίου</w:t>
      </w:r>
      <w:bookmarkEnd w:id="123"/>
      <w:bookmarkEnd w:id="124"/>
    </w:p>
    <w:p w14:paraId="27EBED2C" w14:textId="3CCBF668">
      <w:pPr>
        <w:pStyle w:val="BodyText"/>
        <w:rPr>
          <w:b/>
          <w:bCs/>
        </w:rPr>
      </w:pPr>
    </w:p>
    <w:p w14:paraId="58135D0C" w14:textId="021350D1">
      <w:pPr>
        <w:pStyle w:val="P68B1DB1-BodyText11"/>
        <w:ind w:left="567"/>
        <w:rPr>
          <w:iCs/>
        </w:rPr>
      </w:pPr>
      <w:r>
        <w:t xml:space="preserve">«Με την επιφύλαξη του άρθρου 7, τα κράτη μέλη ανακοινώνουν αμέσως στην Επιτροπή κάθε σχέδιο τεχνικού κανόνα, εκτός εάν απλώς μεταφέρει στο εθνικό δίκαιο το πλήρες κείμενο ενός διεθνούς ή ευρωπαϊκού προτύπου, οπότε αρκεί η πληροφόρηση σχετικά με το σχετικό πρότυπο· επίσης, απευθύνουν στην Επιτροπή δήλωση σχετικά με τους λόγους που καθιστούν αναγκαία τη θέσπιση ενός τέτοιου τεχνικού κανόνα, εφόσον οι λόγοι αυτοί δεν έχουν ήδη διευκρινιστεί στο σχέδιο.»</w:t>
      </w:r>
    </w:p>
    <w:p w14:paraId="79E57C28" w14:textId="77777777">
      <w:pPr>
        <w:pStyle w:val="BodyText"/>
        <w:ind w:left="567"/>
        <w:rPr>
          <w:i/>
          <w:iCs/>
        </w:rPr>
      </w:pPr>
    </w:p>
    <w:p w14:paraId="4348B9F9" w14:textId="1F348A6E">
      <w:pPr>
        <w:pStyle w:val="BodyText"/>
        <w:jc w:val="right"/>
      </w:pPr>
      <w:r>
        <w:t xml:space="preserve">(άρθρο 5 παράγραφος 1 πρώτη περίοδος της οδηγίας (ΕΕ) 2015/1535)</w:t>
      </w:r>
    </w:p>
    <w:p w14:paraId="41A26F8C" w14:textId="77777777">
      <w:pPr>
        <w:pStyle w:val="BodyText"/>
        <w:rPr>
          <w:b/>
          <w:bCs/>
        </w:rPr>
      </w:pPr>
    </w:p>
    <w:p w14:paraId="39D0E534" w14:textId="627C2341">
      <w:pPr>
        <w:pStyle w:val="P68B1DB1-Normal13"/>
        <w:widowControl w:val="0"/>
        <w:autoSpaceDE w:val="0"/>
        <w:autoSpaceDN w:val="0"/>
        <w:spacing w:after="0" w:line="240" w:lineRule="auto"/>
        <w:jc w:val="both"/>
        <w:outlineLvl w:val="1"/>
      </w:pPr>
      <w:hyperlink r:id="rId73" w:history="1">
        <w:r>
          <w:rPr>
            <w:color w:val="0000FF"/>
            <w:u w:val="single"/>
          </w:rPr>
          <w:t xml:space="preserve">Απόφαση της 2 Αυγούστου 1993</w:t>
        </w:r>
      </w:hyperlink>
      <w:r>
        <w:t xml:space="preserve"> στην υπόθεση C-139/92, Επιτροπή κατά Ιταλίας, σκέψεις 8 και 9.</w:t>
      </w:r>
      <w:bookmarkEnd w:id="126"/>
    </w:p>
    <w:p w14:paraId="1DF5BE21"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7852024" w14:textId="67891414">
      <w:pPr>
        <w:widowControl w:val="0"/>
        <w:tabs>
          <w:tab w:val="left" w:pos="413"/>
        </w:tabs>
        <w:autoSpaceDE w:val="0"/>
        <w:autoSpaceDN w:val="0"/>
        <w:spacing w:after="0" w:line="240" w:lineRule="auto"/>
        <w:jc w:val="both"/>
        <w:rPr>
          <w:rFonts w:ascii="Times New Roman" w:hAnsi="Times New Roman" w:cs="Times New Roman" w:eastAsia="Times New Roman"/>
          <w:szCs w:val="20"/>
        </w:rPr>
        <w:pStyle w:val="P68B1DB1-Normal14"/>
      </w:pPr>
      <w:r>
        <w:t xml:space="preserve">Η Ιταλία, παραλείποντας να κοινοποιήσει, στο στάδιο του σχεδίου, υπουργική απόφαση σχετικά με τον καθορισμό και τον έλεγχο της μέγιστης ισχύος, καθώς και σχετικά με την κατασκευή και εγκατάσταση κινητήρων σκαφών αναψυχής, παρέβη τις υποχρεώσεις που υπέχει να κοινοποιήσει τα σχέδια τεχνικών κανόνων.</w:t>
      </w:r>
    </w:p>
    <w:p w14:paraId="478B471D" w14:textId="77777777">
      <w:pPr>
        <w:widowControl w:val="0"/>
        <w:tabs>
          <w:tab w:val="left" w:pos="413"/>
        </w:tabs>
        <w:autoSpaceDE w:val="0"/>
        <w:autoSpaceDN w:val="0"/>
        <w:spacing w:after="0" w:line="240" w:lineRule="auto"/>
        <w:jc w:val="both"/>
        <w:rPr>
          <w:rFonts w:ascii="Times New Roman" w:hAnsi="Times New Roman" w:cs="Times New Roman" w:eastAsia="Times New Roman"/>
          <w:szCs w:val="20"/>
        </w:rPr>
      </w:pPr>
    </w:p>
    <w:p w14:paraId="622C52BD" w14:textId="5E5EDE3D">
      <w:pPr>
        <w:pStyle w:val="P68B1DB1-Normal15"/>
        <w:widowControl w:val="0"/>
        <w:tabs>
          <w:tab w:val="left" w:pos="413"/>
        </w:tabs>
        <w:autoSpaceDE w:val="0"/>
        <w:autoSpaceDN w:val="0"/>
        <w:spacing w:after="0" w:line="240" w:lineRule="auto"/>
        <w:ind w:left="567"/>
        <w:jc w:val="both"/>
      </w:pPr>
      <w:r>
        <w:t xml:space="preserve">«8. Η Ιταλική Κυβέρνηση δεν αμφισβητεί ότι παρέλειψε να κοινοποιήσει την εν λόγω υπουργική απόφαση στην Επιτροπή κατά το στάδιο του σχεδίου. </w:t>
      </w:r>
    </w:p>
    <w:p w14:paraId="7A672690" w14:textId="77777777">
      <w:pPr>
        <w:pStyle w:val="P68B1DB1-Normal15"/>
        <w:widowControl w:val="0"/>
        <w:tabs>
          <w:tab w:val="left" w:pos="413"/>
        </w:tabs>
        <w:autoSpaceDE w:val="0"/>
        <w:autoSpaceDN w:val="0"/>
        <w:spacing w:after="0" w:line="240" w:lineRule="auto"/>
        <w:ind w:left="567"/>
        <w:jc w:val="both"/>
      </w:pPr>
    </w:p>
    <w:p w14:paraId="29BAA761" w14:textId="7880A2A6">
      <w:pPr>
        <w:pStyle w:val="P68B1DB1-Normal15"/>
        <w:widowControl w:val="0"/>
        <w:tabs>
          <w:tab w:val="left" w:pos="413"/>
        </w:tabs>
        <w:autoSpaceDE w:val="0"/>
        <w:autoSpaceDN w:val="0"/>
        <w:spacing w:after="0" w:line="240" w:lineRule="auto"/>
        <w:ind w:left="567"/>
        <w:jc w:val="both"/>
      </w:pPr>
      <w:r>
        <w:t xml:space="preserve">9. Δεδομένου ότι διαπιστώνεται παράβαση των άρθρων 8 και 9 της οδηγίας, πρέπει να διαπιστωθεί η ύπαρξη παραβάσεως με τους όρους που ζητεί η Επιτροπή.»</w:t>
      </w:r>
    </w:p>
    <w:p w14:paraId="78B40755" w14:textId="77777777">
      <w:pPr>
        <w:widowControl w:val="0"/>
        <w:tabs>
          <w:tab w:val="left" w:pos="413"/>
        </w:tabs>
        <w:autoSpaceDE w:val="0"/>
        <w:autoSpaceDN w:val="0"/>
        <w:spacing w:after="0" w:line="240" w:lineRule="auto"/>
        <w:ind w:left="567"/>
        <w:jc w:val="both"/>
        <w:rPr>
          <w:rFonts w:ascii="Times New Roman" w:hAnsi="Times New Roman" w:cs="Times New Roman" w:eastAsia="Times New Roman"/>
          <w:i/>
          <w:iCs/>
          <w:sz w:val="20"/>
          <w:szCs w:val="16"/>
        </w:rPr>
      </w:pPr>
    </w:p>
    <w:p w14:paraId="2D8A3294" w14:textId="363AC32B">
      <w:pPr>
        <w:pStyle w:val="P68B1DB1-Normal13"/>
        <w:widowControl w:val="0"/>
        <w:autoSpaceDE w:val="0"/>
        <w:autoSpaceDN w:val="0"/>
        <w:spacing w:after="0" w:line="240" w:lineRule="auto"/>
        <w:jc w:val="both"/>
        <w:outlineLvl w:val="1"/>
      </w:pPr>
      <w:hyperlink r:id="rId74" w:history="1">
        <w:r>
          <w:rPr>
            <w:color w:val="0000FF"/>
            <w:u w:val="single"/>
          </w:rPr>
          <w:t xml:space="preserve">Απόφαση της 14 Ιουλίου 1994</w:t>
        </w:r>
      </w:hyperlink>
      <w:r>
        <w:t xml:space="preserve"> στην υπόθεση C-61/93, Επιτροπή κατά Κάτω Χωρών, σκέψεις 6 και 10</w:t>
      </w:r>
      <w:bookmarkEnd w:id="127"/>
    </w:p>
    <w:p w14:paraId="29C3246B"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E58EFBE" w14:textId="7468B0CD">
      <w:pPr>
        <w:pStyle w:val="P68B1DB1-Normal14"/>
        <w:widowControl w:val="0"/>
        <w:tabs>
          <w:tab w:val="left" w:pos="405"/>
        </w:tabs>
        <w:autoSpaceDE w:val="0"/>
        <w:autoSpaceDN w:val="0"/>
        <w:spacing w:after="0" w:line="240" w:lineRule="auto"/>
        <w:jc w:val="both"/>
      </w:pPr>
      <w:r>
        <w:t xml:space="preserve">Οι Κάτω Χώρες, εκδίδοντας διατάγματα σχετικά με τις απαιτήσεις αντοχής των φιαλών αναψυκτικών και σχετικά με τη σύνθεση, την ταξινόμηση, τη συσκευασία και την επισήμανση των φυτοφαρμάκων, χωρίς να τα κοινοποιήσουν στην Επιτροπή κατά το στάδιο του σχεδίου, παρέβησαν την υποχρέωσή τους να κοινοποιούν τα σχέδια τεχνικών κανόνων.</w:t>
      </w:r>
    </w:p>
    <w:p w14:paraId="74F221D0" w14:textId="77777777">
      <w:pPr>
        <w:widowControl w:val="0"/>
        <w:tabs>
          <w:tab w:val="left" w:pos="405"/>
        </w:tabs>
        <w:autoSpaceDE w:val="0"/>
        <w:autoSpaceDN w:val="0"/>
        <w:spacing w:after="0" w:line="240" w:lineRule="auto"/>
        <w:jc w:val="both"/>
        <w:rPr>
          <w:rFonts w:ascii="Times New Roman" w:hAnsi="Times New Roman" w:cs="Times New Roman" w:eastAsia="Times New Roman"/>
          <w:szCs w:val="20"/>
        </w:rPr>
      </w:pPr>
    </w:p>
    <w:p w14:paraId="080827F2" w14:textId="79ECA7FF">
      <w:pPr>
        <w:pStyle w:val="P68B1DB1-Normal15"/>
        <w:widowControl w:val="0"/>
        <w:tabs>
          <w:tab w:val="left" w:pos="405"/>
        </w:tabs>
        <w:autoSpaceDE w:val="0"/>
        <w:autoSpaceDN w:val="0"/>
        <w:spacing w:after="0" w:line="240" w:lineRule="auto"/>
        <w:ind w:left="567"/>
        <w:jc w:val="both"/>
        <w:rPr>
          <w:iCs/>
        </w:rPr>
      </w:pPr>
      <w:r>
        <w:t xml:space="preserve">«6. Με έγγραφο της 17 Νοεμβρίου 1989, οι αρχές των Κάτω Χωρών αναγνώρισαν ότι η απόφαση της 16 Ιανουαρίου 1989 περιείχε τεχνικούς κανόνες που εμπίπτουν στο πεδίο εφαρμογής της οδηγίας 83/189 και ότι είχαν παραλείψει να την κοινοποιήσουν στην Επιτροπή υπό μορφή σχεδίου. Επισήμαναν, ωστόσο, ότι το διάταγμα είχε αποσταλεί στην Επιτροπή και επισυνάφθηκε σε επιστολή της 22 Μαΐου 1989, με την οποία παρέχονταν στο εν λόγω θεσμικό όργανο πληροφορίες σχετικά με την ιδιωτικοποίηση των αρχών που είναι αρμόδιες για τα βάρη και τα μέτρα.»</w:t>
      </w:r>
    </w:p>
    <w:p w14:paraId="3BF11A4C" w14:textId="77777777">
      <w:pPr>
        <w:widowControl w:val="0"/>
        <w:tabs>
          <w:tab w:val="left" w:pos="405"/>
        </w:tabs>
        <w:autoSpaceDE w:val="0"/>
        <w:autoSpaceDN w:val="0"/>
        <w:spacing w:after="0" w:line="240" w:lineRule="auto"/>
        <w:ind w:left="567"/>
        <w:jc w:val="both"/>
        <w:rPr>
          <w:rFonts w:ascii="Times New Roman" w:hAnsi="Times New Roman" w:cs="Times New Roman" w:eastAsia="Times New Roman"/>
          <w:i/>
          <w:iCs/>
          <w:sz w:val="20"/>
          <w:szCs w:val="16"/>
        </w:rPr>
      </w:pPr>
    </w:p>
    <w:p w14:paraId="2B8AB5F8" w14:textId="06F5DED9">
      <w:pPr>
        <w:pStyle w:val="P68B1DB1-Normal15"/>
        <w:widowControl w:val="0"/>
        <w:tabs>
          <w:tab w:val="left" w:pos="405"/>
        </w:tabs>
        <w:autoSpaceDE w:val="0"/>
        <w:autoSpaceDN w:val="0"/>
        <w:spacing w:after="0" w:line="240" w:lineRule="auto"/>
        <w:ind w:left="567"/>
        <w:jc w:val="both"/>
        <w:rPr>
          <w:iCs/>
        </w:rPr>
      </w:pPr>
      <w:r>
        <w:t xml:space="preserve">«10. Δεν αμφισβητείται ότι, σύμφωνα με το άρθρο 8 της οδηγίας, τα σχέδια διαταγμάτων της 16 Ιανουαρίου 1989, της 24 Αυγούστου 1988 και της 21 Οκτωβρίου 1988 έπρεπε να κοινοποιηθούν αμέσως στην Επιτροπή κατά το στάδιο της καταρτίσεως και ότι η κοινοποίηση αυτή δεν έγινε.»</w:t>
      </w:r>
    </w:p>
    <w:p w14:paraId="0373B534"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8FB31A8" w14:textId="5B58EFDA">
      <w:pPr>
        <w:pStyle w:val="P68B1DB1-Normal13"/>
        <w:widowControl w:val="0"/>
        <w:autoSpaceDE w:val="0"/>
        <w:autoSpaceDN w:val="0"/>
        <w:spacing w:after="0" w:line="240" w:lineRule="auto"/>
        <w:jc w:val="both"/>
        <w:outlineLvl w:val="1"/>
      </w:pPr>
      <w:hyperlink r:id="rId75" w:history="1">
        <w:r>
          <w:rPr>
            <w:color w:val="0000FF"/>
            <w:u w:val="single"/>
          </w:rPr>
          <w:t xml:space="preserve">Απόφαση της 14 Ιουλίου 1994</w:t>
        </w:r>
      </w:hyperlink>
      <w:r>
        <w:t xml:space="preserve"> στην υπόθεση C-52/93, Επιτροπή κατά Κάτω Χωρών, σκέψεις 6 και 10</w:t>
      </w:r>
      <w:bookmarkEnd w:id="128"/>
    </w:p>
    <w:p w14:paraId="27ACC27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9AE01B0" w14:textId="3AD35C06">
      <w:pPr>
        <w:pStyle w:val="P68B1DB1-Normal14"/>
        <w:widowControl w:val="0"/>
        <w:tabs>
          <w:tab w:val="left" w:pos="400"/>
        </w:tabs>
        <w:autoSpaceDE w:val="0"/>
        <w:autoSpaceDN w:val="0"/>
        <w:spacing w:after="0" w:line="240" w:lineRule="auto"/>
        <w:jc w:val="both"/>
      </w:pPr>
      <w:r>
        <w:t xml:space="preserve">Τροποποιώντας τον κανονισμό σχετικά με τα πρότυπα ποιότητας για τους βολβούς ανθέων χωρίς να τον κοινοποιήσουν στην Επιτροπή κατά το στάδιο του σχεδίου, οι Κάτω Χώρες παρέβησαν την υποχρέωσή τους να κοινοποιήσουν τα σχέδια τεχνικών κανόνων.</w:t>
      </w:r>
    </w:p>
    <w:p w14:paraId="13839355" w14:textId="77777777">
      <w:pPr>
        <w:widowControl w:val="0"/>
        <w:tabs>
          <w:tab w:val="left" w:pos="400"/>
        </w:tabs>
        <w:autoSpaceDE w:val="0"/>
        <w:autoSpaceDN w:val="0"/>
        <w:spacing w:after="0" w:line="240" w:lineRule="auto"/>
        <w:jc w:val="both"/>
        <w:rPr>
          <w:rFonts w:ascii="Times New Roman" w:hAnsi="Times New Roman" w:cs="Times New Roman" w:eastAsia="Times New Roman"/>
          <w:szCs w:val="20"/>
        </w:rPr>
      </w:pPr>
    </w:p>
    <w:p w14:paraId="39B7E7EA" w14:textId="2172CC07">
      <w:pPr>
        <w:pStyle w:val="P68B1DB1-Normal15"/>
        <w:widowControl w:val="0"/>
        <w:tabs>
          <w:tab w:val="left" w:pos="400"/>
        </w:tabs>
        <w:autoSpaceDE w:val="0"/>
        <w:autoSpaceDN w:val="0"/>
        <w:spacing w:after="0" w:line="240" w:lineRule="auto"/>
        <w:ind w:left="567"/>
        <w:jc w:val="both"/>
        <w:rPr>
          <w:iCs/>
        </w:rPr>
      </w:pPr>
      <w:r>
        <w:t xml:space="preserve">«6. Με έγγραφο της 4 Νοεμβρίου 1991, οι ολλανδικές αρχές αναγνώρισαν ότι ο εν λόγω κανονισμός αποτελεί τεχνικό κανόνα κατά την έννοια της οδηγίας 83/189 και ότι δεν κοινοποίησαν στην Επιτροπή το σχέδιο τροποποιήσεως.»</w:t>
      </w:r>
    </w:p>
    <w:p w14:paraId="5F48D326" w14:textId="77777777">
      <w:pPr>
        <w:widowControl w:val="0"/>
        <w:tabs>
          <w:tab w:val="left" w:pos="400"/>
        </w:tabs>
        <w:autoSpaceDE w:val="0"/>
        <w:autoSpaceDN w:val="0"/>
        <w:spacing w:after="0" w:line="240" w:lineRule="auto"/>
        <w:ind w:left="567"/>
        <w:jc w:val="both"/>
        <w:rPr>
          <w:rFonts w:ascii="Times New Roman" w:hAnsi="Times New Roman" w:cs="Times New Roman" w:eastAsia="Times New Roman"/>
          <w:i/>
          <w:iCs/>
          <w:sz w:val="20"/>
          <w:szCs w:val="16"/>
        </w:rPr>
      </w:pPr>
    </w:p>
    <w:p w14:paraId="07D93C2A" w14:textId="4C09EDED">
      <w:pPr>
        <w:pStyle w:val="P68B1DB1-Normal15"/>
        <w:widowControl w:val="0"/>
        <w:tabs>
          <w:tab w:val="left" w:pos="400"/>
        </w:tabs>
        <w:autoSpaceDE w:val="0"/>
        <w:autoSpaceDN w:val="0"/>
        <w:spacing w:after="0" w:line="240" w:lineRule="auto"/>
        <w:ind w:left="567"/>
        <w:jc w:val="both"/>
        <w:rPr>
          <w:iCs/>
        </w:rPr>
      </w:pPr>
      <w:r>
        <w:t xml:space="preserve">«10. Δεν αμφισβητείται ότι, σύμφωνα με το άρθρο 8 της οδηγίας, το σχέδιο τροποποιήσεως XIII του κανονισμού ΝΚΥ έπρεπε να κοινοποιηθεί αμέσως στην Επιτροπή και ότι η κοινοποίηση αυτή δεν έγινε.»</w:t>
      </w:r>
    </w:p>
    <w:p w14:paraId="33E5C531"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0CAA98B" w14:textId="07507EC2">
      <w:pPr>
        <w:pStyle w:val="P68B1DB1-Normal13"/>
        <w:widowControl w:val="0"/>
        <w:autoSpaceDE w:val="0"/>
        <w:autoSpaceDN w:val="0"/>
        <w:spacing w:after="0" w:line="240" w:lineRule="auto"/>
        <w:jc w:val="both"/>
        <w:outlineLvl w:val="1"/>
      </w:pPr>
      <w:hyperlink r:id="rId76" w:history="1">
        <w:r>
          <w:rPr>
            <w:color w:val="0000FF"/>
            <w:u w:val="single"/>
          </w:rPr>
          <w:t xml:space="preserve">Απόφαση της 8 Σεπτεμβρίου 2005</w:t>
        </w:r>
      </w:hyperlink>
      <w:r>
        <w:t xml:space="preserve"> στην υπόθεση C-500/03, Επιτροπή κατά Πορτογαλίας, σκέψεις 39 έως 41</w:t>
      </w:r>
      <w:bookmarkEnd w:id="129"/>
    </w:p>
    <w:p w14:paraId="49D6EA9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4F1E244" w14:textId="4211A048">
      <w:pPr>
        <w:pStyle w:val="P68B1DB1-Normal14"/>
        <w:widowControl w:val="0"/>
        <w:tabs>
          <w:tab w:val="left" w:pos="467"/>
        </w:tabs>
        <w:autoSpaceDE w:val="0"/>
        <w:autoSpaceDN w:val="0"/>
        <w:spacing w:after="0" w:line="240" w:lineRule="auto"/>
        <w:jc w:val="both"/>
      </w:pPr>
      <w:r>
        <w:t xml:space="preserve">Η οδηγία απαιτεί από τα κράτη μέλη να κοινοποιούν αμέσως στην Επιτροπή κάθε σχέδιο τεχνικού κανόνα. Η Πορτογαλία, θεσπίζοντας τεχνικό κανόνα χωρίς να τον κοινοποιήσει στην Επιτροπή, παρέβη την υποχρέωσή της να κοινοποιήσει τα σχέδια τεχνικών κανόνων.</w:t>
      </w:r>
    </w:p>
    <w:p w14:paraId="5E8234E0" w14:textId="77777777">
      <w:pPr>
        <w:widowControl w:val="0"/>
        <w:tabs>
          <w:tab w:val="left" w:pos="467"/>
        </w:tabs>
        <w:autoSpaceDE w:val="0"/>
        <w:autoSpaceDN w:val="0"/>
        <w:spacing w:after="0" w:line="240" w:lineRule="auto"/>
        <w:ind w:left="-142"/>
        <w:jc w:val="both"/>
        <w:rPr>
          <w:rFonts w:ascii="Times New Roman" w:hAnsi="Times New Roman" w:cs="Times New Roman" w:eastAsia="Times New Roman"/>
          <w:szCs w:val="20"/>
        </w:rPr>
      </w:pPr>
    </w:p>
    <w:p w14:paraId="3B2937C4" w14:textId="73811036">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(Δεδομένου ότι η απόφαση είναι διαθέσιμη αποκλειστικά στα γαλλικά και τα πορτογαλικά, το ακόλουθο κείμενο είναι μετάφραση.)</w:t>
      </w:r>
    </w:p>
    <w:p w14:paraId="534A01FA" w14:textId="77777777">
      <w:pPr>
        <w:widowControl w:val="0"/>
        <w:tabs>
          <w:tab w:val="left" w:pos="467"/>
        </w:tabs>
        <w:autoSpaceDE w:val="0"/>
        <w:autoSpaceDN w:val="0"/>
        <w:spacing w:after="0" w:line="240" w:lineRule="auto"/>
        <w:ind w:left="-142"/>
        <w:jc w:val="both"/>
        <w:rPr>
          <w:rFonts w:ascii="Times New Roman" w:hAnsi="Times New Roman" w:cs="Times New Roman" w:eastAsia="Times New Roman"/>
          <w:szCs w:val="20"/>
        </w:rPr>
      </w:pPr>
    </w:p>
    <w:p w14:paraId="44335DFA" w14:textId="33F97E95">
      <w:pPr>
        <w:pStyle w:val="P68B1DB1-Normal15"/>
        <w:widowControl w:val="0"/>
        <w:tabs>
          <w:tab w:val="left" w:pos="467"/>
        </w:tabs>
        <w:autoSpaceDE w:val="0"/>
        <w:autoSpaceDN w:val="0"/>
        <w:spacing w:after="0" w:line="240" w:lineRule="auto"/>
        <w:ind w:left="567"/>
        <w:jc w:val="both"/>
        <w:rPr>
          <w:iCs/>
        </w:rPr>
      </w:pPr>
      <w:r>
        <w:t xml:space="preserve">«39. Δεδομένου ότι η υπό κρίση προσφυγή λόγω παραβάσεως περιορίζεται σε αίτημα διαπιστώσεως παραβάσεως της τυπικής διαδικασίας προηγούμενης κοινοποιήσεως, αρκεί η επισήμανση, χωρίς να χρειάζεται να δοθεί απάντηση στα λοιπά επιχειρήματα των διαδίκων, ότι το Δικαστήριο έχει ήδη κρίνει ότι το άρθρο 8 παράγραφος 1, της οδηγίας 98/34 επιβάλλει στα κράτη μέλη την υποχρέωση να ανακοινώνουν αμέσως στην Επιτροπή κάθε σχέδιο τεχνικού κανόνα (βλ., μεταξύ άλλων, υπό την έννοια αυτή, όσον αφορά διατάξεις ανάλογες με εκείνες της οδηγίας αυτής, αποφάσεις της 2 Αυγούστου 1993, 139/92, Επιτροπή κατά Ιταλίας, Συλλογή 4707</w:t>
        <w:noBreakHyphen/>
        <w:t xml:space="preserve">, σ. I 3</w:t>
        <w:noBreakHyphen/>
        <w:t xml:space="preserve">, σκέψη 31, και της 11 Ιανουαρίου 1996, 273/94, Επιτροπή κατά Κάτω Χωρών, Συλλογή 15</w:t>
        <w:noBreakHyphen/>
        <w:t xml:space="preserve">, σ. Ι-, σκέψη).</w:t>
      </w:r>
    </w:p>
    <w:p w14:paraId="01A9092E" w14:textId="77777777">
      <w:pPr>
        <w:widowControl w:val="0"/>
        <w:tabs>
          <w:tab w:val="left" w:pos="467"/>
        </w:tabs>
        <w:autoSpaceDE w:val="0"/>
        <w:autoSpaceDN w:val="0"/>
        <w:spacing w:after="0" w:line="240" w:lineRule="auto"/>
        <w:ind w:left="567"/>
        <w:jc w:val="both"/>
        <w:rPr>
          <w:rFonts w:ascii="Times New Roman" w:hAnsi="Times New Roman" w:cs="Times New Roman" w:eastAsia="Times New Roman"/>
          <w:i/>
          <w:iCs/>
          <w:sz w:val="20"/>
          <w:szCs w:val="16"/>
        </w:rPr>
      </w:pPr>
    </w:p>
    <w:p w14:paraId="4CD1D685" w14:textId="0579D9AC">
      <w:pPr>
        <w:pStyle w:val="P68B1DB1-Normal15"/>
        <w:widowControl w:val="0"/>
        <w:tabs>
          <w:tab w:val="left" w:pos="467"/>
        </w:tabs>
        <w:autoSpaceDE w:val="0"/>
        <w:autoSpaceDN w:val="0"/>
        <w:spacing w:after="0" w:line="240" w:lineRule="auto"/>
        <w:ind w:left="567"/>
        <w:jc w:val="both"/>
        <w:rPr>
          <w:iCs/>
        </w:rPr>
      </w:pPr>
      <w:r>
        <w:t xml:space="preserve">40. Δεδομένου ότι οι κρίσιμες διατάξεις του διατάγματος 783/98 συνιστούν τεχνικούς κανόνες κατά την έννοια της οδηγίας 98/34, όπως υπομνήσθηκε στη σκέψη 31 της παρούσας αποφάσεως, η Πορτογαλική Δημοκρατία ήταν υποχρεωμένη να τους κοινοποιήσει υπό μορφή σχεδίου κατ’ εφαρμογήν του άρθρου 8 παράγραφος 1, της οδηγίας 98/34 (βλ., συναφώς, μεταξύ άλλων, όσον αφορά διατάξεις ανάλογες με εκείνες της οδηγίας 98/34, αποφάσεις της 7 Μαΐου 1998, 145/97, Επιτροπή κατά</w:t>
        <w:noBreakHyphen/>
        <w:t xml:space="preserve">Βελγίου, Συλλογή 2643</w:t>
        <w:noBreakHyphen/>
        <w:t xml:space="preserve">, σ. I-13, σκέψη 43, και της 21 Απριλίου 2005, 267/03, Lindberg, Συλλογή </w:t>
        <w:noBreakHyphen/>
        <w:t xml:space="preserve">I, σ. I-, σκέψη).</w:t>
      </w:r>
    </w:p>
    <w:p w14:paraId="291F779F" w14:textId="77777777">
      <w:pPr>
        <w:widowControl w:val="0"/>
        <w:tabs>
          <w:tab w:val="left" w:pos="467"/>
        </w:tabs>
        <w:autoSpaceDE w:val="0"/>
        <w:autoSpaceDN w:val="0"/>
        <w:spacing w:after="0" w:line="240" w:lineRule="auto"/>
        <w:ind w:left="567"/>
        <w:jc w:val="both"/>
        <w:rPr>
          <w:rFonts w:ascii="Times New Roman" w:hAnsi="Times New Roman" w:cs="Times New Roman" w:eastAsia="Times New Roman"/>
          <w:i/>
          <w:iCs/>
          <w:sz w:val="20"/>
          <w:szCs w:val="16"/>
        </w:rPr>
      </w:pPr>
    </w:p>
    <w:p w14:paraId="06E06802" w14:textId="376F605B">
      <w:pPr>
        <w:pStyle w:val="P68B1DB1-Normal15"/>
        <w:widowControl w:val="0"/>
        <w:tabs>
          <w:tab w:val="left" w:pos="467"/>
        </w:tabs>
        <w:autoSpaceDE w:val="0"/>
        <w:autoSpaceDN w:val="0"/>
        <w:spacing w:after="0" w:line="240" w:lineRule="auto"/>
        <w:ind w:left="567"/>
        <w:jc w:val="both"/>
        <w:rPr>
          <w:iCs/>
        </w:rPr>
      </w:pPr>
      <w:r>
        <w:t xml:space="preserve">41. Κατά συνέπεια, επιβάλλεται η διαπίστωση ότι η Πορτογαλική Δημοκρατία, εκδίδοντας την υπουργική απόφαση 783/98 χωρίς να την κοινοποιήσει στην Επιτροπή κατά το στάδιο του σχεδίου, παρέβη τις υποχρεώσεις που υπέχει από το άρθρο 8 της οδηγίας 98/34.»</w:t>
      </w:r>
    </w:p>
    <w:p w14:paraId="46D65C64" w14:textId="77777777">
      <w:pPr>
        <w:widowControl w:val="0"/>
        <w:tabs>
          <w:tab w:val="left" w:pos="467"/>
        </w:tabs>
        <w:autoSpaceDE w:val="0"/>
        <w:autoSpaceDN w:val="0"/>
        <w:spacing w:after="0" w:line="240" w:lineRule="auto"/>
        <w:jc w:val="both"/>
        <w:rPr>
          <w:rFonts w:ascii="Times New Roman" w:hAnsi="Times New Roman" w:cs="Times New Roman" w:eastAsia="Times New Roman"/>
          <w:i/>
          <w:iCs/>
          <w:sz w:val="20"/>
          <w:szCs w:val="16"/>
        </w:rPr>
      </w:pPr>
    </w:p>
    <w:p w14:paraId="0E3DB178" w14:textId="7EEA9154">
      <w:pPr>
        <w:pStyle w:val="P68B1DB1-Normal13"/>
        <w:widowControl w:val="0"/>
        <w:autoSpaceDE w:val="0"/>
        <w:autoSpaceDN w:val="0"/>
        <w:spacing w:after="0" w:line="240" w:lineRule="auto"/>
        <w:jc w:val="both"/>
        <w:outlineLvl w:val="1"/>
      </w:pPr>
      <w:hyperlink r:id="rId77" w:history="1">
        <w:r>
          <w:rPr>
            <w:rStyle w:val="Hyperlink"/>
            <w:color w:val="0000FF"/>
          </w:rPr>
          <w:t xml:space="preserve">Απόφαση της 26 Οκτωβρίου 2006</w:t>
        </w:r>
      </w:hyperlink>
      <w:r>
        <w:t xml:space="preserve"> στην υπόθεση C-65/05, Επιτροπή κατά Ελλάδας, σκέψεις 60 έως 62</w:t>
      </w:r>
      <w:bookmarkEnd w:id="130"/>
    </w:p>
    <w:p w14:paraId="6FCE0CC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ECD135F" w14:textId="0E173B3B">
      <w:pPr>
        <w:pStyle w:val="P68B1DB1-Normal14"/>
        <w:widowControl w:val="0"/>
        <w:tabs>
          <w:tab w:val="left" w:pos="467"/>
        </w:tabs>
        <w:autoSpaceDE w:val="0"/>
        <w:autoSpaceDN w:val="0"/>
        <w:spacing w:after="0" w:line="240" w:lineRule="auto"/>
        <w:jc w:val="both"/>
      </w:pPr>
      <w:r>
        <w:t xml:space="preserve">Η οδηγία απαιτεί από τα κράτη μέλη να κοινοποιούν αμέσως στην Επιτροπή κάθε σχέδιο τεχνικού κανόνα. Η Ελλάδα, παραλείποντας να προβεί στην κοινοποίηση αυτή πριν από τη θέσπιση τεχνικού κανόνα, παρέβη τις υποχρεώσεις που υπέχει δυνάμει της εν λόγω οδηγίας.</w:t>
      </w:r>
    </w:p>
    <w:p w14:paraId="2C6CFEB3" w14:textId="77777777">
      <w:pPr>
        <w:widowControl w:val="0"/>
        <w:tabs>
          <w:tab w:val="left" w:pos="467"/>
        </w:tabs>
        <w:autoSpaceDE w:val="0"/>
        <w:autoSpaceDN w:val="0"/>
        <w:spacing w:after="0" w:line="240" w:lineRule="auto"/>
        <w:ind w:left="-142"/>
        <w:jc w:val="both"/>
        <w:rPr>
          <w:rFonts w:ascii="Times New Roman" w:hAnsi="Times New Roman" w:cs="Times New Roman" w:eastAsia="Times New Roman"/>
          <w:szCs w:val="20"/>
        </w:rPr>
      </w:pPr>
    </w:p>
    <w:p w14:paraId="282FC740" w14:textId="4215BA66">
      <w:pPr>
        <w:pStyle w:val="P68B1DB1-BodyText25"/>
        <w:ind w:left="510"/>
      </w:pPr>
      <w:r>
        <w:t xml:space="preserve">«60. [...] από κανένα στοιχείο του κανονισμού 1367/2006 δεν μπορεί να συναχθεί ότι η έννοια των «εκπομπών στο περιβάλλον», κατά το άρθρο 6 παράγραφος 1, πρώτη περίοδος, του κανονισμού αυτού, πρέπει να περιορίζεται στις εκπομπές που προέρχονται από ορισμένες βιομηχανικές εγκαταστάσεις, όπως εργοστάσια και ηλεκτροπαραγωγικούς σταθμούς.</w:t>
      </w:r>
    </w:p>
    <w:p w14:paraId="4BFB9A72" w14:textId="77777777">
      <w:pPr>
        <w:pStyle w:val="P68B1DB1-BodyText25"/>
        <w:ind w:left="510"/>
      </w:pPr>
    </w:p>
    <w:p w14:paraId="0E60EA19" w14:textId="5C6F09B6">
      <w:pPr>
        <w:pStyle w:val="P68B1DB1-BodyText25"/>
        <w:ind w:left="510"/>
      </w:pPr>
      <w:r>
        <w:t xml:space="preserve">61. Ο περιορισμός αυτός δεν μπορεί να συναχθεί ούτε από τη Σύμβαση του Aarhus, η οποία πρέπει να ληφθεί υπόψη για την ερμηνεία του κανονισμού 1367/2006, δεδομένου ότι, όπως προβλέπει το άρθρο 1, σκοπός του κανονισμού αυτού είναι να συμβάλει στην εκπλήρωση των υποχρεώσεων που απορρέουν από την εν λόγω Σύμβαση, θεσπίζοντας κανόνες για την εφαρμογή των διατάξεων της εν λόγω Σύμβασης στα θεσμικά όργανα και τους οργανισμούς της Ένωσης.</w:t>
      </w:r>
    </w:p>
    <w:p w14:paraId="37017D07" w14:textId="77777777">
      <w:pPr>
        <w:pStyle w:val="P68B1DB1-BodyText25"/>
        <w:ind w:left="510"/>
      </w:pPr>
    </w:p>
    <w:p w14:paraId="36CD38D8" w14:textId="043FC15A">
      <w:pPr>
        <w:pStyle w:val="P68B1DB1-BodyText25"/>
        <w:ind w:left="510"/>
        <w:rPr>
          <w:iCs/>
        </w:rPr>
      </w:pPr>
      <w:r>
        <w:t xml:space="preserve">62. Αντιθέτως, όπως τόνισε το Δικαστήριο στη σκέψη 72 της σημερινής αποφάσεως Bayer CropScience και Stichting De Bijenstichting (C-442/14), ένας τέτοιος περιορισμός θα ήταν αντίθετος προς αυτό καθαυτό το γράμμα του άρθρου 4 παράγραφος 4, πρώτο εδάφιο, στοιχείο δ ́, της Συμβάσεως του Århus. Ειδικότερα, η διάταξη αυτή προβλέπει ότι οι πληροφορίες σχετικά με εκπομπές οι οποίες είναι σημαντικές για την προστασία του περιβάλλοντος πρέπει να δημοσιοποιούνται. Οι πληροφορίες σχετικά με τις εκπομπές που προέρχονται από άλλες πηγές πλην των βιομηχανικών εγκαταστάσεων, όπως αυτές που προκύπτουν από τη χρήση φυτοπροστατευτικών προϊόντων στα φυτά ή στο έδαφος, είναι εξίσου σημαντικές για την προστασία του περιβάλλοντος με τις πληροφορίες που αφορούν εκπομπές βιομηχανικής προέλευσης.»</w:t>
      </w:r>
    </w:p>
    <w:p w14:paraId="5A47A683" w14:textId="63BA7C02">
      <w:pPr>
        <w:spacing w:after="0" w:line="278" w:lineRule="auto"/>
        <w:rPr>
          <w:rFonts w:ascii="Times New Roman" w:hAnsi="Times New Roman" w:cs="Times New Roman" w:eastAsia="Times New Roman"/>
          <w:b/>
          <w:bCs/>
          <w:sz w:val="24"/>
          <w:szCs w:val="20"/>
        </w:rPr>
      </w:pPr>
      <w:r>
        <w:br w:type="page"/>
      </w:r>
    </w:p>
    <w:p w14:paraId="04343D49" w14:textId="77777777">
      <w:pPr>
        <w:pStyle w:val="BodyText"/>
        <w:rPr>
          <w:b/>
          <w:bCs/>
        </w:rPr>
      </w:pPr>
    </w:p>
    <w:p w14:paraId="7E3DD826" w14:textId="7480DFAD">
      <w:pPr>
        <w:pStyle w:val="P68B1DB1-Heading24"/>
        <w:numPr>
          <w:ilvl w:val="0"/>
          <w:numId w:val="36"/>
        </w:numPr>
        <w:spacing w:before="0" w:after="0"/>
        <w:jc w:val="center"/>
        <w:rPr>
          <w:bCs/>
          <w:color w:val="auto"/>
        </w:rPr>
      </w:pPr>
      <w:bookmarkStart w:id="131" w:name="_Ref195518088"/>
      <w:bookmarkStart w:id="132" w:name="_Toc203035675"/>
      <w:bookmarkEnd w:id="125"/>
      <w:r>
        <w:t xml:space="preserve">Κοινοποιήσεις νέων τεχνικών κανονισμών</w:t>
      </w:r>
      <w:bookmarkEnd w:id="131"/>
      <w:bookmarkEnd w:id="132"/>
    </w:p>
    <w:p w14:paraId="411799D7"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6C5E8F90" w14:textId="38D84DF9">
      <w:pPr>
        <w:pStyle w:val="P68B1DB1-Normal13"/>
        <w:widowControl w:val="0"/>
        <w:autoSpaceDE w:val="0"/>
        <w:autoSpaceDN w:val="0"/>
        <w:spacing w:after="0" w:line="240" w:lineRule="auto"/>
        <w:jc w:val="both"/>
        <w:outlineLvl w:val="1"/>
      </w:pPr>
      <w:hyperlink r:id="rId78" w:history="1">
        <w:r>
          <w:rPr>
            <w:color w:val="0000FF"/>
            <w:u w:val="single"/>
          </w:rPr>
          <w:t xml:space="preserve">Απόφαση της 1 Ιουνίου 1994</w:t>
        </w:r>
      </w:hyperlink>
      <w:r>
        <w:t xml:space="preserve"> στην υπόθεση C-317/92, Επιτροπή κατά Γερμανίας, σκέψεις 25 και 26.</w:t>
      </w:r>
      <w:bookmarkEnd w:id="133"/>
    </w:p>
    <w:p w14:paraId="02B677B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D1B1FEA" w14:textId="0EA3039C">
      <w:pPr>
        <w:pStyle w:val="P68B1DB1-Normal14"/>
        <w:widowControl w:val="0"/>
        <w:autoSpaceDE w:val="0"/>
        <w:autoSpaceDN w:val="0"/>
        <w:spacing w:after="0" w:line="240" w:lineRule="auto"/>
        <w:jc w:val="both"/>
      </w:pPr>
      <w:r>
        <w:t xml:space="preserve">Η επέκταση ενός υφιστάμενου «τεχνικού κανόνα» σε νέα προϊόντα καλύπτεται από την υποχρέωση κοινοποίησης, μολονότι ο αρχικός τεχνικός κανόνας του οποίου το πεδίο εφαρμογής επεκτείνεται έχει ήδη κοινοποιηθεί στην Επιτροπή.</w:t>
      </w:r>
    </w:p>
    <w:p w14:paraId="04A42097" w14:textId="77777777">
      <w:pPr>
        <w:widowControl w:val="0"/>
        <w:autoSpaceDE w:val="0"/>
        <w:autoSpaceDN w:val="0"/>
        <w:spacing w:after="0" w:line="240" w:lineRule="auto"/>
        <w:jc w:val="both"/>
        <w:rPr>
          <w:rFonts w:ascii="Times New Roman" w:hAnsi="Times New Roman" w:cs="Times New Roman" w:eastAsia="Times New Roman"/>
          <w:szCs w:val="20"/>
        </w:rPr>
      </w:pPr>
    </w:p>
    <w:p w14:paraId="357AEE3D" w14:textId="1CE95929">
      <w:pPr>
        <w:pStyle w:val="P68B1DB1-Normal15"/>
        <w:widowControl w:val="0"/>
        <w:autoSpaceDE w:val="0"/>
        <w:autoSpaceDN w:val="0"/>
        <w:spacing w:after="0" w:line="240" w:lineRule="auto"/>
        <w:ind w:left="567"/>
        <w:jc w:val="both"/>
      </w:pPr>
      <w:r>
        <w:t xml:space="preserve">«25. Το επιχείρημα αυτό δεν μπορεί να γίνει δεκτό. Ο εν λόγω γερμανικός κανονισμός αποτελεί νέα τεχνική προδιαγραφή κατά την έννοια του προαναφερθέντος άρθρου 1, δεδομένου ότι τα αποστειρωμένα ιατρικά εργαλεία που δεν επαναχρησιμοποιούνται μπορούν πλέον να διατίθενται στο εμπόριο ή να χρησιμοποιούνται στη Γερμανία μόνον εφόσον πληρούνται ορισμένες υποχρεώσεις, η εφαρμογή των οποίων περιοριζόταν προηγουμένως στην επισήμανση των φαρμάκων. Η εφαρμογή, σε συγκεκριμένα προϊόντα, κανόνα που προηγουμένως αφορούσε άλλα προϊόντα αποτελεί, όσον αφορά τα πρώτα, νέο κανόνα και επομένως πρέπει να κοινοποιείται, σύμφωνα με την οδηγία 83/189.</w:t>
      </w:r>
    </w:p>
    <w:p w14:paraId="6F610070" w14:textId="77777777">
      <w:pPr>
        <w:pStyle w:val="P68B1DB1-Normal15"/>
        <w:widowControl w:val="0"/>
        <w:autoSpaceDE w:val="0"/>
        <w:autoSpaceDN w:val="0"/>
        <w:spacing w:after="0" w:line="240" w:lineRule="auto"/>
        <w:ind w:left="567"/>
        <w:jc w:val="both"/>
      </w:pPr>
    </w:p>
    <w:p w14:paraId="1DBC3163" w14:textId="3F0E4DF7">
      <w:pPr>
        <w:pStyle w:val="P68B1DB1-Normal15"/>
        <w:widowControl w:val="0"/>
        <w:autoSpaceDE w:val="0"/>
        <w:autoSpaceDN w:val="0"/>
        <w:spacing w:after="0" w:line="240" w:lineRule="auto"/>
        <w:ind w:left="567"/>
        <w:jc w:val="both"/>
      </w:pPr>
      <w:r>
        <w:t xml:space="preserve">26. Η εκτίμηση αυτή δεν αποδυναμώνεται από το γεγονός ότι, όπως υποστηρίζει η Γερμανική Κυβέρνηση, η επέκταση του πεδίου εφαρμογής του κανόνα στηρίζεται σε εξουσιοδοτική διάταξη κοινοποιηθείσα προηγουμένως στην Επιτροπή. Συγκεκριμένα, η εξουσιοδοτική αυτή διάταξη, αυτή καθαυτή, δεν πρέπει να κοινοποιηθεί βάσει του προμνησθέντος άρθρου 8, διότι δεν αποτελεί νέα προδιαγραφή. Η κατάσταση είναι διαφορετική όσον αφορά την εφαρμογή του μέτρου αυτού, το οποίο συνιστά νέα προδιαγραφή που πρέπει να κοινοποιηθεί.»</w:t>
      </w:r>
    </w:p>
    <w:p w14:paraId="061E3A55"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4757D6C8" w14:textId="4D29C152">
      <w:pPr>
        <w:pStyle w:val="BodyText"/>
        <w:jc w:val="left"/>
        <w:rPr>
          <w:b/>
          <w:bCs/>
          <w:i/>
          <w:iCs/>
          <w:sz w:val="22"/>
          <w:szCs w:val="22"/>
        </w:rPr>
      </w:pPr>
      <w:hyperlink r:id="rId79" w:history="1">
        <w:r>
          <w:rPr>
            <w:rStyle w:val="Hyperlink"/>
            <w:b/>
            <w:i/>
            <w:color w:val="0000FF"/>
            <w:sz w:val="22"/>
            <w:szCs w:val="22"/>
          </w:rPr>
          <w:t xml:space="preserve">Απόφαση της 3 Ιουνίου 1999</w:t>
        </w:r>
      </w:hyperlink>
      <w:r>
        <w:rPr>
          <w:b/>
          <w:i/>
          <w:sz w:val="22"/>
          <w:szCs w:val="22"/>
        </w:rPr>
        <w:t xml:space="preserve"> στην υπόθεση C-33/189, Colim NV, σκέψη 22</w:t>
      </w:r>
    </w:p>
    <w:p w14:paraId="04F11CCA" w14:textId="77777777">
      <w:pPr>
        <w:pStyle w:val="BodyText"/>
        <w:jc w:val="left"/>
      </w:pPr>
    </w:p>
    <w:p w14:paraId="540E63FC" w14:textId="5143314B">
      <w:pPr>
        <w:pStyle w:val="P68B1DB1-Normal14"/>
        <w:widowControl w:val="0"/>
        <w:tabs>
          <w:tab w:val="left" w:pos="396"/>
          <w:tab w:val="left" w:pos="425"/>
        </w:tabs>
        <w:autoSpaceDE w:val="0"/>
        <w:autoSpaceDN w:val="0"/>
        <w:spacing w:after="0" w:line="240" w:lineRule="auto"/>
        <w:jc w:val="both"/>
      </w:pPr>
      <w:r>
        <w:t xml:space="preserve">Εθνικό μέτρο που αναπαράγει ή αντικαθιστά υφιστάμενους «τεχνικούς κανόνες», οι οποίοι έχουν ήδη κοινοποιηθεί στην Επιτροπή, χωρίς να προσθέτει νέες προδιαγραφές, δεν συνιστά σχέδιο «τεχνικού κανόνα».</w:t>
      </w:r>
    </w:p>
    <w:p w14:paraId="471E900A"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7F465EBB" w14:textId="22D1CEEE">
      <w:pPr>
        <w:pStyle w:val="P68B1DB1-BodyText25"/>
        <w:ind w:left="567"/>
      </w:pPr>
      <w:r>
        <w:t xml:space="preserve">«22. σκοπός της οδηγίας 83/189 είναι η προστασία, με προληπτικό έλεγχο, της ελεύθερης κυκλοφορίας των εμπορευμάτων, η οποία αποτελεί ένα από τα θεμέλια της Κοινότητας (απόφαση της 1997ης Οκτωβρίου 1753, C-13/96, Bic Benelux κατά Βελγικού Δημοσίου, που δεν έχει δημοσιευθεί ακόμη στη Συλλογή, σκέψη 19). Ο έλεγχος αυτός αποσκοπεί στην εξάλειψη ή στον περιορισμό των εμποδίων της ελεύθερης κυκλοφορίας των εμπορευμάτων τα οποία θα μπορούσαν να προκύψουν από τεχνικούς κανόνες τους οποίους τα κράτη μέλη προτίθενται να θεσπίσουν. Εθνικό μέτρο το οποίο αναπαράγει ή αντικαθιστά, χωρίς να προσθέτει νέες ή συμπληρωματικές προδιαγραφές, υφιστάμενους τεχνικούς κανόνες οι οποίοι, αν θεσπισθούν μετά την έναρξη ισχύος της οδηγίας 83/189, έχουν δεόντως κοινοποιηθεί στην Επιτροπή, δεν μπορεί να θεωρηθεί ως «σχέδιο» τεχνικού κανόνα κατά την έννοια του άρθρου 1 παράγραφος 6, της οδηγίας 83/189 και, κατά συνέπεια, ως υποκείμενο στην υποχρέωση κοινοποιήσεως.»</w:t>
      </w:r>
    </w:p>
    <w:p w14:paraId="10EB0A44" w14:textId="77777777">
      <w:pPr>
        <w:pStyle w:val="BodyText"/>
        <w:jc w:val="left"/>
      </w:pPr>
    </w:p>
    <w:p w14:paraId="0FD7863C" w14:textId="41998E8B">
      <w:pPr>
        <w:pStyle w:val="P68B1DB1-Normal13"/>
        <w:widowControl w:val="0"/>
        <w:autoSpaceDE w:val="0"/>
        <w:autoSpaceDN w:val="0"/>
        <w:spacing w:after="0" w:line="240" w:lineRule="auto"/>
        <w:jc w:val="both"/>
        <w:outlineLvl w:val="1"/>
      </w:pPr>
      <w:hyperlink r:id="rId80" w:history="1">
        <w:r>
          <w:rPr>
            <w:color w:val="0000FF"/>
            <w:u w:val="single"/>
          </w:rPr>
          <w:t xml:space="preserve">Απόφαση της 21 Απριλίου 2005</w:t>
        </w:r>
      </w:hyperlink>
      <w:r>
        <w:t xml:space="preserve"> στην υπόθεση C-267/03, Lindberg, σκέψεις 82 και 85</w:t>
      </w:r>
      <w:bookmarkEnd w:id="134"/>
    </w:p>
    <w:p w14:paraId="5A455B86"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31D51892" w14:textId="03C8B255">
      <w:pPr>
        <w:pStyle w:val="P68B1DB1-Normal14"/>
        <w:widowControl w:val="0"/>
        <w:tabs>
          <w:tab w:val="left" w:pos="396"/>
          <w:tab w:val="left" w:pos="425"/>
        </w:tabs>
        <w:autoSpaceDE w:val="0"/>
        <w:autoSpaceDN w:val="0"/>
        <w:spacing w:after="0" w:line="240" w:lineRule="auto"/>
        <w:jc w:val="both"/>
      </w:pPr>
      <w:r>
        <w:t xml:space="preserve">Ένας κανόνας ο οποίος απλώς αναπαράγει ή αντικαθιστά ήδη κοινοποιηθέντες κανόνες χωρίς να προσθέτει νέους «τεχνικούς κανόνες» δεν χρειάζεται να κοινοποιείται.</w:t>
      </w:r>
    </w:p>
    <w:p w14:paraId="571C5A4D"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75C11DD3" w14:textId="55D687C5">
      <w:pPr>
        <w:pStyle w:val="P68B1DB1-P68B1DB1-ListParagraph226"/>
        <w:tabs>
          <w:tab w:val="left" w:pos="396"/>
          <w:tab w:val="left" w:pos="425"/>
        </w:tabs>
        <w:ind w:left="567" w:right="0" w:firstLine="0"/>
        <w:rPr>
          <w:iCs/>
        </w:rPr>
      </w:pPr>
      <w:r>
        <w:t xml:space="preserve">«82. [...] πρέπει κατ’ αρχάς να υπομνησθεί ότι ένα εθνικό μέτρο το οποίο αναπαράγει ή αντικαθιστά, χωρίς να προσθέτει νέες ή συμπληρωματικές προδιαγραφές, τους υφιστάμενους τεχνικούς κανόνες οι οποίοι, αν θεσπισθούν μετά την έναρξη ισχύος της οδηγίας 83/189, κοινοποιήθηκαν προσηκόντως στην Επιτροπή, δεν μπορεί να θεωρηθεί ως «σχέδιο» τεχνικού κανόνα κατά την έννοια του άρθρου 1 παράγραφος 9, της οδηγίας 83/189 και, κατά συνέπεια, ως υποκείμενο στην υποχρέωση κοινοποιήσεως (βλ. προαναφερθείσα απόφαση Colim, σκέψη 22). Εν προκειμένω, πρέπει να ληφθεί υπόψη η ημερομηνία ενάρξεως ισχύος της οδηγίας 83/189 όσον αφορά το Βασίλειο της Σουηδίας.»</w:t>
      </w:r>
    </w:p>
    <w:p w14:paraId="0CA23066" w14:textId="77777777">
      <w:pPr>
        <w:pStyle w:val="P68B1DB1-ListParagraph2"/>
        <w:tabs>
          <w:tab w:val="left" w:pos="396"/>
          <w:tab w:val="left" w:pos="425"/>
        </w:tabs>
        <w:ind w:left="567" w:right="0"/>
        <w:rPr>
          <w:i/>
          <w:iCs/>
          <w:sz w:val="20"/>
          <w:szCs w:val="16"/>
        </w:rPr>
      </w:pPr>
    </w:p>
    <w:p w14:paraId="45277F90" w14:textId="583D0CBF">
      <w:pPr>
        <w:pStyle w:val="P68B1DB1-P68B1DB1-ListParagraph226"/>
        <w:tabs>
          <w:tab w:val="left" w:pos="396"/>
          <w:tab w:val="left" w:pos="425"/>
        </w:tabs>
        <w:ind w:left="567" w:right="0" w:firstLine="0"/>
      </w:pPr>
      <w:r>
        <w:t xml:space="preserve">«85. Κατόπιν των ανωτέρω, στο τρίτο ερώτημα πρέπει να δοθεί η απάντηση ότι ο επαναπροσδιορισμός, στην εθνική νομοθεσία, μιας υπηρεσίας που συνδέεται με τον σχεδιασμό ενός προϊόντος, ιδίως της υπηρεσίας εκμεταλλεύσεως ορισμένων μηχανών παιγνίων, όπως συνέβη με τον νόμο του 1996, μπορεί να συνιστά τεχνικό κανόνα ο οποίος πρέπει να κοινοποιηθεί δυνάμει της οδηγίας 83/189, αν η νέα αυτή ρύθμιση δεν περιορίζεται στην αναπαραγωγή ή την αντικατάσταση, χωρίς την προσθήκη νέων ή πρόσθετων προδιαγραφών, των υφιστάμενων τεχνικών κανόνων οι οποίοι, αν θεσπισθούν μετά την έναρξη ισχύος της οδηγίας 83/189 στο οικείο κράτος μέλος, κοινοποιήθηκαν προσηκόντως στην Επιτροπή.»</w:t>
      </w:r>
    </w:p>
    <w:p w14:paraId="7351A3AE" w14:textId="77777777">
      <w:pPr>
        <w:pStyle w:val="P68B1DB1-P68B1DB1-ListParagraph226"/>
        <w:tabs>
          <w:tab w:val="left" w:pos="396"/>
          <w:tab w:val="left" w:pos="425"/>
        </w:tabs>
        <w:ind w:left="0" w:right="0" w:firstLine="0"/>
      </w:pPr>
    </w:p>
    <w:p w14:paraId="7F72B3E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81" w:history="1">
        <w:r>
          <w:rPr>
            <w:rStyle w:val="Hyperlink"/>
            <w:rFonts w:ascii="Times New Roman" w:hAnsi="Times New Roman" w:cs="Times New Roman" w:eastAsia="Times New Roman"/>
            <w:b/>
            <w:i/>
            <w:color w:val="0000FF"/>
            <w:szCs w:val="20"/>
          </w:rPr>
          <w:t xml:space="preserve">Απόφαση της 13 Μαρτίου 2025</w:t>
        </w:r>
      </w:hyperlink>
      <w:r>
        <w:rPr>
          <w:rFonts w:ascii="Times New Roman" w:hAnsi="Times New Roman" w:cs="Times New Roman" w:eastAsia="Times New Roman"/>
          <w:b/>
          <w:i/>
          <w:szCs w:val="20"/>
        </w:rPr>
        <w:t xml:space="preserve"> στην υπόθεση C-120/24, Unigames UAB, σκέψεις 57 και 58.</w:t>
      </w:r>
      <w:bookmarkEnd w:id="135"/>
    </w:p>
    <w:p w14:paraId="6E6DA286" w14:textId="77777777">
      <w:pPr>
        <w:widowControl w:val="0"/>
        <w:tabs>
          <w:tab w:val="left" w:pos="437"/>
        </w:tabs>
        <w:autoSpaceDE w:val="0"/>
        <w:autoSpaceDN w:val="0"/>
        <w:spacing w:after="0" w:line="240" w:lineRule="auto"/>
        <w:jc w:val="both"/>
        <w:rPr>
          <w:rFonts w:ascii="Times New Roman" w:hAnsi="Times New Roman" w:cs="Times New Roman" w:eastAsia="Times New Roman"/>
          <w:b/>
          <w:i/>
          <w:szCs w:val="20"/>
        </w:rPr>
      </w:pPr>
    </w:p>
    <w:p w14:paraId="7F00F2A0"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Κάθε τροποποίηση σχεδίου τεχνικού κανόνα που διευρύνει ουσιωδώς το πεδίο εφαρμογής του πρέπει να κοινοποιείται. Μια τροπολογία που εισάγει κυρώσεις για νέες συμπεριφορές πρέπει να θεωρηθεί ότι συνιστά ουσιαστική αναθεώρηση ενός τεχνικού κανονισμού.</w:t>
      </w:r>
    </w:p>
    <w:p w14:paraId="6268DF61"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6C4E84CC" w14:textId="72CC56DD">
      <w:pPr>
        <w:pStyle w:val="P68B1DB1-Normal15"/>
        <w:widowControl w:val="0"/>
        <w:tabs>
          <w:tab w:val="left" w:pos="437"/>
        </w:tabs>
        <w:autoSpaceDE w:val="0"/>
        <w:autoSpaceDN w:val="0"/>
        <w:spacing w:after="0" w:line="240" w:lineRule="auto"/>
        <w:ind w:left="567"/>
        <w:jc w:val="both"/>
        <w:rPr>
          <w:iCs/>
        </w:rPr>
      </w:pPr>
      <w:r>
        <w:t xml:space="preserve">«57. Από την αίτηση προδικαστικής αποφάσεως προκύπτει ότι το άρθρο 10 παράγραφος 19, του νόμου περί τυχερών παιγνίων «αναθεώρησε ουσιωδώς» την απαγόρευση ενθαρρύνσεως της συμμετοχής σε τυχερά παίγνια. Ειδικότερα, το αιτούν δικαστήριο επισημαίνει ότι η συμπεριφορά που προσάπτεται στην Unigames βάσει του ισχύοντος νόμου, η οποία συνίσταται στη δημοσίευση, στον ιστότοπο της εν λόγω εταιρίας, πληροφοριών σχετικών με τις δραστηριότητες τυχερών παιγνίων που αυτή προσφέρει, δεν μπορούσε να τιμωρηθεί βάσει του προϊσχύσαντος νόμου περί τυχερών παιγνίων. Ως εκ τούτου, κατά το αιτούν δικαστήριο, το εν λόγω άρθρο 10 παράγραφος 19, διεύρυνε το πεδίο εφαρμογής της εν λόγω απαγόρευσης.</w:t>
      </w:r>
    </w:p>
    <w:p w14:paraId="1B4969EB" w14:textId="77777777">
      <w:pPr>
        <w:pStyle w:val="P68B1DB1-Normal15"/>
        <w:widowControl w:val="0"/>
        <w:tabs>
          <w:tab w:val="left" w:pos="437"/>
        </w:tabs>
        <w:autoSpaceDE w:val="0"/>
        <w:autoSpaceDN w:val="0"/>
        <w:spacing w:after="0" w:line="240" w:lineRule="auto"/>
        <w:ind w:left="567"/>
        <w:jc w:val="both"/>
        <w:rPr>
          <w:iCs/>
        </w:rPr>
      </w:pPr>
    </w:p>
    <w:p w14:paraId="6A710DBF" w14:textId="5A8EA617">
      <w:pPr>
        <w:pStyle w:val="P68B1DB1-Normal15"/>
        <w:widowControl w:val="0"/>
        <w:tabs>
          <w:tab w:val="left" w:pos="437"/>
        </w:tabs>
        <w:autoSpaceDE w:val="0"/>
        <w:autoSpaceDN w:val="0"/>
        <w:spacing w:after="0" w:line="240" w:lineRule="auto"/>
        <w:ind w:left="567"/>
        <w:jc w:val="both"/>
        <w:rPr>
          <w:iCs/>
        </w:rPr>
      </w:pPr>
      <w:r>
        <w:t xml:space="preserve">58. Επομένως, από τα στοιχεία που περιλαμβάνονται στην αίτηση προδικαστικής αποφάσεως προκύπτει ότι το άρθρο 10 παράγραφος 19, του νόμου περί τυχερών παιγνίων πρόσθεσε νέες ή πρόσθετες απαιτήσεις, κατά την έννοια της νομολογίας που υπομνήσθηκε στη σκέψη 52 της παρούσας αποφάσεως, σε σύγκριση με το άρθρο 10 παράγραφος 19, του προϊσχύσαντος νόμου περί τυχερών παιγνίων. Επομένως, υπό την επιφύλαξη των εξακριβώσεων στις οποίες οφείλει να προβεί το αιτούν δικαστήριο, η τροποποίηση που οδήγησε στην ισχύουσα νομοθεσία θα έπρεπε να είχε κοινοποιηθεί σύμφωνα με το άρθρο 5 παράγραφος 1, πρώτο εδάφιο, της οδηγίας 2015/1535.»</w:t>
      </w:r>
    </w:p>
    <w:p w14:paraId="339BEA27" w14:textId="77777777">
      <w:pPr>
        <w:pStyle w:val="P68B1DB1-P68B1DB1-ListParagraph226"/>
        <w:tabs>
          <w:tab w:val="left" w:pos="396"/>
          <w:tab w:val="left" w:pos="425"/>
        </w:tabs>
        <w:ind w:left="0" w:right="0" w:firstLine="0"/>
        <w:rPr>
          <w:iCs/>
        </w:rPr>
      </w:pPr>
    </w:p>
    <w:p w14:paraId="6669AD1C" w14:textId="1CFF8354">
      <w:pPr>
        <w:pStyle w:val="P68B1DB1-Normal16"/>
        <w:spacing w:after="0" w:line="240" w:lineRule="auto"/>
        <w:rPr>
          <w:i/>
          <w:iCs/>
        </w:rPr>
      </w:pPr>
      <w:r>
        <w:br w:type="page"/>
      </w:r>
    </w:p>
    <w:p w14:paraId="7F22FE55" w14:textId="67315266">
      <w:pPr>
        <w:pStyle w:val="P68B1DB1-Heading24"/>
        <w:numPr>
          <w:ilvl w:val="0"/>
          <w:numId w:val="36"/>
        </w:numPr>
        <w:spacing w:before="0" w:after="0"/>
        <w:jc w:val="center"/>
        <w:rPr>
          <w:bCs/>
          <w:color w:val="auto"/>
        </w:rPr>
      </w:pPr>
      <w:bookmarkStart w:id="136" w:name="_Ref194484898"/>
      <w:bookmarkStart w:id="137" w:name="_Toc203035676"/>
      <w:r>
        <w:t xml:space="preserve">Κοινοποίηση του πλήρους κειμένου</w:t>
      </w:r>
      <w:bookmarkEnd w:id="136"/>
      <w:bookmarkEnd w:id="137"/>
    </w:p>
    <w:p w14:paraId="7C840A0C" w14:textId="77777777">
      <w:pPr>
        <w:pStyle w:val="BodyText"/>
        <w:rPr>
          <w:b/>
          <w:bCs/>
        </w:rPr>
      </w:pPr>
    </w:p>
    <w:p w14:paraId="70826245" w14:textId="6B20BAFD">
      <w:pPr>
        <w:pStyle w:val="P68B1DB1-Normal13"/>
        <w:widowControl w:val="0"/>
        <w:autoSpaceDE w:val="0"/>
        <w:autoSpaceDN w:val="0"/>
        <w:spacing w:after="0" w:line="240" w:lineRule="auto"/>
        <w:jc w:val="both"/>
        <w:outlineLvl w:val="1"/>
      </w:pPr>
      <w:hyperlink r:id="rId82" w:history="1">
        <w:r>
          <w:rPr>
            <w:color w:val="0000FF"/>
            <w:u w:val="single"/>
          </w:rPr>
          <w:t xml:space="preserve">Απόφαση της 16 Σεπτεμβρίου 1997</w:t>
        </w:r>
      </w:hyperlink>
      <w:r>
        <w:t xml:space="preserve">, Επιτροπή κατά Ιταλίας, C-279/94, σκέψεις 38 και 42</w:t>
      </w:r>
      <w:bookmarkEnd w:id="138"/>
    </w:p>
    <w:p w14:paraId="5500F145" w14:textId="77777777">
      <w:pPr>
        <w:widowControl w:val="0"/>
        <w:autoSpaceDE w:val="0"/>
        <w:autoSpaceDN w:val="0"/>
        <w:spacing w:after="0" w:line="240" w:lineRule="auto"/>
        <w:jc w:val="both"/>
        <w:rPr>
          <w:rFonts w:ascii="Times New Roman" w:hAnsi="Times New Roman" w:cs="Times New Roman" w:eastAsia="Times New Roman"/>
          <w:szCs w:val="20"/>
        </w:rPr>
      </w:pPr>
    </w:p>
    <w:p w14:paraId="2034B5D1" w14:textId="5EDE6A01">
      <w:pPr>
        <w:pStyle w:val="P68B1DB1-Normal14"/>
        <w:widowControl w:val="0"/>
        <w:autoSpaceDE w:val="0"/>
        <w:autoSpaceDN w:val="0"/>
        <w:spacing w:after="0" w:line="240" w:lineRule="auto"/>
        <w:jc w:val="both"/>
      </w:pPr>
      <w:r>
        <w:t xml:space="preserve">Ένα κείμενο που περιέχει «τεχνικούς κανόνες» πρέπει να κοινοποιείται στο σύνολό του, συμπεριλαμβανομένων των μέτρων που δεν είναι «τεχνικοί κανόνες», ακόμη και αν μόνον οι «τεχνικοί κανονισμοί» υπόκεινται στην ανασταλτική προθεσμία.</w:t>
      </w:r>
    </w:p>
    <w:p w14:paraId="212FCCEC" w14:textId="77777777">
      <w:pPr>
        <w:widowControl w:val="0"/>
        <w:autoSpaceDE w:val="0"/>
        <w:autoSpaceDN w:val="0"/>
        <w:spacing w:after="0" w:line="240" w:lineRule="auto"/>
        <w:jc w:val="both"/>
        <w:rPr>
          <w:rFonts w:ascii="Times New Roman" w:hAnsi="Times New Roman" w:cs="Times New Roman" w:eastAsia="Times New Roman"/>
          <w:szCs w:val="20"/>
        </w:rPr>
      </w:pPr>
    </w:p>
    <w:p w14:paraId="41D543D7" w14:textId="2D86A463">
      <w:pPr>
        <w:pStyle w:val="P68B1DB1-Normal15"/>
        <w:widowControl w:val="0"/>
        <w:tabs>
          <w:tab w:val="left" w:pos="396"/>
          <w:tab w:val="left" w:pos="461"/>
        </w:tabs>
        <w:autoSpaceDE w:val="0"/>
        <w:autoSpaceDN w:val="0"/>
        <w:spacing w:after="0" w:line="240" w:lineRule="auto"/>
        <w:ind w:left="567"/>
        <w:jc w:val="both"/>
        <w:rPr>
          <w:iCs/>
        </w:rPr>
      </w:pPr>
      <w:r>
        <w:t xml:space="preserve">«38. Όσον αφορά την υποχρέωση της Ιταλικής Κυβερνήσεως να κοινοποιήσει το πλήρες κείμενο του νόμου 257/92, συμπεριλαμβανομένων των διατάξεων που δεν αποτελούν τεχνικούς κανόνες, επιβάλλεται η διαπίστωση ότι, σύμφωνα με το άρθρο 8 παράγραφος 1, πρώτο εδάφιο, τελευταία περίοδος, της οδηγίας, τα κράτη μέλη οφείλουν επίσης να ανακοινώσουν στην Επιτροπή το κείμενο των βασικών νομοθετικών ή κανονιστικών διατάξεων που αφορά κυρίως και άμεσα το κείμενο αυτό, εφόσον η γνώση του κειμένου αυτού είναι αναγκαία για την εκτίμηση των συνεπειών του σχεδίου τεχνικού κανόνα.»</w:t>
      </w:r>
    </w:p>
    <w:p w14:paraId="2D985B3C"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iCs/>
          <w:sz w:val="20"/>
          <w:szCs w:val="16"/>
        </w:rPr>
      </w:pPr>
    </w:p>
    <w:p w14:paraId="48F0D541" w14:textId="215D3040">
      <w:pPr>
        <w:pStyle w:val="P68B1DB1-Normal15"/>
        <w:widowControl w:val="0"/>
        <w:tabs>
          <w:tab w:val="left" w:pos="396"/>
          <w:tab w:val="left" w:pos="461"/>
        </w:tabs>
        <w:autoSpaceDE w:val="0"/>
        <w:autoSpaceDN w:val="0"/>
        <w:spacing w:after="0" w:line="240" w:lineRule="auto"/>
        <w:ind w:left="567"/>
        <w:jc w:val="both"/>
        <w:rPr>
          <w:iCs/>
        </w:rPr>
      </w:pPr>
      <w:r>
        <w:t xml:space="preserve">«42. Ωστόσο, το γεγονός και μόνον ότι όλες οι διατάξεις του νόμου 257/92 κοινοποιούνται στην Επιτροπή δεν εμποδίζει την Ιταλική Δημοκρατία να θέσει αμέσως σε ισχύ, και επομένως χωρίς να αναμείνει τα αποτελέσματα της διαδικασίας εξετάσεως που προβλέπει η οδηγία, τις διατάξεις που δεν συνιστούν τεχνικούς κανόνες.»</w:t>
      </w:r>
    </w:p>
    <w:p w14:paraId="7749D63B" w14:textId="5E15703E">
      <w:pPr>
        <w:pStyle w:val="P68B1DB1-Normal16"/>
        <w:spacing w:after="0" w:line="240" w:lineRule="auto"/>
        <w:rPr>
          <w:i/>
          <w:iCs/>
        </w:rPr>
      </w:pPr>
      <w:r>
        <w:br w:type="page"/>
      </w:r>
    </w:p>
    <w:p w14:paraId="66AC7FAE" w14:textId="2333E9D9">
      <w:pPr>
        <w:pStyle w:val="P68B1DB1-Heading24"/>
        <w:numPr>
          <w:ilvl w:val="0"/>
          <w:numId w:val="36"/>
        </w:numPr>
        <w:spacing w:before="0" w:after="0"/>
        <w:jc w:val="center"/>
        <w:rPr>
          <w:bCs/>
          <w:color w:val="auto"/>
        </w:rPr>
      </w:pPr>
      <w:bookmarkStart w:id="139" w:name="_Ref194484917"/>
      <w:bookmarkStart w:id="140" w:name="_Ref196314289"/>
      <w:bookmarkStart w:id="141" w:name="_Toc203035677"/>
      <w:r>
        <w:t xml:space="preserve">Κοινοποίηση των σχετικών βασικών </w:t>
      </w:r>
      <w:bookmarkEnd w:id="139"/>
      <w:r>
        <w:t>διατάξεων</w:t>
      </w:r>
      <w:bookmarkEnd w:id="140"/>
      <w:bookmarkEnd w:id="141"/>
    </w:p>
    <w:p w14:paraId="02AB25EF" w14:textId="77777777">
      <w:pPr>
        <w:pStyle w:val="BodyText"/>
        <w:ind w:left="1440"/>
        <w:jc w:val="right"/>
        <w:rPr>
          <w:i/>
          <w:iCs/>
        </w:rPr>
      </w:pPr>
    </w:p>
    <w:p w14:paraId="7ADAEEA1" w14:textId="057664EC">
      <w:pPr>
        <w:pStyle w:val="P68B1DB1-BodyText11"/>
        <w:ind w:left="1440"/>
        <w:rPr>
          <w:iCs/>
        </w:rPr>
      </w:pPr>
      <w:r>
        <w:t xml:space="preserve">«Κατά περίπτωση, και εκτός εάν έχει ήδη αποσταλεί με προηγούμενη ανακοίνωση, τα κράτη μέλη κοινοποιούν ταυτόχρονα στην Επιτροπή το κείμενο των βασικών νομοθετικών ή κανονιστικών διατάξεων που αφορούν κυρίως και άμεσα το κείμενο, εφόσον η γνώση του κειμένου αυτού είναι αναγκαία για την εκτίμηση των επιπτώσεων του σχεδίου τεχνικού κανόνα.»</w:t>
      </w:r>
    </w:p>
    <w:p w14:paraId="3C018828" w14:textId="77777777">
      <w:pPr>
        <w:pStyle w:val="BodyText"/>
        <w:ind w:left="1440"/>
        <w:jc w:val="right"/>
        <w:rPr>
          <w:i/>
          <w:iCs/>
        </w:rPr>
      </w:pPr>
    </w:p>
    <w:p w14:paraId="21D14611" w14:textId="15758967">
      <w:pPr>
        <w:pStyle w:val="BodyText"/>
        <w:ind w:left="1440"/>
        <w:jc w:val="right"/>
      </w:pPr>
      <w:r>
        <w:t xml:space="preserve">(άρθρο 5 παράγραφος 1 δεύτερη περίοδος της οδηγίας (ΕΕ) 2015/1535)</w:t>
      </w:r>
    </w:p>
    <w:p w14:paraId="7479C45A" w14:textId="77777777">
      <w:pPr>
        <w:pStyle w:val="BodyText"/>
        <w:ind w:left="1440"/>
        <w:jc w:val="right"/>
        <w:rPr>
          <w:i/>
          <w:iCs/>
        </w:rPr>
      </w:pPr>
    </w:p>
    <w:p w14:paraId="7E6EAA27" w14:textId="714E980B">
      <w:pPr>
        <w:pStyle w:val="P68B1DB1-Normal13"/>
        <w:widowControl w:val="0"/>
        <w:autoSpaceDE w:val="0"/>
        <w:autoSpaceDN w:val="0"/>
        <w:spacing w:after="0" w:line="240" w:lineRule="auto"/>
        <w:jc w:val="both"/>
        <w:outlineLvl w:val="1"/>
      </w:pPr>
      <w:hyperlink r:id="rId83" w:history="1">
        <w:r>
          <w:rPr>
            <w:color w:val="0000FF"/>
            <w:u w:val="single"/>
          </w:rPr>
          <w:t xml:space="preserve">Απόφαση της 7 Μαΐου 1998</w:t>
        </w:r>
      </w:hyperlink>
      <w:r>
        <w:t xml:space="preserve"> στην υπόθεση C-145/97, Επιτροπή κατά Βελγίου, σκέψεις 11 και 12.</w:t>
      </w:r>
      <w:bookmarkEnd w:id="142"/>
    </w:p>
    <w:p w14:paraId="768284F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832E540" w14:textId="0817AF48">
      <w:pPr>
        <w:pStyle w:val="P68B1DB1-Normal14"/>
        <w:widowControl w:val="0"/>
        <w:tabs>
          <w:tab w:val="left" w:pos="437"/>
        </w:tabs>
        <w:autoSpaceDE w:val="0"/>
        <w:autoSpaceDN w:val="0"/>
        <w:spacing w:after="0" w:line="240" w:lineRule="auto"/>
        <w:jc w:val="both"/>
      </w:pPr>
      <w:r>
        <w:t xml:space="preserve">Τα κράτη μέλη πρέπει να κοινοποιούν όχι μόνο το σχέδιο κειμένου που περιέχει τους «τεχνικούς κανόνες», αλλά και το κείμενο των βασικών νομοθετικών ή κανονιστικών διατάξεων που αφορούν κυρίως και άμεσα. Σκοπός της υποχρεώσεως αυτής είναι να παράσχει στην Επιτροπή τη δυνατότητα να έχει στη διάθεσή της όσο το δυνατόν περισσότερες πληροφορίες και, ως εκ τούτου, να ασκεί αποτελεσματικά τις εξουσίες που της απονέμει η οδηγία.</w:t>
      </w:r>
    </w:p>
    <w:p w14:paraId="239177AF"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652AC3E4" w14:textId="74A8268E">
      <w:pPr>
        <w:pStyle w:val="P68B1DB1-P68B1DB1-Normal1623"/>
        <w:widowControl w:val="0"/>
        <w:tabs>
          <w:tab w:val="left" w:pos="437"/>
        </w:tabs>
        <w:autoSpaceDE w:val="0"/>
        <w:autoSpaceDN w:val="0"/>
        <w:spacing w:after="0" w:line="240" w:lineRule="auto"/>
        <w:ind w:left="567"/>
        <w:jc w:val="both"/>
        <w:rPr>
          <w:i/>
        </w:rPr>
      </w:pPr>
      <w:r>
        <w:t xml:space="preserve">«11. Δεύτερον, όσον αφορά το ακριβές περιεχόμενο της υποχρεώσεως γνωστοποιήσεως, το άρθρο 8 παράγραφος 1, πρώτο εδάφιο, τελευταία περίοδος, της οδηγίας προβλέπει ότι τα κράτη μέλη ανακοινώνουν επίσης το κείμενο των βασικών νομοθετικών ή κανονιστικών διατάξεων τις οποίες αφορούν κυρίως και άμεσα, εφόσον η γνώση του κειμένου αυτού είναι αναγκαία για την εκτίμηση των επιπτώσεων του σχεδίου τεχνικού κανόνα.</w:t>
      </w:r>
    </w:p>
    <w:p w14:paraId="34A9E602" w14:textId="77777777">
      <w:pPr>
        <w:pStyle w:val="P68B1DB1-Normal16"/>
        <w:widowControl w:val="0"/>
        <w:tabs>
          <w:tab w:val="left" w:pos="437"/>
        </w:tabs>
        <w:autoSpaceDE w:val="0"/>
        <w:autoSpaceDN w:val="0"/>
        <w:spacing w:after="0" w:line="240" w:lineRule="auto"/>
        <w:ind w:left="567"/>
        <w:jc w:val="both"/>
        <w:rPr>
          <w:i/>
        </w:rPr>
      </w:pPr>
    </w:p>
    <w:p w14:paraId="4EF4E053" w14:textId="6423D8FC">
      <w:pPr>
        <w:pStyle w:val="P68B1DB1-P68B1DB1-Normal1623"/>
        <w:widowControl w:val="0"/>
        <w:tabs>
          <w:tab w:val="left" w:pos="437"/>
        </w:tabs>
        <w:autoSpaceDE w:val="0"/>
        <w:autoSpaceDN w:val="0"/>
        <w:spacing w:after="0" w:line="240" w:lineRule="auto"/>
        <w:ind w:left="567"/>
        <w:jc w:val="both"/>
        <w:rPr>
          <w:i/>
        </w:rPr>
      </w:pPr>
      <w:r>
        <w:t xml:space="preserve">12. Όπως διευκρίνισε το Δικαστήριο στην απόφασή του στην υπόθεση C-279/94, Επιτροπή κατά Ιταλίας (Συλλογή 1997, σ. I-4743, σκέψη 40), η διάταξη αυτή έχει ως σκοπό να παράσχει στην Επιτροπή τη δυνατότητα να διαθέτει όσο το δυνατόν περισσότερες πληροφορίες σχετικά με κάθε σχέδιο τεχνικού κανονισμού όσον αφορά το περιεχόμενο, το πεδίο εφαρμογής και το γενικό πλαίσιό του, προκειμένου να μπορεί να ασκεί όσο το δυνατόν αποτελεσματικότερα τις εξουσίες που της απονέμει η οδηγία.»</w:t>
      </w:r>
    </w:p>
    <w:p w14:paraId="4E67514A" w14:textId="77777777">
      <w:pPr>
        <w:pStyle w:val="P68B1DB1-Normal16"/>
        <w:spacing w:after="0" w:line="240" w:lineRule="auto"/>
      </w:pPr>
      <w:r>
        <w:br w:type="page"/>
      </w:r>
    </w:p>
    <w:p w14:paraId="6CA665D0" w14:textId="62A7B166">
      <w:pPr>
        <w:pStyle w:val="P68B1DB1-Heading24"/>
        <w:numPr>
          <w:ilvl w:val="0"/>
          <w:numId w:val="36"/>
        </w:numPr>
        <w:spacing w:before="0" w:after="0"/>
        <w:jc w:val="center"/>
        <w:rPr>
          <w:bCs/>
          <w:color w:val="auto"/>
        </w:rPr>
      </w:pPr>
      <w:bookmarkStart w:id="143" w:name="_Ref194484926"/>
      <w:bookmarkStart w:id="144" w:name="_Ref196314295"/>
      <w:bookmarkStart w:id="145" w:name="_Toc203035678"/>
      <w:r>
        <w:t xml:space="preserve">Εκ νέου</w:t>
      </w:r>
      <w:bookmarkEnd w:id="143"/>
      <w:r>
        <w:t xml:space="preserve"> κοινοποίηση κατά τη διάρκεια της περιόδου αναμονής</w:t>
      </w:r>
      <w:bookmarkEnd w:id="144"/>
      <w:bookmarkEnd w:id="145"/>
    </w:p>
    <w:p w14:paraId="469CC5E9" w14:textId="77777777">
      <w:pPr>
        <w:pStyle w:val="BodyText"/>
        <w:ind w:left="1440"/>
        <w:jc w:val="right"/>
        <w:rPr>
          <w:i/>
          <w:iCs/>
        </w:rPr>
      </w:pPr>
    </w:p>
    <w:p w14:paraId="07616479" w14:textId="3F014BDB">
      <w:pPr>
        <w:pStyle w:val="P68B1DB1-BodyText11"/>
        <w:ind w:left="1440"/>
        <w:rPr>
          <w:iCs/>
        </w:rPr>
      </w:pPr>
      <w:r>
        <w:t xml:space="preserve">«Τα κράτη μέλη κοινοποιούν εκ νέου το σχέδιο τεχνικού κανόνα στην Επιτροπή, υπό τους όρους που προβλέπονται στο πρώτο και δεύτερο εδάφιο της παρούσας παραγράφου, εάν επιφέρουν αλλαγές στο σχέδιο που έχουν ως αποτέλεσμα τη σημαντική μεταβολή του πεδίου εφαρμογής του, τη συντόμευση του χρονοδιαγράμματος που είχε αρχικά προβλεφθεί για την εφαρμογή του, την προσθήκη προδιαγραφών ή απαιτήσεων ή την ενίσχυση του περιορισμού τους.»</w:t>
      </w:r>
    </w:p>
    <w:p w14:paraId="3E582DDB" w14:textId="77777777">
      <w:pPr>
        <w:pStyle w:val="BodyText"/>
        <w:ind w:left="1440"/>
        <w:jc w:val="right"/>
        <w:rPr>
          <w:i/>
          <w:iCs/>
        </w:rPr>
      </w:pPr>
    </w:p>
    <w:p w14:paraId="57E3F15D" w14:textId="51B7D3EF">
      <w:pPr>
        <w:pStyle w:val="BodyText"/>
        <w:ind w:left="1440"/>
        <w:jc w:val="right"/>
      </w:pPr>
      <w:r>
        <w:t xml:space="preserve">(άρθρο 5 παράγραφος 1 τρίτη περίοδος της οδηγίας (ΕΕ) 2015/1535)</w:t>
      </w:r>
    </w:p>
    <w:p w14:paraId="3C5D4E98" w14:textId="77777777">
      <w:pPr>
        <w:widowControl w:val="0"/>
        <w:tabs>
          <w:tab w:val="left" w:pos="437"/>
        </w:tabs>
        <w:autoSpaceDE w:val="0"/>
        <w:autoSpaceDN w:val="0"/>
        <w:spacing w:after="0" w:line="240" w:lineRule="auto"/>
        <w:jc w:val="both"/>
      </w:pPr>
    </w:p>
    <w:p w14:paraId="0923F993" w14:textId="2074D78C">
      <w:pPr>
        <w:pStyle w:val="P68B1DB1-Normal13"/>
        <w:widowControl w:val="0"/>
        <w:autoSpaceDE w:val="0"/>
        <w:autoSpaceDN w:val="0"/>
        <w:spacing w:after="0" w:line="240" w:lineRule="auto"/>
        <w:jc w:val="both"/>
        <w:outlineLvl w:val="1"/>
      </w:pPr>
      <w:hyperlink r:id="rId84" w:history="1">
        <w:r>
          <w:rPr>
            <w:color w:val="0000FF"/>
            <w:u w:val="single"/>
          </w:rPr>
          <w:t xml:space="preserve">Απόφαση της 15 Απριλίου 2010</w:t>
        </w:r>
      </w:hyperlink>
      <w:r>
        <w:t xml:space="preserve"> στην υπόθεση C-433/05, Sandström, σκέψεις 47 και 48.</w:t>
      </w:r>
      <w:bookmarkEnd w:id="146"/>
    </w:p>
    <w:p w14:paraId="442A3D5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7AEB5DB" w14:textId="57E34DD0">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Τροποποιήσεις σε σχέδιο τεχνικού κανόνα που έχει ήδη κοινοποιηθεί στην Επιτροπή, οι οποίες απλώς χαλαρώνουν τους όρους χρήσης του εν λόγω προϊόντος, δεν συνιστούν σημαντική τροποποίηση που απαιτεί περαιτέρω κοινοποίηση.</w:t>
      </w:r>
    </w:p>
    <w:p w14:paraId="14CAB084" w14:textId="77777777">
      <w:pPr>
        <w:widowControl w:val="0"/>
        <w:autoSpaceDE w:val="0"/>
        <w:autoSpaceDN w:val="0"/>
        <w:spacing w:after="0" w:line="240" w:lineRule="auto"/>
        <w:jc w:val="both"/>
        <w:rPr>
          <w:rFonts w:ascii="Times New Roman" w:hAnsi="Times New Roman" w:cs="Times New Roman" w:eastAsia="Times New Roman"/>
          <w:szCs w:val="20"/>
        </w:rPr>
      </w:pPr>
    </w:p>
    <w:p w14:paraId="711A665A" w14:textId="07F4B9B5">
      <w:pPr>
        <w:pStyle w:val="P68B1DB1-Normal15"/>
        <w:widowControl w:val="0"/>
        <w:autoSpaceDE w:val="0"/>
        <w:autoSpaceDN w:val="0"/>
        <w:spacing w:after="0" w:line="240" w:lineRule="auto"/>
        <w:ind w:left="567"/>
        <w:jc w:val="both"/>
      </w:pPr>
      <w:r>
        <w:t xml:space="preserve">«47. [...] λαμβανομένου υπόψη του σκοπού της οδηγίας 98/34, ο οποίος υπομνήσθηκε στη σκέψη 41 της παρούσας αποφάσεως, οι τροποποιήσεις που επήλθαν σε σχέδιο τεχνικού κανόνα που έχει ήδη κοινοποιηθεί στην Επιτροπή σύμφωνα με το άρθρο 8 παράγραφος 1, πρώτο εδάφιο, της οδηγίας 98/34, οι οποίες περιλαμβάνουν, σε σχέση με το κοινοποιηθέν σχέδιο, απλώς χαλάρωση των όρων χρήσεως του οικείου προϊόντος και οι οποίες, ως εκ τούτου, μειώνουν τις ενδεχόμενες επιπτώσεις του τεχνικού κανόνα στις συναλλαγές, δεν συνιστούν σημαντική τροποποίηση του σχεδίου κατά την έννοια του άρθρου 8 παράγραφος 1, τρίτο εδάφιο, της οδηγίας αυτής. Συνεπώς, για τις τροποποιήσεις αυτές δεν ισχύει η υποχρέωση προηγούμενης γνωστοποιήσεως.</w:t>
      </w:r>
    </w:p>
    <w:p w14:paraId="1CD58368" w14:textId="77777777">
      <w:pPr>
        <w:pStyle w:val="P68B1DB1-Normal15"/>
        <w:widowControl w:val="0"/>
        <w:autoSpaceDE w:val="0"/>
        <w:autoSpaceDN w:val="0"/>
        <w:spacing w:after="0" w:line="240" w:lineRule="auto"/>
        <w:ind w:left="567"/>
        <w:jc w:val="both"/>
      </w:pPr>
    </w:p>
    <w:p w14:paraId="07688F8B" w14:textId="1AE41F0D">
      <w:pPr>
        <w:pStyle w:val="P68B1DB1-Normal15"/>
        <w:widowControl w:val="0"/>
        <w:autoSpaceDE w:val="0"/>
        <w:autoSpaceDN w:val="0"/>
        <w:spacing w:after="0" w:line="240" w:lineRule="auto"/>
        <w:ind w:left="567"/>
        <w:jc w:val="both"/>
        <w:rPr>
          <w:iCs/>
        </w:rPr>
      </w:pPr>
      <w:r>
        <w:t xml:space="preserve">48. Μολονότι, κατά το άρθρο 8 παράγραφος 3, της οδηγίας 98/34, τα κράτη μέλη ανακοινώνουν αμελλητί στην Επιτροπή το οριστικό κείμενο ενός τεχνικού κανόνα, η μη ανακοίνωση μιας μη σημαντικής τροποποιήσεως ενός τέτοιου κανονισμού πριν από την έκδοσή του δεν επηρεάζει τη δυνατότητα εφαρμογής του κανονισμού αυτού, εφόσον δεν υφίσταται υποχρέωση προηγούμενης κοινοποιήσεως.»</w:t>
      </w:r>
    </w:p>
    <w:p w14:paraId="56651A14" w14:textId="77777777">
      <w:pPr>
        <w:widowControl w:val="0"/>
        <w:tabs>
          <w:tab w:val="left" w:pos="461"/>
        </w:tabs>
        <w:autoSpaceDE w:val="0"/>
        <w:autoSpaceDN w:val="0"/>
        <w:spacing w:after="0" w:line="240" w:lineRule="auto"/>
        <w:jc w:val="both"/>
        <w:rPr>
          <w:rFonts w:ascii="Times New Roman" w:hAnsi="Times New Roman" w:cs="Times New Roman" w:eastAsia="Times New Roman"/>
          <w:sz w:val="20"/>
          <w:szCs w:val="16"/>
        </w:rPr>
      </w:pPr>
    </w:p>
    <w:p w14:paraId="595AF62A" w14:textId="0AF157F1">
      <w:pPr>
        <w:pStyle w:val="P68B1DB1-Normal13"/>
        <w:widowControl w:val="0"/>
        <w:autoSpaceDE w:val="0"/>
        <w:autoSpaceDN w:val="0"/>
        <w:spacing w:after="0" w:line="240" w:lineRule="auto"/>
        <w:jc w:val="both"/>
        <w:outlineLvl w:val="1"/>
      </w:pPr>
      <w:hyperlink r:id="rId85" w:history="1">
        <w:r>
          <w:rPr>
            <w:color w:val="0000FF"/>
            <w:u w:val="single"/>
          </w:rPr>
          <w:t xml:space="preserve">Απόφαση της 31 Ιανουαρίου 2013</w:t>
        </w:r>
      </w:hyperlink>
      <w:r>
        <w:t xml:space="preserve"> στην υπόθεση C-26/11, Belgische Petroleum Unie κ.λπ., σκέψεις 56 και 57.</w:t>
      </w:r>
      <w:bookmarkEnd w:id="147"/>
    </w:p>
    <w:p w14:paraId="11A2865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307C232" w14:textId="029CC044">
      <w:pPr>
        <w:pStyle w:val="P68B1DB1-Normal14"/>
        <w:widowControl w:val="0"/>
        <w:tabs>
          <w:tab w:val="left" w:pos="412"/>
        </w:tabs>
        <w:autoSpaceDE w:val="0"/>
        <w:autoSpaceDN w:val="0"/>
        <w:spacing w:after="0" w:line="240" w:lineRule="auto"/>
        <w:jc w:val="both"/>
      </w:pPr>
      <w:r>
        <w:t xml:space="preserve">Η οδηγία δεν απαιτεί την εκ νέου κοινοποίηση του σχεδίου εθνικής νομοθεσίας όταν, μετά την κοινοποίησή του, το σχέδιο τροποποιήθηκε προκειμένου να ληφθούν υπόψη οι παρατηρήσεις της Επιτροπής και το τροποποιημένο σχέδιο κοινοποιήθηκε στη συνέχεια στην Επιτροπή.</w:t>
      </w:r>
    </w:p>
    <w:p w14:paraId="7BB1B9CC" w14:textId="77777777">
      <w:pPr>
        <w:widowControl w:val="0"/>
        <w:tabs>
          <w:tab w:val="left" w:pos="412"/>
        </w:tabs>
        <w:autoSpaceDE w:val="0"/>
        <w:autoSpaceDN w:val="0"/>
        <w:spacing w:after="0" w:line="240" w:lineRule="auto"/>
        <w:jc w:val="both"/>
        <w:rPr>
          <w:rFonts w:ascii="Times New Roman" w:hAnsi="Times New Roman" w:cs="Times New Roman" w:eastAsia="Times New Roman"/>
          <w:szCs w:val="20"/>
        </w:rPr>
      </w:pPr>
    </w:p>
    <w:p w14:paraId="78681219" w14:textId="6C2D482D">
      <w:pPr>
        <w:pStyle w:val="P68B1DB1-Normal15"/>
        <w:widowControl w:val="0"/>
        <w:tabs>
          <w:tab w:val="left" w:pos="412"/>
        </w:tabs>
        <w:autoSpaceDE w:val="0"/>
        <w:autoSpaceDN w:val="0"/>
        <w:spacing w:after="0" w:line="240" w:lineRule="auto"/>
        <w:ind w:left="567"/>
        <w:jc w:val="both"/>
      </w:pPr>
      <w:r>
        <w:t xml:space="preserve">«56. [...] υπό τις συνθήκες αυτές, το Βασίλειο του Βελγίου περιορίστηκε να τροποποιήσει τις διατάξεις σχεδίου νόμου κατόπιν αιτήματος της Επιτροπής για την άρση του εμποδίου στο εμπόριο και, ως εκ τούτου, δυνάμει του άρθρου 10 παράγραφος 1, τελευταία περίπτωση, της οδηγίας 98/34, η υποχρέωση κοινοποιήσεως στην Επιτροπή δυνάμει του άρθρου 8 παράγραφος 1, πρώτο εδάφιο, της οδηγίας αυτής δεν έχει εφαρμογή στο σχέδιο νόμου περί της υποχρεώσεως αναμείξεως.</w:t>
      </w:r>
    </w:p>
    <w:p w14:paraId="4B8B3C65" w14:textId="77777777">
      <w:pPr>
        <w:pStyle w:val="P68B1DB1-Normal15"/>
        <w:widowControl w:val="0"/>
        <w:tabs>
          <w:tab w:val="left" w:pos="412"/>
        </w:tabs>
        <w:autoSpaceDE w:val="0"/>
        <w:autoSpaceDN w:val="0"/>
        <w:spacing w:after="0" w:line="240" w:lineRule="auto"/>
        <w:ind w:left="567"/>
        <w:jc w:val="both"/>
      </w:pPr>
    </w:p>
    <w:p w14:paraId="2643CC13" w14:textId="30521DC9">
      <w:pPr>
        <w:pStyle w:val="P68B1DB1-Normal15"/>
        <w:widowControl w:val="0"/>
        <w:tabs>
          <w:tab w:val="left" w:pos="412"/>
        </w:tabs>
        <w:autoSpaceDE w:val="0"/>
        <w:autoSpaceDN w:val="0"/>
        <w:spacing w:after="0" w:line="240" w:lineRule="auto"/>
        <w:ind w:left="567"/>
        <w:jc w:val="both"/>
        <w:rPr>
          <w:iCs/>
        </w:rPr>
      </w:pPr>
      <w:r>
        <w:t xml:space="preserve">57. Υπό τις συνθήκες αυτές, στο δεύτερο ερώτημα πρέπει να δοθεί η απάντηση ότι το άρθρο 8 της οδηγίας 98/34, σε συνδυασμό με το άρθρο 10 παράγραφος 1, τελευταία περίπτωση, της οδηγίας αυτής, έχει την έννοια ότι δεν επιβάλλει την κοινοποίηση σχεδίου εθνικής νομοθετικής ρυθμίσεως η οποία υποχρεώνει τις πετρελαϊκές εταιρίες που διαθέτουν στην αγορά βενζίνη και/ή καύσιμα ντίζελ να διαθέτουν επίσης στην αγορά, κατά το ίδιο ημερολογιακό έτος, ορισμένα ποσοστά βιοκαυσίμων, όταν, μετά την κοινοποίησή τους σύμφωνα με το άρθρο 8 παράγραφος 1, πρώτο εδάφιο, το σχέδιο τροποποιήθηκε προκειμένου να ληφθούν υπόψη οι σχετικές παρατηρήσεις της Επιτροπής και το τροποποιημένο σχέδιο κοινοποιήθηκε στη συνέχεια στην Επιτροπή.»</w:t>
      </w:r>
    </w:p>
    <w:p w14:paraId="236E4111" w14:textId="77777777">
      <w:pPr>
        <w:widowControl w:val="0"/>
        <w:tabs>
          <w:tab w:val="left" w:pos="461"/>
        </w:tabs>
        <w:autoSpaceDE w:val="0"/>
        <w:autoSpaceDN w:val="0"/>
        <w:spacing w:after="0" w:line="240" w:lineRule="auto"/>
        <w:jc w:val="both"/>
        <w:rPr>
          <w:rFonts w:ascii="Times New Roman" w:hAnsi="Times New Roman" w:cs="Times New Roman" w:eastAsia="Times New Roman"/>
          <w:sz w:val="20"/>
          <w:szCs w:val="16"/>
        </w:rPr>
      </w:pPr>
    </w:p>
    <w:p w14:paraId="43993F44" w14:textId="3D80E37E">
      <w:pPr>
        <w:pStyle w:val="P68B1DB1-Normal14"/>
        <w:widowControl w:val="0"/>
        <w:autoSpaceDE w:val="0"/>
        <w:autoSpaceDN w:val="0"/>
        <w:spacing w:after="0" w:line="240" w:lineRule="auto"/>
        <w:jc w:val="both"/>
        <w:outlineLvl w:val="1"/>
        <w:rPr>
          <w:b/>
          <w:i/>
        </w:rPr>
      </w:pPr>
      <w:hyperlink r:id="rId86" w:history="1">
        <w:r>
          <w:rPr>
            <w:b/>
            <w:i/>
            <w:color w:val="0000FF"/>
            <w:u w:val="single"/>
          </w:rPr>
          <w:t xml:space="preserve">Απόφαση της 10 Ιουλίου 2014 στην</w:t>
        </w:r>
        <w:r>
          <w:rPr>
            <w:b/>
            <w:i/>
          </w:rPr>
          <w:t xml:space="preserve"> υπόθεση</w:t>
        </w:r>
        <w:r>
          <w:rPr>
            <w:rFonts w:ascii="Open Sans" w:hAnsi="Open Sans" w:cs="Open Sans" w:eastAsiaTheme="minorHAnsi"/>
            <w:color w:val="000000"/>
            <w:sz w:val="18"/>
            <w:szCs w:val="18"/>
          </w:rPr>
          <w:t xml:space="preserve"> </w:t>
        </w:r>
        <w:r>
          <w:rPr>
            <w:b/>
            <w:i/>
          </w:rPr>
          <w:t>C-307/13,</w:t>
        </w:r>
        <w:r>
          <w:rPr>
            <w:b/>
            <w:i/>
          </w:rPr>
          <w:t xml:space="preserve"> Ivansson κ.λπ.</w:t>
        </w:r>
        <w:r>
          <w:rPr>
            <w:b/>
            <w:i/>
            <w:color w:val="0000FF"/>
            <w:u w:val="single"/>
          </w:rPr>
          <w:t xml:space="preserve">, σκέψεις 48 έως 50</w:t>
        </w:r>
      </w:hyperlink>
      <w:bookmarkEnd w:id="148"/>
    </w:p>
    <w:p w14:paraId="27463427" w14:textId="77777777">
      <w:pPr>
        <w:widowControl w:val="0"/>
        <w:autoSpaceDE w:val="0"/>
        <w:autoSpaceDN w:val="0"/>
        <w:spacing w:after="0" w:line="240" w:lineRule="auto"/>
        <w:ind w:left="-142"/>
        <w:jc w:val="both"/>
        <w:rPr>
          <w:rFonts w:ascii="Times New Roman" w:hAnsi="Times New Roman" w:cs="Times New Roman" w:eastAsia="Times New Roman"/>
          <w:szCs w:val="20"/>
        </w:rPr>
      </w:pPr>
    </w:p>
    <w:p w14:paraId="0B57A13E" w14:textId="12E99D5A">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Κάθε σημαντική τροποποίηση του χρονοδιαγράμματος εφαρμογής ενός εθνικού μέτρου, συμπεριλαμβανομένης της σημαντικής σύντμησης, πρέπει να κοινοποιείται στην Επιτροπή. Η μη κοινοποίηση καθιστά το μέτρο ανεφάρμοστο και μη αντιτάξιμο έναντι ιδιωτών.</w:t>
      </w:r>
    </w:p>
    <w:p w14:paraId="0B31DCA0" w14:textId="77777777">
      <w:pPr>
        <w:widowControl w:val="0"/>
        <w:autoSpaceDE w:val="0"/>
        <w:autoSpaceDN w:val="0"/>
        <w:spacing w:after="0" w:line="240" w:lineRule="auto"/>
        <w:ind w:hanging="142"/>
        <w:jc w:val="both"/>
        <w:rPr>
          <w:rFonts w:ascii="Times New Roman" w:hAnsi="Times New Roman" w:cs="Times New Roman" w:eastAsia="Times New Roman"/>
          <w:szCs w:val="20"/>
        </w:rPr>
      </w:pPr>
    </w:p>
    <w:p w14:paraId="2FC99E88" w14:textId="427CE55A">
      <w:pPr>
        <w:pStyle w:val="P68B1DB1-Normal15"/>
        <w:widowControl w:val="0"/>
        <w:tabs>
          <w:tab w:val="left" w:pos="396"/>
          <w:tab w:val="left" w:pos="407"/>
        </w:tabs>
        <w:autoSpaceDE w:val="0"/>
        <w:autoSpaceDN w:val="0"/>
        <w:spacing w:after="0" w:line="240" w:lineRule="auto"/>
        <w:ind w:left="567"/>
        <w:jc w:val="both"/>
      </w:pPr>
      <w:r>
        <w:t xml:space="preserve">«48. Συναφώς, υπενθυμίζεται ότι το Δικαστήριο έχει κρίνει ότι η μη τήρηση της υποχρεώσεως κοινοποιήσεως στην Επιτροπή συνιστά διαδικαστική πλημμέλεια κατά τη θέσπιση των οικείων τεχνικών κανόνων και καθιστά τους εν λόγω τεχνικούς κανόνες ανεφάρμοστους και, ως εκ τούτου, μη αντιτάξιμους έναντι των ιδιωτών (βλ., μεταξύ άλλων, αποφάσεις CIA Security International, C-194/94, σκέψη 54, και Schwibbert, C-20/05, σκέψη 44). Οι ιδιώτες μπορούν να επικαλεστούν το ανεφάρμοστο αυτό ενώπιον του εθνικού δικαστηρίου το οποίο οφείλει να αρνηθεί να εφαρμόσει εθνικό τεχνικό κανόνα ο οποίος δεν κοινοποιήθηκε σύμφωνα με την οδηγία 98/34 (βλ., μεταξύ άλλων, απόφαση Schwibbert, σκέψη 44 και εκεί παρατιθέμενη νομολογία).</w:t>
      </w:r>
    </w:p>
    <w:p w14:paraId="64D396E7" w14:textId="77777777">
      <w:pPr>
        <w:pStyle w:val="P68B1DB1-Normal15"/>
        <w:widowControl w:val="0"/>
        <w:tabs>
          <w:tab w:val="left" w:pos="396"/>
          <w:tab w:val="left" w:pos="407"/>
        </w:tabs>
        <w:autoSpaceDE w:val="0"/>
        <w:autoSpaceDN w:val="0"/>
        <w:spacing w:after="0" w:line="240" w:lineRule="auto"/>
        <w:ind w:left="567"/>
        <w:jc w:val="both"/>
      </w:pPr>
    </w:p>
    <w:p w14:paraId="24511168" w14:textId="41EC6123">
      <w:pPr>
        <w:pStyle w:val="P68B1DB1-Normal15"/>
        <w:widowControl w:val="0"/>
        <w:tabs>
          <w:tab w:val="left" w:pos="396"/>
          <w:tab w:val="left" w:pos="407"/>
        </w:tabs>
        <w:autoSpaceDE w:val="0"/>
        <w:autoSpaceDN w:val="0"/>
        <w:spacing w:after="0" w:line="240" w:lineRule="auto"/>
        <w:ind w:left="567"/>
        <w:jc w:val="both"/>
      </w:pPr>
      <w:r>
        <w:t xml:space="preserve">49. Επομένως, αν η ανακοίνωση στην Επιτροπή του άρθρου 9 του DSF περιείχε πράγματι την ημερομηνία της 1 Μαΐου 2003 ως ημερομηνία ενάρξεως ισχύος και συντόμευσης του χρονοδιαγράμματος εφαρμογής της μέχρι τις 15 Απριλίου 2003, η παράλειψη νέας ανακοινώσεως της εν λόγω εθνικής διατάξεως στην Επιτροπή θα καθιστούσε τη διάταξη αυτή ανεφάρμοστη έναντι των εναγομένων της κύριας δίκης.</w:t>
      </w:r>
    </w:p>
    <w:p w14:paraId="5515956D" w14:textId="77777777">
      <w:pPr>
        <w:pStyle w:val="P68B1DB1-Normal15"/>
        <w:widowControl w:val="0"/>
        <w:tabs>
          <w:tab w:val="left" w:pos="396"/>
          <w:tab w:val="left" w:pos="407"/>
        </w:tabs>
        <w:autoSpaceDE w:val="0"/>
        <w:autoSpaceDN w:val="0"/>
        <w:spacing w:after="0" w:line="240" w:lineRule="auto"/>
        <w:ind w:left="567"/>
        <w:jc w:val="both"/>
      </w:pPr>
    </w:p>
    <w:p w14:paraId="74B7B30E" w14:textId="7B5C59D5">
      <w:pPr>
        <w:pStyle w:val="P68B1DB1-Normal15"/>
        <w:widowControl w:val="0"/>
        <w:tabs>
          <w:tab w:val="left" w:pos="396"/>
          <w:tab w:val="left" w:pos="407"/>
        </w:tabs>
        <w:autoSpaceDE w:val="0"/>
        <w:autoSpaceDN w:val="0"/>
        <w:spacing w:after="0" w:line="240" w:lineRule="auto"/>
        <w:ind w:left="567"/>
        <w:jc w:val="both"/>
      </w:pPr>
      <w:r>
        <w:t xml:space="preserve">50. Κατά συνέπεια, στο δεύτερο ερώτημα πρέπει να δοθεί η απάντηση ότι, αν η συντόμευση του χρονοδιαγράμματος για την έναρξη ισχύος ενός τεχνικού κανόνα εξαρτάται από την υποχρέωση γνωστοποιήσεως στην Επιτροπή, όπως αυτή προβλέπεται στο άρθρο 8 παράγραφος 1, τρίτο εδάφιο, της οδηγίας 98/34, η παράλειψη της ανακοινώσεως αυτής θα καθιστούσε ανεφάρμοστο το εν λόγω εθνικό μέτρο, με αποτέλεσμα να μην μπορεί να αντιταχθεί στους ιδιώτες.»</w:t>
      </w:r>
    </w:p>
    <w:p w14:paraId="761A5A99" w14:textId="77777777">
      <w:pPr>
        <w:pStyle w:val="P68B1DB1-Normal15"/>
        <w:widowControl w:val="0"/>
        <w:tabs>
          <w:tab w:val="left" w:pos="396"/>
          <w:tab w:val="left" w:pos="407"/>
        </w:tabs>
        <w:autoSpaceDE w:val="0"/>
        <w:autoSpaceDN w:val="0"/>
        <w:spacing w:after="0" w:line="240" w:lineRule="auto"/>
        <w:jc w:val="both"/>
        <w:rPr>
          <w:iCs/>
        </w:rPr>
      </w:pPr>
    </w:p>
    <w:p w14:paraId="5BAF695F" w14:textId="64410CB4">
      <w:pPr>
        <w:pStyle w:val="P68B1DB1-Normal16"/>
        <w:spacing w:after="0" w:line="278" w:lineRule="auto"/>
      </w:pPr>
      <w:r>
        <w:br w:type="page"/>
      </w:r>
    </w:p>
    <w:p w14:paraId="6577BC49" w14:textId="03B1ACB8">
      <w:pPr>
        <w:pStyle w:val="P68B1DB1-Heading13"/>
        <w:numPr>
          <w:ilvl w:val="0"/>
          <w:numId w:val="34"/>
        </w:numPr>
        <w:spacing w:before="0" w:after="0"/>
        <w:jc w:val="center"/>
        <w:rPr>
          <w:bCs/>
          <w:color w:val="auto"/>
          <w:sz w:val="22"/>
          <w:szCs w:val="22"/>
        </w:rPr>
      </w:pPr>
      <w:bookmarkStart w:id="149" w:name="_Ref195517367"/>
      <w:bookmarkStart w:id="150" w:name="_Toc203035679"/>
      <w:r>
        <w:t xml:space="preserve">Εξαιρέσεις από την υποχρέωση κοινοποίησης</w:t>
      </w:r>
      <w:bookmarkEnd w:id="149"/>
      <w:bookmarkEnd w:id="150"/>
    </w:p>
    <w:p w14:paraId="3C30462C" w14:textId="2740E9B7">
      <w:pPr>
        <w:spacing w:after="0" w:line="278" w:lineRule="auto"/>
        <w:rPr>
          <w:rFonts w:ascii="Times New Roman" w:hAnsi="Times New Roman" w:cs="Times New Roman"/>
          <w:i/>
          <w:sz w:val="20"/>
          <w:szCs w:val="20"/>
        </w:rPr>
      </w:pPr>
    </w:p>
    <w:p w14:paraId="0F730AF8" w14:textId="3DA91853">
      <w:pPr>
        <w:pStyle w:val="P68B1DB1-Heading24"/>
        <w:numPr>
          <w:ilvl w:val="0"/>
          <w:numId w:val="37"/>
        </w:numPr>
        <w:spacing w:before="0" w:after="0"/>
        <w:jc w:val="center"/>
        <w:rPr>
          <w:bCs/>
          <w:color w:val="auto"/>
        </w:rPr>
      </w:pPr>
      <w:bookmarkStart w:id="151" w:name="_Ref194484715"/>
      <w:bookmarkStart w:id="152" w:name="_Ref194942600"/>
      <w:bookmarkStart w:id="153" w:name="_Toc203035680"/>
      <w:r>
        <w:t xml:space="preserve">Μεταφορά ευρωπαϊκής πράξης στο εθνικό δίκαιο</w:t>
      </w:r>
      <w:bookmarkEnd w:id="151"/>
      <w:bookmarkEnd w:id="152"/>
      <w:bookmarkEnd w:id="153"/>
    </w:p>
    <w:p w14:paraId="4B7876F4" w14:textId="77777777">
      <w:pPr>
        <w:pStyle w:val="BodyText"/>
        <w:rPr>
          <w:b/>
          <w:bCs/>
        </w:rPr>
      </w:pPr>
    </w:p>
    <w:p w14:paraId="61507248" w14:textId="663D0F44">
      <w:pPr>
        <w:pStyle w:val="P68B1DB1-BodyText11"/>
        <w:ind w:left="567"/>
        <w:rPr>
          <w:i/>
        </w:rPr>
      </w:pPr>
      <w:r>
        <w:t xml:space="preserve">«Τα άρθρα 5 και 6 δεν εφαρμόζονται στις νομοθετικές, κανονιστικές και διοικητικές διατάξεις των κρατών μελών ή στις εθελοντικές συμφωνίες με τις οποίες τα κράτη μέλη: </w:t>
      </w:r>
    </w:p>
    <w:p w14:paraId="2762B474" w14:textId="77777777">
      <w:pPr>
        <w:pStyle w:val="BodyText"/>
        <w:ind w:left="567"/>
        <w:rPr>
          <w:i/>
        </w:rPr>
      </w:pPr>
    </w:p>
    <w:p w14:paraId="753FC221" w14:textId="4E9C46C0">
      <w:pPr>
        <w:pStyle w:val="P68B1DB1-BodyText11"/>
        <w:ind w:left="1440"/>
        <w:rPr>
          <w:iCs/>
        </w:rPr>
      </w:pPr>
      <w:r>
        <w:t xml:space="preserve">α) συμμορφώνονται με δεσμευτικές πράξεις της Ένωσης που έχουν ως αποτέλεσμα τη θέσπιση τεχνικών προδιαγραφών ή κανόνων σχετικά με τις υπηρεσίες·»</w:t>
      </w:r>
    </w:p>
    <w:p w14:paraId="2A077376" w14:textId="77777777">
      <w:pPr>
        <w:pStyle w:val="BodyText"/>
        <w:ind w:left="567"/>
        <w:rPr>
          <w:i/>
          <w:iCs/>
        </w:rPr>
      </w:pPr>
    </w:p>
    <w:p w14:paraId="7AE538ED" w14:textId="4CFA3BCA">
      <w:pPr>
        <w:pStyle w:val="BodyText"/>
        <w:jc w:val="right"/>
      </w:pPr>
      <w:r>
        <w:t xml:space="preserve">(Άρθρο 7 παράγραφος στοιχείο α) της οδηγίας (ΕΕ) 2015/1535)</w:t>
      </w:r>
    </w:p>
    <w:p w14:paraId="7807BF71"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5C483B06" w14:textId="24AB8D26">
      <w:pPr>
        <w:pStyle w:val="P68B1DB1-Normal13"/>
        <w:widowControl w:val="0"/>
        <w:autoSpaceDE w:val="0"/>
        <w:autoSpaceDN w:val="0"/>
        <w:spacing w:after="0" w:line="240" w:lineRule="auto"/>
        <w:jc w:val="both"/>
        <w:outlineLvl w:val="1"/>
      </w:pPr>
      <w:hyperlink r:id="rId87" w:history="1">
        <w:r>
          <w:rPr>
            <w:color w:val="0000FF"/>
            <w:u w:val="single"/>
          </w:rPr>
          <w:t xml:space="preserve">Απόφαση της 17 Σεπτεμβρίου 1996</w:t>
        </w:r>
      </w:hyperlink>
      <w:r>
        <w:t xml:space="preserve"> στην υπόθεση C-289/94, Επιτροπή κατά Ιταλίας, σκέψεις 43 έως 45.</w:t>
      </w:r>
      <w:bookmarkEnd w:id="154"/>
    </w:p>
    <w:p w14:paraId="5A0D4173" w14:textId="77777777">
      <w:pPr>
        <w:widowControl w:val="0"/>
        <w:tabs>
          <w:tab w:val="left" w:pos="393"/>
          <w:tab w:val="left" w:pos="396"/>
        </w:tabs>
        <w:autoSpaceDE w:val="0"/>
        <w:autoSpaceDN w:val="0"/>
        <w:spacing w:after="0" w:line="240" w:lineRule="auto"/>
        <w:jc w:val="both"/>
        <w:rPr>
          <w:rFonts w:ascii="Times New Roman" w:hAnsi="Times New Roman" w:cs="Times New Roman" w:eastAsia="Times New Roman"/>
          <w:szCs w:val="20"/>
        </w:rPr>
      </w:pPr>
    </w:p>
    <w:p w14:paraId="4994C4AC" w14:textId="06B0EF04">
      <w:pPr>
        <w:pStyle w:val="P68B1DB1-Normal14"/>
        <w:widowControl w:val="0"/>
        <w:tabs>
          <w:tab w:val="left" w:pos="393"/>
          <w:tab w:val="left" w:pos="396"/>
        </w:tabs>
        <w:autoSpaceDE w:val="0"/>
        <w:autoSpaceDN w:val="0"/>
        <w:spacing w:after="0" w:line="240" w:lineRule="auto"/>
        <w:jc w:val="both"/>
      </w:pPr>
      <w:r>
        <w:t xml:space="preserve">Για να θεωρηθεί ένα εθνικό μέτρο ως μέτρο μεταφοράς στο εσωτερικό δίκαιο που απαλλάσσεται από την υποχρέωση κοινοποίησης, πρέπει να αποδειχθεί η ύπαρξη άμεσου δεσμού με δεσμευτική κοινοτική πράξη. </w:t>
      </w:r>
    </w:p>
    <w:p w14:paraId="6B49E9E7" w14:textId="77777777">
      <w:pPr>
        <w:widowControl w:val="0"/>
        <w:tabs>
          <w:tab w:val="left" w:pos="393"/>
          <w:tab w:val="left" w:pos="396"/>
        </w:tabs>
        <w:autoSpaceDE w:val="0"/>
        <w:autoSpaceDN w:val="0"/>
        <w:spacing w:after="0" w:line="240" w:lineRule="auto"/>
        <w:jc w:val="both"/>
        <w:rPr>
          <w:rFonts w:ascii="Times New Roman" w:hAnsi="Times New Roman" w:cs="Times New Roman" w:eastAsia="Times New Roman"/>
          <w:i/>
          <w:iCs/>
          <w:sz w:val="20"/>
          <w:szCs w:val="16"/>
        </w:rPr>
      </w:pPr>
    </w:p>
    <w:p w14:paraId="433CF3E1" w14:textId="20EF3A37">
      <w:pPr>
        <w:pStyle w:val="P68B1DB1-Normal15"/>
        <w:widowControl w:val="0"/>
        <w:tabs>
          <w:tab w:val="left" w:pos="393"/>
          <w:tab w:val="left" w:pos="396"/>
        </w:tabs>
        <w:autoSpaceDE w:val="0"/>
        <w:autoSpaceDN w:val="0"/>
        <w:spacing w:after="0" w:line="240" w:lineRule="auto"/>
        <w:ind w:left="567"/>
        <w:jc w:val="both"/>
      </w:pPr>
      <w:r>
        <w:t xml:space="preserve">«43. Από την πλευρά της, η οδηγία 91/492 περιέχει πολύ ευρύτερες διατάξεις σχετικά με την εμπορία όχι μόνο των δίθυρων μαλακίων, αλλά και των θαλάσσιων γαστερόποδων, χιτωνόζωων και εχινοδέρμων. Η οδηγία αυτή καθορίζει νέες προϋποθέσεις για όλα τα στάδια της συλλογής, της αποθηκεύσεως, της μεταφοράς και της διανομής των μαλακίων· καθιερώνει επίσης ένα σύστημα καταγραφής και σημάνσεως χάρη στο οποίο μπορεί να εξακριβώνεται, προς τον σκοπό διεξαγωγής υγειονομικών ελέγχων, η προέλευση κάθε παρτίδας. </w:t>
      </w:r>
    </w:p>
    <w:p w14:paraId="7B3D1E4A" w14:textId="77777777">
      <w:pPr>
        <w:pStyle w:val="P68B1DB1-Normal15"/>
        <w:widowControl w:val="0"/>
        <w:tabs>
          <w:tab w:val="left" w:pos="393"/>
          <w:tab w:val="left" w:pos="396"/>
        </w:tabs>
        <w:autoSpaceDE w:val="0"/>
        <w:autoSpaceDN w:val="0"/>
        <w:spacing w:after="0" w:line="240" w:lineRule="auto"/>
        <w:ind w:left="567"/>
        <w:jc w:val="both"/>
      </w:pPr>
    </w:p>
    <w:p w14:paraId="48887BBE" w14:textId="149910F2">
      <w:pPr>
        <w:pStyle w:val="P68B1DB1-Normal15"/>
        <w:widowControl w:val="0"/>
        <w:tabs>
          <w:tab w:val="left" w:pos="393"/>
          <w:tab w:val="left" w:pos="396"/>
        </w:tabs>
        <w:autoSpaceDE w:val="0"/>
        <w:autoSpaceDN w:val="0"/>
        <w:spacing w:after="0" w:line="240" w:lineRule="auto"/>
        <w:ind w:left="567"/>
        <w:jc w:val="both"/>
      </w:pPr>
      <w:r>
        <w:t xml:space="preserve">44. Εξάλλου, η έλλειψη άμεσου συνδέσμου μεταξύ της οδηγίας 91/492 και των δύο επίμαχων διαταγμάτων επιβεβαιώνεται από τον ισχυρισμό της Ιταλικής Κυβερνήσεως ότι η οδηγία αυτή μεταφέρθηκε στο ιταλικό δίκαιο με το προαναφερθέν νομοθετικό διάταγμα 530, της 30 Δεκεμβρίου 1992, το οποίο, όπως υποστηρίζει, αποτελεί το μόνο μέτρο για τη μεταφορά της οδηγίας 91/492 στο εσωτερικό δίκαιο και για το οποίο η Επιτροπή απηύθυνε, στις 27 Ιανουαρίου 1993, εμπεριστατωμένη γνώμη με την οποία επικρίνει το εν λόγω διάταγμα καθόσον αφορούσε άλλη τοξίνη (NSP) που δεν μνημονεύεται στην οδηγία 91/492. </w:t>
      </w:r>
    </w:p>
    <w:p w14:paraId="19342BDA" w14:textId="77777777">
      <w:pPr>
        <w:pStyle w:val="P68B1DB1-Normal15"/>
        <w:widowControl w:val="0"/>
        <w:tabs>
          <w:tab w:val="left" w:pos="393"/>
          <w:tab w:val="left" w:pos="396"/>
        </w:tabs>
        <w:autoSpaceDE w:val="0"/>
        <w:autoSpaceDN w:val="0"/>
        <w:spacing w:after="0" w:line="240" w:lineRule="auto"/>
        <w:ind w:left="567"/>
        <w:jc w:val="both"/>
      </w:pPr>
    </w:p>
    <w:p w14:paraId="1A450F93" w14:textId="4F2BD9E6">
      <w:pPr>
        <w:pStyle w:val="P68B1DB1-Normal15"/>
        <w:widowControl w:val="0"/>
        <w:tabs>
          <w:tab w:val="left" w:pos="393"/>
          <w:tab w:val="left" w:pos="396"/>
        </w:tabs>
        <w:autoSpaceDE w:val="0"/>
        <w:autoSpaceDN w:val="0"/>
        <w:spacing w:after="0" w:line="240" w:lineRule="auto"/>
        <w:ind w:left="567"/>
        <w:jc w:val="both"/>
      </w:pPr>
      <w:r>
        <w:t xml:space="preserve">45. Δεδομένου ότι δεν συνιστούν μέτρα μεταφοράς της οδηγίας 91/492 στο εσωτερικό δίκαιο ικανά να δικαιολογήσουν την εφαρμογή του άρθρου 10 της οδηγίας 83/189, το διάταγμα 257 της 1 Αυγούστου 1990 και το διάταγμα της 1 Σεπτεμβρίου 1990 έπρεπε να κοινοποιηθούν στην Επιτροπή σύμφωνα με το άρθρο 8 της τελευταίας αυτής οδηγίας.»</w:t>
      </w:r>
    </w:p>
    <w:p w14:paraId="0EB5A280" w14:textId="77777777">
      <w:pPr>
        <w:pStyle w:val="P68B1DB1-Normal15"/>
        <w:widowControl w:val="0"/>
        <w:tabs>
          <w:tab w:val="left" w:pos="393"/>
          <w:tab w:val="left" w:pos="396"/>
        </w:tabs>
        <w:autoSpaceDE w:val="0"/>
        <w:autoSpaceDN w:val="0"/>
        <w:spacing w:after="0" w:line="240" w:lineRule="auto"/>
        <w:ind w:left="567"/>
        <w:jc w:val="both"/>
        <w:rPr>
          <w:iCs/>
        </w:rPr>
      </w:pPr>
    </w:p>
    <w:p w14:paraId="667344E1" w14:textId="52345967">
      <w:pPr>
        <w:pStyle w:val="P68B1DB1-Normal13"/>
        <w:widowControl w:val="0"/>
        <w:autoSpaceDE w:val="0"/>
        <w:autoSpaceDN w:val="0"/>
        <w:spacing w:after="0" w:line="240" w:lineRule="auto"/>
        <w:jc w:val="both"/>
        <w:outlineLvl w:val="1"/>
      </w:pPr>
      <w:hyperlink r:id="rId88" w:history="1">
        <w:r>
          <w:rPr>
            <w:color w:val="0000FF"/>
            <w:u w:val="single"/>
          </w:rPr>
          <w:t xml:space="preserve">Απόφαση της 26 Σεπτεμβρίου 2000</w:t>
        </w:r>
      </w:hyperlink>
      <w:r>
        <w:t xml:space="preserve"> στην υπόθεση C-443/98, Unilever, σκέψεις 28 και 29</w:t>
      </w:r>
      <w:bookmarkEnd w:id="155"/>
    </w:p>
    <w:p w14:paraId="6F265AB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D72ABF8" w14:textId="6CA475E3">
      <w:pPr>
        <w:pStyle w:val="P68B1DB1-Normal14"/>
        <w:widowControl w:val="0"/>
        <w:autoSpaceDE w:val="0"/>
        <w:autoSpaceDN w:val="0"/>
        <w:spacing w:after="0" w:line="240" w:lineRule="auto"/>
        <w:jc w:val="both"/>
      </w:pPr>
      <w:r>
        <w:t xml:space="preserve">Όταν τα κράτη μέλη διαθέτουν ευρεία διακριτική ευχέρεια κατά τη μεταφορά οδηγίας της Ένωσης στο εσωτερικό δίκαιο, τα εθνικά μέτρα που θεσπίζονται προς τον σκοπό αυτό δεν μπορούν να θεωρηθούν ως εθνικές διατάξεις «σύμφωνες με κοινοτική πράξη δεσμευτικού χαρακτήρα».</w:t>
      </w:r>
    </w:p>
    <w:p w14:paraId="233C173F" w14:textId="77777777">
      <w:pPr>
        <w:widowControl w:val="0"/>
        <w:autoSpaceDE w:val="0"/>
        <w:autoSpaceDN w:val="0"/>
        <w:spacing w:after="0" w:line="240" w:lineRule="auto"/>
        <w:jc w:val="both"/>
        <w:rPr>
          <w:rFonts w:ascii="Times New Roman" w:hAnsi="Times New Roman" w:cs="Times New Roman" w:eastAsia="Times New Roman"/>
          <w:szCs w:val="20"/>
        </w:rPr>
      </w:pPr>
    </w:p>
    <w:p w14:paraId="4D09BAA2" w14:textId="2C7E5999">
      <w:pPr>
        <w:pStyle w:val="P68B1DB1-Normal15"/>
        <w:widowControl w:val="0"/>
        <w:autoSpaceDE w:val="0"/>
        <w:autoSpaceDN w:val="0"/>
        <w:spacing w:after="0" w:line="240" w:lineRule="auto"/>
        <w:ind w:left="567"/>
        <w:jc w:val="both"/>
      </w:pPr>
      <w:r>
        <w:t xml:space="preserve">«28. Δεύτερον, η Ιταλική Κυβέρνηση υποστηρίζει ότι ο προσβαλλόμενος νόμος απαλλάσσεται από την υποχρέωση κοινοποιήσεως δυνάμει του άρθρου 10 της οδηγίας 83/189, καθόσον εκδόθηκε σύμφωνα με την οδηγία 79/112/ΕΟΚ του Συμβουλίου, της 18 Δεκεμβρίου 1978, περί προσεγγίσεως των νομοθεσιών των κρατών μελών σχετικά με την επισήμανση και την παρουσίαση των τροφίμων που προορίζονται για τον τελικό καταναλωτή καθώς και τη διαφήμισή τους (ΕΕ ειδ. έκδ. 1979/33, σ. 1). Το άρθρο 3 παράγραφος 1, σημείο (7), της εν λόγω οδηγίας ορίζει ότι ο τόπος καταγωγής ή προέλευσης του προϊόντος πρέπει να αναγράφεται στην ετικέτα όταν η παράλειψη των πληροφοριών αυτών θα μπορούσε να παραπλανήσει τους καταναλωτές ως προς την πραγματική καταγωγή ή προέλευση του τροφίμου.</w:t>
      </w:r>
    </w:p>
    <w:p w14:paraId="0949ABBA" w14:textId="77777777">
      <w:pPr>
        <w:pStyle w:val="P68B1DB1-Normal15"/>
        <w:widowControl w:val="0"/>
        <w:autoSpaceDE w:val="0"/>
        <w:autoSpaceDN w:val="0"/>
        <w:spacing w:after="0" w:line="240" w:lineRule="auto"/>
        <w:ind w:left="567"/>
        <w:jc w:val="both"/>
      </w:pPr>
    </w:p>
    <w:p w14:paraId="7E20C2A2" w14:textId="32F76FBD">
      <w:pPr>
        <w:pStyle w:val="P68B1DB1-Normal15"/>
        <w:widowControl w:val="0"/>
        <w:autoSpaceDE w:val="0"/>
        <w:autoSpaceDN w:val="0"/>
        <w:spacing w:after="0" w:line="240" w:lineRule="auto"/>
        <w:ind w:left="567"/>
        <w:jc w:val="both"/>
      </w:pPr>
      <w:r>
        <w:t xml:space="preserve">29. Η άποψη αυτή δεν μπορεί να γίνει δεκτή. Όπως επισήμανε η Επιτροπή, η διάταξη αυτή της οδηγίας 79/112, διατυπωμένη κατά τρόπο γενικό, αφήνει στα κράτη μέλη επαρκή περιθώρια ελιγμών ώστε να συναχθεί το συμπέρασμα ότι οι εθνικοί κανόνες περί επισημάνσεως σχετικά με την προέλευση, όπως αυτοί που θεσπίστηκαν με τον προσβαλλόμενο νόμο, δεν μπορούν να θεωρηθούν ως εθνικές διατάξεις σύμφωνες προς κοινοτική δεσμευτική πράξη κατά την έννοια του άρθρου 10 παράγραφος 1, πρώτη περίπτωση, της οδηγίας 83/189.»</w:t>
      </w:r>
    </w:p>
    <w:p w14:paraId="49D7BF41"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74D10AEF" w14:textId="6F48CDC6">
      <w:pPr>
        <w:pStyle w:val="P68B1DB1-Normal13"/>
        <w:widowControl w:val="0"/>
        <w:autoSpaceDE w:val="0"/>
        <w:autoSpaceDN w:val="0"/>
        <w:spacing w:after="0" w:line="240" w:lineRule="auto"/>
        <w:jc w:val="both"/>
        <w:outlineLvl w:val="1"/>
      </w:pPr>
      <w:hyperlink r:id="rId89" w:history="1">
        <w:r>
          <w:rPr>
            <w:color w:val="0000FF"/>
            <w:u w:val="single"/>
          </w:rPr>
          <w:t xml:space="preserve">Απόφαση της 22 Ιανουαρίου 2000</w:t>
        </w:r>
      </w:hyperlink>
      <w:r>
        <w:t xml:space="preserve"> στην υπόθεση C-390/99, Canal Satélite Digital, σκέψη 48.</w:t>
      </w:r>
      <w:bookmarkEnd w:id="156"/>
    </w:p>
    <w:p w14:paraId="129D695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BDFD60C" w14:textId="77777777">
      <w:pPr>
        <w:pStyle w:val="P68B1DB1-Normal14"/>
        <w:widowControl w:val="0"/>
        <w:tabs>
          <w:tab w:val="left" w:pos="396"/>
          <w:tab w:val="left" w:pos="405"/>
        </w:tabs>
        <w:autoSpaceDE w:val="0"/>
        <w:autoSpaceDN w:val="0"/>
        <w:spacing w:after="0" w:line="240" w:lineRule="auto"/>
        <w:jc w:val="both"/>
      </w:pPr>
      <w:r>
        <w:t xml:space="preserve">Οι εθνικές διατάξεις για τη μεταφορά δεσμευτικών κοινοτικών μέτρων που περιέχουν «τεχνικές προδιαγραφές» δεν υπόκεινται στην υποχρέωση κοινοποίησης, υπό την προϋπόθεση ότι περιορίζονται αυστηρά στην εν λόγω μεταφορά.</w:t>
      </w:r>
    </w:p>
    <w:p w14:paraId="15236C38" w14:textId="77777777">
      <w:pPr>
        <w:pStyle w:val="P68B1DB1-Normal15"/>
        <w:widowControl w:val="0"/>
        <w:tabs>
          <w:tab w:val="left" w:pos="396"/>
          <w:tab w:val="left" w:pos="405"/>
        </w:tabs>
        <w:autoSpaceDE w:val="0"/>
        <w:autoSpaceDN w:val="0"/>
        <w:spacing w:after="0" w:line="240" w:lineRule="auto"/>
        <w:ind w:left="567" w:hanging="142"/>
        <w:jc w:val="both"/>
        <w:rPr>
          <w:iCs/>
        </w:rPr>
      </w:pPr>
      <w:r>
        <w:t xml:space="preserve">    </w:t>
      </w:r>
    </w:p>
    <w:p w14:paraId="6015C260" w14:textId="48904931">
      <w:pPr>
        <w:pStyle w:val="P68B1DB1-Normal15"/>
        <w:widowControl w:val="0"/>
        <w:tabs>
          <w:tab w:val="left" w:pos="396"/>
          <w:tab w:val="left" w:pos="405"/>
        </w:tabs>
        <w:autoSpaceDE w:val="0"/>
        <w:autoSpaceDN w:val="0"/>
        <w:spacing w:after="0" w:line="240" w:lineRule="auto"/>
        <w:ind w:left="567"/>
        <w:jc w:val="both"/>
      </w:pPr>
      <w:r>
        <w:t xml:space="preserve">«48. Όσον αφορά το δεύτερο μερος του τρίτου ερωτήματος, που αναφέρεται στην υποχρέωση κοινοποιήσεως του άρθρου 8 της οδηγίας 83/189, από το άρθρο 10 της οδηγίας προκύπτει ότι τα άρθρα 8 και 9 δεν έχουν εφαρμογή στις νομοθετικές, κανονιστικές ή διοικητικές διατάξεις των κρατών μελών στις εκούσιες συμφωνίες με τις οποίες τα κράτη μέλη συμμορφώνονται προς τις κοινοτικές πράξεις αναγκαστικού χαρακτήρα που έχουν ως αποτέλεσμα την έκδοση τεχνικών προδιαγραφών. Επομένως, στο μέτρο που η επίμαχη στην κύρια δίκη εθνική νομοθεσία μεταφέρει στο εσωτερικό δίκαιο την οδηγία 95/47, και μόνο στο μέτρο αυτό, η οδηγία 83/189 δεν προβλέπει υποχρέωση κοινοποιήσεως.»</w:t>
      </w:r>
    </w:p>
    <w:p w14:paraId="0E6C95FC"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i/>
          <w:iCs/>
          <w:sz w:val="20"/>
          <w:szCs w:val="16"/>
        </w:rPr>
      </w:pPr>
    </w:p>
    <w:p w14:paraId="6306D56B" w14:textId="28E735BF">
      <w:pPr>
        <w:pStyle w:val="P68B1DB1-Normal13"/>
        <w:widowControl w:val="0"/>
        <w:autoSpaceDE w:val="0"/>
        <w:autoSpaceDN w:val="0"/>
        <w:spacing w:after="0" w:line="240" w:lineRule="auto"/>
        <w:jc w:val="both"/>
        <w:outlineLvl w:val="1"/>
      </w:pPr>
      <w:hyperlink r:id="rId90" w:history="1">
        <w:r>
          <w:rPr>
            <w:color w:val="0000FF"/>
            <w:u w:val="single"/>
          </w:rPr>
          <w:t xml:space="preserve">Απόφαση της 8 Σεπτεμβρίου 2005</w:t>
        </w:r>
      </w:hyperlink>
      <w:r>
        <w:t xml:space="preserve"> στην υπόθεση C-500/03, Επιτροπή κατά Πορτογαλίας, σκέψεις 34 και 35</w:t>
      </w:r>
      <w:bookmarkEnd w:id="157"/>
    </w:p>
    <w:p w14:paraId="183658EB" w14:textId="77777777">
      <w:pPr>
        <w:widowControl w:val="0"/>
        <w:tabs>
          <w:tab w:val="left" w:pos="467"/>
        </w:tabs>
        <w:autoSpaceDE w:val="0"/>
        <w:autoSpaceDN w:val="0"/>
        <w:spacing w:after="0" w:line="240" w:lineRule="auto"/>
        <w:jc w:val="both"/>
        <w:rPr>
          <w:rFonts w:ascii="Times New Roman" w:hAnsi="Times New Roman" w:cs="Times New Roman" w:eastAsia="Times New Roman"/>
          <w:b/>
          <w:i/>
          <w:szCs w:val="20"/>
        </w:rPr>
      </w:pPr>
    </w:p>
    <w:p w14:paraId="630E23D4" w14:textId="570B0609">
      <w:pPr>
        <w:widowControl w:val="0"/>
        <w:tabs>
          <w:tab w:val="left" w:pos="467"/>
        </w:tabs>
        <w:autoSpaceDE w:val="0"/>
        <w:autoSpaceDN w:val="0"/>
        <w:spacing w:after="0" w:line="240" w:lineRule="auto"/>
        <w:jc w:val="both"/>
        <w:rPr>
          <w:rFonts w:ascii="Times New Roman" w:hAnsi="Times New Roman" w:cs="Times New Roman" w:eastAsia="Times New Roman"/>
          <w:szCs w:val="20"/>
        </w:rPr>
        <w:pStyle w:val="P68B1DB1-Normal14"/>
      </w:pPr>
      <w:r>
        <w:t xml:space="preserve">Οι εθνικές διατάξεις που καθορίζουν τα χαρακτηριστικά των σκαφών αναψυχής δεν μπορούν να τύχουν της εξαίρεσης από την υποχρέωση κοινοποίησης που προβλέπεται για τη μεταφορά στο εθνικό δίκαιο, όταν η οδηγία στην οποία γίνεται επίκληση αφήνει στα κράτη μέλη την ελευθερία να καθορίζουν τους όρους που θεωρούν αναγκαίους για την προστασία του περιβάλλοντος, της διαμόρφωσης και της ασφάλειας των πλωτών οδών.</w:t>
      </w:r>
    </w:p>
    <w:p w14:paraId="4D369937" w14:textId="77777777">
      <w:pPr>
        <w:widowControl w:val="0"/>
        <w:tabs>
          <w:tab w:val="left" w:pos="467"/>
        </w:tabs>
        <w:autoSpaceDE w:val="0"/>
        <w:autoSpaceDN w:val="0"/>
        <w:spacing w:after="0" w:line="240" w:lineRule="auto"/>
        <w:jc w:val="both"/>
        <w:rPr>
          <w:rFonts w:ascii="Times New Roman" w:hAnsi="Times New Roman" w:cs="Times New Roman" w:eastAsia="Times New Roman"/>
          <w:szCs w:val="20"/>
        </w:rPr>
      </w:pPr>
    </w:p>
    <w:p w14:paraId="0FD9A15E" w14:textId="77777777">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(Δεδομένου ότι η απόφαση είναι διαθέσιμη αποκλειστικά στα γαλλικά και τα πορτογαλικά, το ακόλουθο κείμενο είναι μετάφραση.)</w:t>
      </w:r>
    </w:p>
    <w:p w14:paraId="6FE719E7" w14:textId="77777777">
      <w:pPr>
        <w:pStyle w:val="P68B1DB1-Normal31"/>
        <w:widowControl w:val="0"/>
        <w:tabs>
          <w:tab w:val="left" w:pos="396"/>
          <w:tab w:val="left" w:pos="405"/>
        </w:tabs>
        <w:autoSpaceDE w:val="0"/>
        <w:autoSpaceDN w:val="0"/>
        <w:spacing w:after="0" w:line="240" w:lineRule="auto"/>
        <w:ind w:left="567"/>
        <w:jc w:val="both"/>
      </w:pPr>
    </w:p>
    <w:p w14:paraId="747BC5AF" w14:textId="6053190E">
      <w:pPr>
        <w:pStyle w:val="P68B1DB1-Normal31"/>
        <w:widowControl w:val="0"/>
        <w:tabs>
          <w:tab w:val="left" w:pos="396"/>
          <w:tab w:val="left" w:pos="405"/>
        </w:tabs>
        <w:autoSpaceDE w:val="0"/>
        <w:autoSpaceDN w:val="0"/>
        <w:spacing w:after="0" w:line="240" w:lineRule="auto"/>
        <w:ind w:left="567"/>
        <w:jc w:val="both"/>
        <w:rPr>
          <w:iCs/>
        </w:rPr>
      </w:pPr>
      <w:r>
        <w:t xml:space="preserve">«34. [...] Τα κράτη μέλη έχουν το δικαίωμα, το οποίο προβλέπεται στο άρθρο 2 παράγραφος 2 της οδηγίας 94/25, να καθορίζουν, σε εθνικό επίπεδο, τους όρους που κρίνουν αναγκαίους όσον αφορά τη ναυσιπλοΐα σε ορισμένα ύδατα, προκειμένου να προστατεύεται το περιβάλλον και το τοπίο των πλωτών οδών και να εξασφαλίζεται η ασφάλεια στα ύδατα αυτά. Ωστόσο, οι εν λόγω διατάξεις της εθνικής νομοθεσίας δεν μπορούν σε καμία περίπτωση να θεωρηθούν ως θεσπισθείσες με σκοπό την τήρηση κοινοτικής δεσμευτικής πράξεως.</w:t>
      </w:r>
    </w:p>
    <w:p w14:paraId="4B5BC30F" w14:textId="77777777">
      <w:pPr>
        <w:widowControl w:val="0"/>
        <w:tabs>
          <w:tab w:val="left" w:pos="396"/>
          <w:tab w:val="left" w:pos="405"/>
        </w:tabs>
        <w:autoSpaceDE w:val="0"/>
        <w:autoSpaceDN w:val="0"/>
        <w:spacing w:after="0" w:line="240" w:lineRule="auto"/>
        <w:ind w:left="567"/>
        <w:jc w:val="both"/>
        <w:rPr>
          <w:rFonts w:ascii="Times New Roman" w:hAnsi="Times New Roman" w:cs="Times New Roman"/>
          <w:i/>
          <w:iCs/>
          <w:sz w:val="20"/>
          <w:szCs w:val="16"/>
        </w:rPr>
      </w:pPr>
    </w:p>
    <w:p w14:paraId="21B97694" w14:textId="6F5A910D">
      <w:pPr>
        <w:pStyle w:val="P68B1DB1-Normal31"/>
        <w:widowControl w:val="0"/>
        <w:tabs>
          <w:tab w:val="left" w:pos="396"/>
          <w:tab w:val="left" w:pos="405"/>
        </w:tabs>
        <w:autoSpaceDE w:val="0"/>
        <w:autoSpaceDN w:val="0"/>
        <w:spacing w:after="0" w:line="240" w:lineRule="auto"/>
        <w:ind w:left="567"/>
        <w:jc w:val="both"/>
      </w:pPr>
      <w:r>
        <w:t xml:space="preserve">35. Επομένως, ο κανονισμός για τη ναυσιπλοΐα στις λιμνοθάλασσες, ο οποίος θεσπίζει τεχνικά όρια για τα σκάφη αναψυχής σύμφωνα με το άρθρο 2 παράγραφος 2 της οδηγίας 94/25, δεν εμπίπτει στο πεδίο εφαρμογής του άρθρου 10 παράγραφος 1, πρώτη περίπτωση, της οδηγίας 98/34.»</w:t>
      </w:r>
    </w:p>
    <w:p w14:paraId="7D5DF054" w14:textId="4AE1CCCE">
      <w:pPr>
        <w:spacing w:after="0" w:line="278" w:lineRule="auto"/>
        <w:rPr>
          <w:rFonts w:ascii="Times New Roman" w:hAnsi="Times New Roman" w:cs="Times New Roman" w:eastAsia="Times New Roman"/>
          <w:i/>
          <w:iCs/>
          <w:sz w:val="20"/>
          <w:szCs w:val="16"/>
        </w:rPr>
      </w:pPr>
      <w:r>
        <w:br w:type="page"/>
      </w:r>
    </w:p>
    <w:p w14:paraId="17D9CF1D" w14:textId="0805DD41">
      <w:pPr>
        <w:pStyle w:val="P68B1DB1-Heading24"/>
        <w:numPr>
          <w:ilvl w:val="0"/>
          <w:numId w:val="37"/>
        </w:numPr>
        <w:spacing w:before="0" w:after="0"/>
        <w:jc w:val="center"/>
        <w:rPr>
          <w:bCs/>
          <w:color w:val="auto"/>
        </w:rPr>
      </w:pPr>
      <w:bookmarkStart w:id="158" w:name="_Ref195517548"/>
      <w:bookmarkStart w:id="159" w:name="_Toc203035681"/>
      <w:r>
        <w:t xml:space="preserve">Χρήση ρήτρας διασφάλισης</w:t>
      </w:r>
      <w:bookmarkEnd w:id="158"/>
      <w:bookmarkEnd w:id="159"/>
    </w:p>
    <w:p w14:paraId="19EB441C" w14:textId="77777777">
      <w:pPr>
        <w:pStyle w:val="BodyText"/>
        <w:ind w:left="567"/>
      </w:pPr>
    </w:p>
    <w:p w14:paraId="3421D751" w14:textId="45643AD7">
      <w:pPr>
        <w:pStyle w:val="P68B1DB1-BodyText11"/>
        <w:ind w:left="567"/>
        <w:rPr>
          <w:iCs/>
        </w:rPr>
      </w:pPr>
      <w:r>
        <w:t xml:space="preserve">«Τα άρθρα 5 και 6 </w:t>
      </w:r>
      <w:r>
        <w:rPr>
          <w:i w:val="0"/>
        </w:rPr>
        <w:t xml:space="preserve">[σχετικά με την υποχρέωση κοινοποίησης και την ανασταλτική προθεσμία] </w:t>
      </w:r>
      <w:r>
        <w:t xml:space="preserve">δεν εφαρμόζονται στις νομοθετικές, κανονιστικές και διοικητικές διατάξεις των κρατών μελών ή στις εθελοντικές συμφωνίες μέσω των οποίων τα κράτη μέλη: </w:t>
      </w:r>
    </w:p>
    <w:p w14:paraId="034842B2" w14:textId="40165944">
      <w:pPr>
        <w:pStyle w:val="P68B1DB1-BodyText11"/>
        <w:ind w:left="1134" w:firstLine="306"/>
        <w:rPr>
          <w:iCs/>
        </w:rPr>
      </w:pPr>
      <w:r>
        <w:t>[...]</w:t>
      </w:r>
    </w:p>
    <w:p w14:paraId="412F859B" w14:textId="2872F60B">
      <w:pPr>
        <w:pStyle w:val="P68B1DB1-BodyText11"/>
        <w:ind w:left="1287" w:firstLine="153"/>
        <w:rPr>
          <w:iCs/>
        </w:rPr>
      </w:pPr>
      <w:r>
        <w:t xml:space="preserve">γ) χρησιμοποιούν τις ρήτρες διασφάλισης που προβλέπονται σε δεσμευτικές πράξεις της Ένωσης·»</w:t>
      </w:r>
    </w:p>
    <w:p w14:paraId="3AF0BFA4" w14:textId="77777777">
      <w:pPr>
        <w:pStyle w:val="P68B1DB1-BodyText11"/>
        <w:ind w:left="567"/>
        <w:rPr>
          <w:iCs/>
        </w:rPr>
      </w:pPr>
    </w:p>
    <w:p w14:paraId="6099E717" w14:textId="6C5840E7">
      <w:pPr>
        <w:pStyle w:val="BodyText"/>
        <w:jc w:val="right"/>
      </w:pPr>
      <w:r>
        <w:t xml:space="preserve">(Άρθρο 7 παράγραφος στοιχείο γ) της οδηγίας (ΕΕ) 2015/1535)</w:t>
      </w:r>
    </w:p>
    <w:p w14:paraId="0B43480F" w14:textId="77777777">
      <w:pPr>
        <w:pStyle w:val="BodyText"/>
        <w:jc w:val="right"/>
      </w:pPr>
    </w:p>
    <w:p w14:paraId="2F300DBD" w14:textId="39C2EC6A">
      <w:pPr>
        <w:pStyle w:val="P68B1DB1-BodyText11"/>
        <w:ind w:left="567"/>
        <w:rPr>
          <w:iCs/>
        </w:rPr>
      </w:pPr>
      <w:r>
        <w:t xml:space="preserve">«Τα προαναφερόμενα μέτρα εναρμόνισης περιλαμβάνουν, στις ενδεδειγμένες περιπτώσεις, ρήτρα διασφάλισης που επιτρέπει στα κράτη μέλη να λαμβάνουν, για έναν ή περισσότερους από τους μη οικονομικούς λόγους που προβλέπονται στο άρθρο 36, προσωρινά μέτρα υποκείμενα σε διαδικασία ελέγχου της Ένωσης.»</w:t>
      </w:r>
    </w:p>
    <w:p w14:paraId="618BDE87" w14:textId="77777777">
      <w:pPr>
        <w:pStyle w:val="BodyText"/>
        <w:jc w:val="right"/>
      </w:pPr>
    </w:p>
    <w:p w14:paraId="4DE4DD33" w14:textId="77777777">
      <w:pPr>
        <w:pStyle w:val="BodyText"/>
        <w:jc w:val="right"/>
      </w:pPr>
      <w:r>
        <w:t xml:space="preserve">(Άρθρο 114 παράγραφος 10, της Συνθήκης για τη λειτουργία της Ευρωπαϊκής Ένωσης)</w:t>
      </w:r>
    </w:p>
    <w:p w14:paraId="1738F0ED" w14:textId="77777777">
      <w:pPr>
        <w:widowControl w:val="0"/>
        <w:autoSpaceDE w:val="0"/>
        <w:autoSpaceDN w:val="0"/>
        <w:spacing w:after="0" w:line="240" w:lineRule="auto"/>
        <w:jc w:val="both"/>
        <w:outlineLvl w:val="1"/>
      </w:pPr>
    </w:p>
    <w:p w14:paraId="1204158B" w14:textId="77777777">
      <w:pPr>
        <w:pStyle w:val="P68B1DB1-Normal13"/>
        <w:widowControl w:val="0"/>
        <w:autoSpaceDE w:val="0"/>
        <w:autoSpaceDN w:val="0"/>
        <w:spacing w:after="0" w:line="240" w:lineRule="auto"/>
        <w:jc w:val="both"/>
        <w:outlineLvl w:val="1"/>
      </w:pPr>
      <w:hyperlink r:id="rId91" w:history="1">
        <w:r>
          <w:rPr>
            <w:color w:val="0000FF"/>
            <w:u w:val="single"/>
          </w:rPr>
          <w:t xml:space="preserve">Απόφαση της 8 Σεπτεμβρίου 2005</w:t>
        </w:r>
      </w:hyperlink>
      <w:r>
        <w:t xml:space="preserve"> στην υπόθεση C-500/03, Επιτροπή κατά Πορτογαλίας, σκέψεις 34 και 35</w:t>
      </w:r>
      <w:bookmarkEnd w:id="160"/>
    </w:p>
    <w:p w14:paraId="41BB4299" w14:textId="77777777">
      <w:pPr>
        <w:widowControl w:val="0"/>
        <w:tabs>
          <w:tab w:val="left" w:pos="467"/>
        </w:tabs>
        <w:autoSpaceDE w:val="0"/>
        <w:autoSpaceDN w:val="0"/>
        <w:spacing w:after="0" w:line="240" w:lineRule="auto"/>
        <w:jc w:val="both"/>
        <w:rPr>
          <w:rFonts w:ascii="Times New Roman" w:hAnsi="Times New Roman" w:cs="Times New Roman" w:eastAsia="Times New Roman"/>
          <w:b/>
          <w:i/>
          <w:szCs w:val="20"/>
        </w:rPr>
      </w:pPr>
    </w:p>
    <w:p w14:paraId="35A522BC" w14:textId="2746C9C6">
      <w:pPr>
        <w:pStyle w:val="P68B1DB1-Normal14"/>
        <w:widowControl w:val="0"/>
        <w:tabs>
          <w:tab w:val="left" w:pos="467"/>
        </w:tabs>
        <w:autoSpaceDE w:val="0"/>
        <w:autoSpaceDN w:val="0"/>
        <w:spacing w:after="0" w:line="240" w:lineRule="auto"/>
        <w:jc w:val="both"/>
      </w:pPr>
      <w:r>
        <w:t xml:space="preserve">Οι εθνικές διατάξεις που θεσπίζουν μόνιμα μέτρα δεν μπορούν να τύχουν της εξαίρεσης από την υποχρέωση κοινοποίησης που επιφυλάσσεται στις ρήτρες διασφάλισης, διότι, εξ ορισμού, οι ρήτρες αυτές περιλαμβάνουν μόνο προσωρινά μέτρα.</w:t>
      </w:r>
    </w:p>
    <w:p w14:paraId="5FE003FC" w14:textId="77777777">
      <w:pPr>
        <w:widowControl w:val="0"/>
        <w:tabs>
          <w:tab w:val="left" w:pos="467"/>
        </w:tabs>
        <w:autoSpaceDE w:val="0"/>
        <w:autoSpaceDN w:val="0"/>
        <w:spacing w:after="0" w:line="240" w:lineRule="auto"/>
        <w:jc w:val="both"/>
        <w:rPr>
          <w:rFonts w:ascii="Times New Roman" w:hAnsi="Times New Roman" w:cs="Times New Roman" w:eastAsia="Times New Roman"/>
          <w:szCs w:val="20"/>
        </w:rPr>
      </w:pPr>
    </w:p>
    <w:p w14:paraId="3005B5D0" w14:textId="1B50DC69">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(Δεδομένου ότι η απόφαση είναι διαθέσιμη αποκλειστικά στα γαλλικά και τα πορτογαλικά, το ακόλουθο κείμενο είναι μετάφραση.)</w:t>
      </w:r>
    </w:p>
    <w:p w14:paraId="3BBB6CDB" w14:textId="77777777">
      <w:pPr>
        <w:widowControl w:val="0"/>
        <w:tabs>
          <w:tab w:val="left" w:pos="467"/>
        </w:tabs>
        <w:autoSpaceDE w:val="0"/>
        <w:autoSpaceDN w:val="0"/>
        <w:spacing w:after="0" w:line="240" w:lineRule="auto"/>
        <w:jc w:val="both"/>
        <w:rPr>
          <w:rFonts w:ascii="Times New Roman" w:hAnsi="Times New Roman" w:cs="Times New Roman" w:eastAsia="Times New Roman"/>
          <w:szCs w:val="20"/>
        </w:rPr>
      </w:pPr>
    </w:p>
    <w:p w14:paraId="5FBF5694" w14:textId="0105632E">
      <w:pPr>
        <w:pStyle w:val="P68B1DB1-BodyText25"/>
        <w:ind w:left="567"/>
        <w:rPr>
          <w:iCs/>
        </w:rPr>
      </w:pPr>
      <w:r>
        <w:t xml:space="preserve">«39. Δεδομένου ότι η υπό κρίση προσφυγή λόγω παραβάσεως περιορίζεται σε αίτημα διαπιστώσεως παραβάσεως της τυπικής διαδικασίας προηγούμενης κοινοποιήσεως, αρκεί η υπόμνηση, χωρίς να χρειάζεται να δοθεί απάντηση στα λοιπά επιχειρήματα των διαδίκων, ότι το Δικαστήριο έχει ήδη κρίνει ότι το άρθρο 8 παράγραφος 1, της οδηγίας 98/34 επιβάλλει στα κράτη μέλη την υποχρέωση να ανακοινώνουν αμέσως στην Επιτροπή κάθε σχέδιο τεχνικού κανόνα (βλ., μεταξύ άλλων, υπό την έννοια αυτή, όσον αφορά διατάξεις ανάλογες με τις διατάξεις της οδηγίας αυτής, αποφάσεις της 2 Αυγούστου 1993, C-139/92, Επιτροπή κατά Ιταλίας, Συλλογή 4707, σ. I-3, σκέψη 31, και της 11 Ιανουαρίου 1996, C-273/94, Επιτροπή κατά Κάτω Χωρών, Συλλογή 15, σ. Ι-, σκέψη).</w:t>
      </w:r>
    </w:p>
    <w:p w14:paraId="4A696586" w14:textId="77777777">
      <w:pPr>
        <w:pStyle w:val="BodyText"/>
        <w:ind w:left="567"/>
        <w:rPr>
          <w:i/>
          <w:iCs/>
          <w:sz w:val="20"/>
          <w:szCs w:val="16"/>
        </w:rPr>
      </w:pPr>
    </w:p>
    <w:p w14:paraId="7FC8797C" w14:textId="46BA7B1B">
      <w:pPr>
        <w:pStyle w:val="P68B1DB1-BodyText25"/>
        <w:ind w:left="567"/>
        <w:jc w:val="left"/>
      </w:pPr>
      <w:r>
        <w:t xml:space="preserve">40. Δεδομένου ότι οι σχετικές διατάξεις του διατάγματος 783/98 συνιστούν τεχνικούς κανόνες κατά την έννοια της οδηγίας 98/34, όπως προκύπτει από τη σκέψη 31 της παρούσας αποφάσεως, η Πορτογαλική Δημοκρατία όφειλε να τους κοινοποιήσει υπό μορφή σχεδίου, σύμφωνα με το άρθρο 8 παράγραφος 1, της οδηγίας 98/34 (βλ., συναφώς, μεταξύ άλλων, όσον αφορά διατάξεις ανάλογες με εκείνες της οδηγίας 98/34, αποφάσεις της 7 Μαΐου 1998, C-145/97, Επιτροπή κατά Βελγίου, Συλλογή 2643, σ. I-13, σκέψη 43, και της 21 Απριλίου 2005, C-267/03, Lindberg, Συλλογή I, σ. I-, σκέψη).»</w:t>
      </w:r>
    </w:p>
    <w:p w14:paraId="4127997B" w14:textId="77777777">
      <w:pPr>
        <w:pStyle w:val="BodyText"/>
        <w:jc w:val="left"/>
      </w:pPr>
    </w:p>
    <w:p w14:paraId="74FE5E6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92" w:history="1">
        <w:r>
          <w:rPr>
            <w:color w:val="0000FF"/>
            <w:u w:val="single"/>
          </w:rPr>
          <w:t xml:space="preserve">Απόφαση της 8 Οκτωβρίου 2020</w:t>
        </w:r>
      </w:hyperlink>
      <w:r>
        <w:t xml:space="preserve">, Union des industries de la protection des plantes, C-514/19, σκέψεις 46 και 47.</w:t>
      </w:r>
      <w:bookmarkEnd w:id="161"/>
      <w:r>
        <w:t xml:space="preserve"> </w:t>
      </w:r>
    </w:p>
    <w:p w14:paraId="4EFFE1E6" w14:textId="09D2A0BD">
      <w:pPr>
        <w:widowControl w:val="0"/>
        <w:autoSpaceDE w:val="0"/>
        <w:autoSpaceDN w:val="0"/>
        <w:spacing w:after="0" w:line="240" w:lineRule="auto"/>
        <w:jc w:val="both"/>
        <w:outlineLvl w:val="1"/>
        <w:rPr>
          <w:rFonts w:ascii="Times New Roman" w:hAnsi="Times New Roman" w:cs="Times New Roman" w:eastAsia="Times New Roman"/>
          <w:b/>
          <w:i/>
          <w:szCs w:val="20"/>
        </w:rPr>
      </w:pPr>
      <w:bookmarkStart w:id="162" w:name="_Toc198043891"/>
      <w:r>
        <w:rPr>
          <w:rFonts w:ascii="Times New Roman" w:hAnsi="Times New Roman" w:cs="Times New Roman" w:eastAsia="Times New Roman"/>
          <w:b/>
          <w:i/>
          <w:szCs w:val="20"/>
        </w:rPr>
        <w:t xml:space="preserve">(παραπομπή στις </w:t>
      </w:r>
      <w:hyperlink r:id="rId93" w:history="1">
        <w:r>
          <w:rPr>
            <w:rStyle w:val="Hyperlink"/>
            <w:rFonts w:ascii="Times New Roman" w:hAnsi="Times New Roman" w:cs="Times New Roman" w:eastAsia="Times New Roman"/>
            <w:b/>
            <w:i/>
            <w:color w:val="0000FF"/>
            <w:szCs w:val="20"/>
          </w:rPr>
          <w:t xml:space="preserve">προτάσεις της γενικής εισαγγελέα J. Kokott</w:t>
        </w:r>
      </w:hyperlink>
      <w:r>
        <w:rPr>
          <w:rFonts w:ascii="Times New Roman" w:hAnsi="Times New Roman" w:cs="Times New Roman" w:eastAsia="Times New Roman"/>
          <w:b/>
          <w:i/>
          <w:szCs w:val="20"/>
        </w:rPr>
        <w:t xml:space="preserve">, σημείο 58)</w:t>
      </w:r>
      <w:bookmarkEnd w:id="162"/>
    </w:p>
    <w:p w14:paraId="498A15D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B705E59" w14:textId="4AA22297">
      <w:pPr>
        <w:pStyle w:val="P68B1DB1-Normal14"/>
        <w:widowControl w:val="0"/>
        <w:autoSpaceDE w:val="0"/>
        <w:autoSpaceDN w:val="0"/>
        <w:spacing w:after="0" w:line="240" w:lineRule="auto"/>
        <w:jc w:val="both"/>
      </w:pPr>
      <w:r>
        <w:t xml:space="preserve">Ρήτρα που αντιστοιχεί στον ορισμό του άρθρου 114 της Συνθήκης για τη λειτουργία της Ευρωπαϊκής Ένωσης αποτελεί ρήτρα διασφάλισης, ακόμη και αν δεν κατονομάζεται στην πράξη που την προβλέπει. Ως εκ τούτου, τυγχάνει απαλλαγής από την υποχρέωση κοινοποίησης.</w:t>
      </w:r>
    </w:p>
    <w:p w14:paraId="1CAE009C" w14:textId="77777777">
      <w:pPr>
        <w:widowControl w:val="0"/>
        <w:autoSpaceDE w:val="0"/>
        <w:autoSpaceDN w:val="0"/>
        <w:spacing w:after="0" w:line="240" w:lineRule="auto"/>
        <w:jc w:val="both"/>
        <w:rPr>
          <w:rFonts w:ascii="Times New Roman" w:hAnsi="Times New Roman" w:cs="Times New Roman" w:eastAsia="Times New Roman"/>
          <w:szCs w:val="20"/>
        </w:rPr>
      </w:pPr>
    </w:p>
    <w:p w14:paraId="659EDCBA" w14:textId="7C97939F">
      <w:pPr>
        <w:widowControl w:val="0"/>
        <w:autoSpaceDE w:val="0"/>
        <w:autoSpaceDN w:val="0"/>
        <w:spacing w:after="0" w:line="240" w:lineRule="auto"/>
        <w:ind w:left="567"/>
        <w:jc w:val="both"/>
        <w:rPr>
          <w:rFonts w:ascii="Times New Roman" w:hAnsi="Times New Roman" w:cs="Times New Roman" w:eastAsia="Times New Roman"/>
          <w:i/>
          <w:sz w:val="20"/>
          <w:szCs w:val="20"/>
        </w:rPr>
        <w:pStyle w:val="P68B1DB1-Normal32"/>
      </w:pPr>
      <w:r>
        <w:t xml:space="preserve">(Απόφαση του Δικαστηρίου)</w:t>
      </w:r>
      <w:r>
        <w:rPr>
          <w:i/>
        </w:rPr>
        <w:t xml:space="preserve"> «46 [...] το άρθρο 71 παράγραφος 1 του εν λόγω κανονισμού πρέπει να αντιμετωπίζεται ως ρήτρα διασφάλισης, όπως επισήμανε η γενική εισαγγελέας στο σημείο 58 των προτάσεών</w:t>
      </w:r>
      <w:r>
        <w:t xml:space="preserve"> της.</w:t>
      </w:r>
    </w:p>
    <w:p w14:paraId="1A86B765" w14:textId="77777777">
      <w:pPr>
        <w:widowControl w:val="0"/>
        <w:autoSpaceDE w:val="0"/>
        <w:autoSpaceDN w:val="0"/>
        <w:spacing w:after="0" w:line="240" w:lineRule="auto"/>
        <w:ind w:left="567"/>
        <w:jc w:val="both"/>
        <w:rPr>
          <w:rFonts w:ascii="Times New Roman" w:hAnsi="Times New Roman" w:cs="Times New Roman" w:eastAsia="Times New Roman"/>
          <w:i/>
          <w:sz w:val="20"/>
          <w:szCs w:val="20"/>
        </w:rPr>
      </w:pPr>
    </w:p>
    <w:p w14:paraId="42FB846B" w14:textId="4A135D8F">
      <w:pPr>
        <w:widowControl w:val="0"/>
        <w:autoSpaceDE w:val="0"/>
        <w:autoSpaceDN w:val="0"/>
        <w:spacing w:after="0" w:line="240" w:lineRule="auto"/>
        <w:ind w:left="567"/>
        <w:jc w:val="both"/>
        <w:rPr>
          <w:rFonts w:ascii="Times New Roman" w:hAnsi="Times New Roman" w:cs="Times New Roman" w:eastAsia="Times New Roman"/>
          <w:i/>
          <w:sz w:val="20"/>
          <w:szCs w:val="20"/>
        </w:rPr>
        <w:pStyle w:val="P68B1DB1-Normal18"/>
      </w:pPr>
      <w:r>
        <w:t xml:space="preserve">47. Η διαφορά μεταξύ των διαδικασιών που προβλέπονται, αντιστοίχως, στο άρθρο 5 της εν λόγω οδηγίας και στο άρθρο 71 του εν λόγω κανονισμού επιβεβαιώνεται, επομένως, από το άρθρο 7 παράγραφος στοιχείο γ) ́, της οδηγίας αυτής, το οποίο προβλέπει ότι τα άρθρα 5 και 6 της εν λόγω οδηγίας δεν εφαρμόζονται στις διατάξεις των κρατών μελών με τις οποίες τα τελευταία κάνουν χρήση των ρητρών διασφάλισης που προβλέπονται σε δεσμευτικές πράξεις της Ένωσης.»</w:t>
      </w:r>
    </w:p>
    <w:p w14:paraId="285FA492" w14:textId="77777777">
      <w:pPr>
        <w:widowControl w:val="0"/>
        <w:autoSpaceDE w:val="0"/>
        <w:autoSpaceDN w:val="0"/>
        <w:spacing w:after="0" w:line="240" w:lineRule="auto"/>
        <w:ind w:left="567"/>
        <w:jc w:val="both"/>
        <w:rPr>
          <w:rFonts w:ascii="Times New Roman" w:hAnsi="Times New Roman" w:cs="Times New Roman" w:eastAsia="Times New Roman"/>
          <w:i/>
          <w:iCs/>
          <w:sz w:val="20"/>
          <w:szCs w:val="20"/>
        </w:rPr>
      </w:pPr>
    </w:p>
    <w:p w14:paraId="7FF60EBF" w14:textId="14EB520E">
      <w:pPr>
        <w:pStyle w:val="P68B1DB1-Normal32"/>
        <w:widowControl w:val="0"/>
        <w:autoSpaceDE w:val="0"/>
        <w:autoSpaceDN w:val="0"/>
        <w:spacing w:after="0" w:line="240" w:lineRule="auto"/>
        <w:ind w:left="567"/>
        <w:jc w:val="both"/>
        <w:rPr>
          <w:i/>
          <w:iCs/>
        </w:rPr>
      </w:pPr>
      <w:r>
        <w:t xml:space="preserve">(προτάσεις της γενικής εισαγγελέα J. Kokott)</w:t>
      </w:r>
      <w:r>
        <w:rPr>
          <w:i/>
        </w:rPr>
        <w:t xml:space="preserve"> </w:t>
      </w:r>
      <w:bookmarkStart w:id="163" w:name="point58"/>
      <w:r>
        <w:rPr>
          <w:i/>
        </w:rPr>
        <w:t>«</w:t>
      </w:r>
      <w:bookmarkEnd w:id="163"/>
      <w:r>
        <w:rPr>
          <w:i/>
        </w:rPr>
        <w:t xml:space="preserve">58.      Ασφαλώς, το άρθρο 71 του κανονισμού για τα φυτοπροστατευτικά προϊόντα, αντιθέτως προς ορισμένες συγκρίσιμες ρυθμίσεις, δεν επιγράφεται με το όρο «ρήτρα διασφαλίσεως», αλλά το περιεχόμενο της διατάξεως αυτής ανταποκρίνεται στον ορισμό των ρητρών διασφαλίσεως του άρθρου 114 παράγραφος 10, ΣΛΕΕ. Ως εκ τούτου, μπορεί επίσης να θεωρηθεί ρήτρα διασφάλισης για τους σκοπούς του άρθρου 7 παράγραφος στοιχείο γ) της οδηγίας περί κοινοποίησης.»</w:t>
      </w:r>
    </w:p>
    <w:p w14:paraId="09CE6B87" w14:textId="77777777">
      <w:pPr>
        <w:pStyle w:val="BodyText"/>
        <w:jc w:val="left"/>
      </w:pPr>
    </w:p>
    <w:p w14:paraId="34956999" w14:textId="0CAA9375">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94" w:history="1">
        <w:r>
          <w:rPr>
            <w:rStyle w:val="Hyperlink"/>
            <w:rFonts w:ascii="Times New Roman" w:hAnsi="Times New Roman" w:cs="Times New Roman" w:eastAsia="Times New Roman"/>
            <w:b/>
            <w:i/>
            <w:color w:val="0000FF"/>
            <w:szCs w:val="20"/>
          </w:rPr>
          <w:t xml:space="preserve">Απόφαση της 9 Μαρτίου 2023</w:t>
        </w:r>
      </w:hyperlink>
      <w:r>
        <w:rPr>
          <w:rFonts w:ascii="Times New Roman" w:hAnsi="Times New Roman" w:cs="Times New Roman" w:eastAsia="Times New Roman"/>
          <w:b/>
          <w:i/>
          <w:szCs w:val="20"/>
        </w:rPr>
        <w:t xml:space="preserve">, Vapo Atlantic,</w:t>
        <w:noBreakHyphen/>
        <w:t xml:space="preserve">C 604/21, σκέψεις 55 έως 57</w:t>
      </w:r>
      <w:bookmarkEnd w:id="164"/>
    </w:p>
    <w:p w14:paraId="6300E3F4" w14:textId="77777777">
      <w:pPr>
        <w:widowControl w:val="0"/>
        <w:autoSpaceDE w:val="0"/>
        <w:autoSpaceDN w:val="0"/>
        <w:spacing w:after="0" w:line="240" w:lineRule="auto"/>
        <w:jc w:val="both"/>
        <w:rPr>
          <w:rFonts w:ascii="Times New Roman" w:hAnsi="Times New Roman" w:cs="Times New Roman" w:eastAsia="Times New Roman"/>
          <w:szCs w:val="20"/>
        </w:rPr>
      </w:pPr>
    </w:p>
    <w:p w14:paraId="13992C07" w14:textId="74D47E48">
      <w:pPr>
        <w:widowControl w:val="0"/>
        <w:autoSpaceDE w:val="0"/>
        <w:autoSpaceDN w:val="0"/>
        <w:spacing w:after="0" w:line="240" w:lineRule="auto"/>
        <w:jc w:val="both"/>
        <w:outlineLvl w:val="1"/>
        <w:rPr>
          <w:rFonts w:ascii="Times New Roman" w:hAnsi="Times New Roman" w:cs="Times New Roman" w:eastAsia="Times New Roman"/>
          <w:szCs w:val="20"/>
        </w:rPr>
        <w:pStyle w:val="P68B1DB1-Normal14"/>
      </w:pPr>
      <w:bookmarkStart w:id="165" w:name="_Toc198043893"/>
      <w:r>
        <w:t xml:space="preserve">Εξαίρεση από την υποχρέωση κοινοποίησης βάσει «ρήτρας διασφάλισης» είναι δυνατή μόνον εάν η πράξη εναρμόνισης στην οποία γίνεται επίκληση περιέχει ρητά ρήτρα που αντιστοιχεί στον ορισμό του άρθρου 114 της Συνθήκης για τη λειτουργία της Ευρωπαϊκής Ένωσης.</w:t>
      </w:r>
      <w:bookmarkEnd w:id="165"/>
    </w:p>
    <w:p w14:paraId="701D9589"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2E98A7C3" w14:textId="65F75C30">
      <w:pPr>
        <w:pStyle w:val="P68B1DB1-Normal20"/>
        <w:widowControl w:val="0"/>
        <w:autoSpaceDE w:val="0"/>
        <w:autoSpaceDN w:val="0"/>
        <w:spacing w:after="0" w:line="240" w:lineRule="auto"/>
        <w:ind w:left="567"/>
        <w:jc w:val="both"/>
        <w:outlineLvl w:val="1"/>
      </w:pPr>
      <w:bookmarkStart w:id="166" w:name="_Toc198043894"/>
      <w:r>
        <w:t xml:space="preserve">«55. Επισημαίνεται ότι με τα δύο πρώτα εδάφια του άρθρου 4 παράγραφος 1, της οδηγίας 2009/30 προβλέπεται μόνον η προθεσμία εντός της οποίας τα κράτη μέλη οφείλουν να μεταφέρουν την οδηγία στο εσωτερικό δίκαιο, ήτοι το αργότερο μέχρι τις 31 Δεκεμβρίου 2010, με τις αναγκαίες προς τούτο νομοθετικές, κανονιστικές ή διοικητικές διατάξεις και ότι τα κράτη μέλη οφείλουν να ανακοινώσουν αμέσως στην Επιτροπή το κείμενο των διατάξεων αυτών. Το τρίτο εδάφιο της διάταξης αυτής προβλέπει ότι, όταν τα κράτη μέλη θεσπίζουν τις εν λόγω διατάξεις, οι διατάξεις αυτές περιέχουν αναφορά στην οδηγία 2009/30.</w:t>
      </w:r>
      <w:bookmarkEnd w:id="166"/>
    </w:p>
    <w:p w14:paraId="3168B0DE" w14:textId="77777777">
      <w:pPr>
        <w:pStyle w:val="P68B1DB1-Normal20"/>
        <w:widowControl w:val="0"/>
        <w:autoSpaceDE w:val="0"/>
        <w:autoSpaceDN w:val="0"/>
        <w:spacing w:after="0" w:line="240" w:lineRule="auto"/>
        <w:ind w:left="567"/>
        <w:jc w:val="both"/>
        <w:outlineLvl w:val="1"/>
      </w:pPr>
    </w:p>
    <w:p w14:paraId="18560400" w14:textId="0F72F49C">
      <w:pPr>
        <w:pStyle w:val="P68B1DB1-Normal20"/>
        <w:widowControl w:val="0"/>
        <w:autoSpaceDE w:val="0"/>
        <w:autoSpaceDN w:val="0"/>
        <w:spacing w:after="0" w:line="240" w:lineRule="auto"/>
        <w:ind w:left="567"/>
        <w:jc w:val="both"/>
        <w:outlineLvl w:val="1"/>
      </w:pPr>
      <w:bookmarkStart w:id="167" w:name="_Toc198043895"/>
      <w:r>
        <w:t xml:space="preserve">56. Από κανένα στοιχείο του γράμματος του άρθρου 4 παράγραφος 1, της οδηγίας 2009/30 δεν προκύπτει ότι ο νομοθέτης της Ένωσης θέλησε να εισαγάγει στην οδηγία ρήτρα διασφάλισης κατά την έννοια του άρθρου 114 παράγραφος 10, ΣΛΕΕ, την οποία θα μπορούσαν να χρησιμοποιήσουν τα κράτη μέλη.</w:t>
      </w:r>
      <w:bookmarkEnd w:id="167"/>
    </w:p>
    <w:p w14:paraId="36E43530" w14:textId="77777777">
      <w:pPr>
        <w:pStyle w:val="P68B1DB1-Normal20"/>
        <w:widowControl w:val="0"/>
        <w:autoSpaceDE w:val="0"/>
        <w:autoSpaceDN w:val="0"/>
        <w:spacing w:after="0" w:line="240" w:lineRule="auto"/>
        <w:ind w:left="567"/>
        <w:jc w:val="both"/>
        <w:outlineLvl w:val="1"/>
      </w:pPr>
    </w:p>
    <w:p w14:paraId="50D2526D" w14:textId="49B1A184">
      <w:pPr>
        <w:pStyle w:val="P68B1DB1-Normal20"/>
        <w:widowControl w:val="0"/>
        <w:autoSpaceDE w:val="0"/>
        <w:autoSpaceDN w:val="0"/>
        <w:spacing w:after="0" w:line="240" w:lineRule="auto"/>
        <w:ind w:left="567"/>
        <w:jc w:val="both"/>
        <w:outlineLvl w:val="1"/>
        <w:rPr>
          <w:iCs/>
        </w:rPr>
      </w:pPr>
      <w:bookmarkStart w:id="168" w:name="_Toc198043896"/>
      <w:r>
        <w:t xml:space="preserve">57. Συναφώς, η τελευταία αυτή διάταξη προβλέπει ότι τα μέτρα εναρμόνισης περιλαμβάνουν, στις ενδεδειγμένες περιπτώσεις, ρήτρα διασφάλισης που επιτρέπει στα κράτη μέλη να λαμβάνουν, για έναν ή περισσότερους από τους μη οικονομικούς λόγους που προβλέπονται στο άρθρο 36 ΣΛΕΕ, προσωρινά μέτρα υποκείμενα σε διαδικασία ελέγχου της Ένωσης. Επομένως, μια τέτοια ρήτρα διασφάλισης πρέπει να προβλέπεται ρητώς από την πράξη εναρμόνισης. Το άρθρο 4 παράγραφος 1, της οδηγίας 2009/30 δεν έχει τα χαρακτηριστικά αυτά και, ως εκ τούτου, δεν μπορεί να συνιστά τέτοια ρήτρα διασφαλίσεως.»</w:t>
      </w:r>
      <w:bookmarkEnd w:id="168"/>
    </w:p>
    <w:p w14:paraId="12FF84E6" w14:textId="18A9A21E">
      <w:pPr>
        <w:pStyle w:val="P68B1DB1-Normal29"/>
        <w:spacing w:after="0" w:line="240" w:lineRule="auto"/>
      </w:pPr>
      <w:r>
        <w:br w:type="page"/>
      </w:r>
    </w:p>
    <w:p w14:paraId="6087D716" w14:textId="3F11D8EF">
      <w:pPr>
        <w:pStyle w:val="P68B1DB1-Heading24"/>
        <w:numPr>
          <w:ilvl w:val="0"/>
          <w:numId w:val="37"/>
        </w:numPr>
        <w:spacing w:before="0" w:after="0"/>
        <w:jc w:val="center"/>
        <w:rPr>
          <w:bCs/>
          <w:color w:val="auto"/>
        </w:rPr>
      </w:pPr>
      <w:bookmarkStart w:id="169" w:name="_Ref195517564"/>
      <w:bookmarkStart w:id="170" w:name="_Toc203035682"/>
      <w:r>
        <w:t xml:space="preserve">Τροποποίηση σε συμφωνία με αίτημα της Επιτροπής</w:t>
      </w:r>
      <w:bookmarkEnd w:id="169"/>
      <w:bookmarkEnd w:id="170"/>
    </w:p>
    <w:p w14:paraId="049085CF" w14:textId="77777777">
      <w:pPr>
        <w:pStyle w:val="BodyText"/>
        <w:jc w:val="left"/>
      </w:pPr>
    </w:p>
    <w:p w14:paraId="40F4BBF6" w14:textId="77777777">
      <w:pPr>
        <w:pStyle w:val="P68B1DB1-BodyText11"/>
        <w:ind w:left="567"/>
        <w:rPr>
          <w:iCs/>
        </w:rPr>
      </w:pPr>
      <w:r>
        <w:t xml:space="preserve">«Τα άρθρα 5 και 6 </w:t>
      </w:r>
      <w:r>
        <w:rPr>
          <w:i w:val="0"/>
        </w:rPr>
        <w:t xml:space="preserve">[σχετικά με την υποχρέωση κοινοποίησης και την ανασταλτική προθεσμία] </w:t>
      </w:r>
      <w:r>
        <w:t xml:space="preserve">δεν εφαρμόζονται στις νομοθετικές, κανονιστικές και διοικητικές διατάξεις των κρατών μελών ή στις εθελοντικές συμφωνίες μέσω των οποίων τα κράτη μέλη: </w:t>
      </w:r>
    </w:p>
    <w:p w14:paraId="07DBADDA" w14:textId="77777777">
      <w:pPr>
        <w:pStyle w:val="P68B1DB1-BodyText11"/>
        <w:ind w:left="1287" w:firstLine="153"/>
        <w:rPr>
          <w:iCs/>
        </w:rPr>
      </w:pPr>
      <w:r>
        <w:t>[...]</w:t>
      </w:r>
    </w:p>
    <w:p w14:paraId="11A943BD" w14:textId="080C60F0">
      <w:pPr>
        <w:pStyle w:val="P68B1DB1-BodyText11"/>
        <w:ind w:left="1440"/>
        <w:rPr>
          <w:iCs/>
        </w:rPr>
      </w:pPr>
      <w:r>
        <w:t xml:space="preserve">στ) περιορίζονται στην τροποποίηση τεχνικού κανόνα κατά την έννοια του άρθρου 1 παράγραφος 1 στοιχείο στ), κατόπιν αιτήματος της Επιτροπής, με σκοπό την άρση ενός εμποδίου στο εμπόριο ή, στην περίπτωση των κανόνων για τις υπηρεσίες, στην ελεύθερη κυκλοφορία των υπηρεσιών ή στην ελευθερία εγκατάστασης των φορέων παροχής υπηρεσιών.»</w:t>
      </w:r>
    </w:p>
    <w:p w14:paraId="21F03EA5" w14:textId="77777777">
      <w:pPr>
        <w:pStyle w:val="BodyText"/>
        <w:jc w:val="center"/>
      </w:pPr>
    </w:p>
    <w:p w14:paraId="7883B4B7" w14:textId="369773F7">
      <w:pPr>
        <w:pStyle w:val="BodyText"/>
        <w:jc w:val="right"/>
      </w:pPr>
      <w:r>
        <w:t xml:space="preserve">(Άρθρο 7 παράγραφος στοιχείο στ) της οδηγίας (ΕΕ) 2015/1535)</w:t>
      </w:r>
    </w:p>
    <w:p w14:paraId="21BFE903" w14:textId="77777777">
      <w:pPr>
        <w:pStyle w:val="BodyText"/>
        <w:jc w:val="left"/>
      </w:pPr>
    </w:p>
    <w:p w14:paraId="46B1E740" w14:textId="2C38BA2E">
      <w:pPr>
        <w:pStyle w:val="P68B1DB1-Normal13"/>
        <w:widowControl w:val="0"/>
        <w:autoSpaceDE w:val="0"/>
        <w:autoSpaceDN w:val="0"/>
        <w:spacing w:after="0" w:line="240" w:lineRule="auto"/>
        <w:jc w:val="both"/>
        <w:outlineLvl w:val="1"/>
      </w:pPr>
      <w:hyperlink r:id="rId95" w:history="1">
        <w:r>
          <w:rPr>
            <w:color w:val="0000FF"/>
            <w:u w:val="single"/>
          </w:rPr>
          <w:t xml:space="preserve">Απόφαση της 31 Ιανουαρίου 2013</w:t>
        </w:r>
      </w:hyperlink>
      <w:r>
        <w:t xml:space="preserve"> στην υπόθεση C-26/11, Belgische Petroleum Unie κ.λπ., σκέψεις 56 και 57.</w:t>
      </w:r>
      <w:bookmarkEnd w:id="171"/>
    </w:p>
    <w:p w14:paraId="320154D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95DB689" w14:textId="2F4EA0A1">
      <w:pPr>
        <w:widowControl w:val="0"/>
        <w:tabs>
          <w:tab w:val="left" w:pos="412"/>
        </w:tabs>
        <w:autoSpaceDE w:val="0"/>
        <w:autoSpaceDN w:val="0"/>
        <w:spacing w:after="0" w:line="240" w:lineRule="auto"/>
        <w:jc w:val="both"/>
        <w:rPr>
          <w:rFonts w:ascii="Times New Roman" w:hAnsi="Times New Roman" w:cs="Times New Roman" w:eastAsia="Times New Roman"/>
          <w:szCs w:val="20"/>
        </w:rPr>
        <w:pStyle w:val="P68B1DB1-Normal14"/>
      </w:pPr>
      <w:r>
        <w:t xml:space="preserve">Η οδηγία δεν απαιτεί την κοινοποίηση σχεδίου εθνικής νομοθεσίας όταν, μετά την αρχική κοινοποίηση, το σχέδιο τροποποιήθηκε προκειμένου να ληφθούν υπόψη οι παρατηρήσεις της Επιτροπής και το τροποποιημένο κείμενο κοινοποιήθηκε στη συνέχεια στην Επιτροπή.</w:t>
      </w:r>
    </w:p>
    <w:p w14:paraId="0634FD8C" w14:textId="77777777">
      <w:pPr>
        <w:widowControl w:val="0"/>
        <w:tabs>
          <w:tab w:val="left" w:pos="412"/>
        </w:tabs>
        <w:autoSpaceDE w:val="0"/>
        <w:autoSpaceDN w:val="0"/>
        <w:spacing w:after="0" w:line="240" w:lineRule="auto"/>
        <w:jc w:val="both"/>
        <w:rPr>
          <w:rFonts w:ascii="Times New Roman" w:hAnsi="Times New Roman" w:cs="Times New Roman" w:eastAsia="Times New Roman"/>
          <w:szCs w:val="20"/>
        </w:rPr>
      </w:pPr>
    </w:p>
    <w:p w14:paraId="7D4E24F0" w14:textId="03842035">
      <w:pPr>
        <w:pStyle w:val="P68B1DB1-Normal15"/>
        <w:widowControl w:val="0"/>
        <w:tabs>
          <w:tab w:val="left" w:pos="412"/>
        </w:tabs>
        <w:autoSpaceDE w:val="0"/>
        <w:autoSpaceDN w:val="0"/>
        <w:spacing w:after="0" w:line="240" w:lineRule="auto"/>
        <w:ind w:left="567"/>
        <w:jc w:val="both"/>
      </w:pPr>
      <w:r>
        <w:t xml:space="preserve">«56. [...] υπό τις συνθήκες αυτές, το Βασίλειο του Βελγίου περιορίστηκε να τροποποιήσει τις διατάξεις σχεδίου νόμου κατόπιν αιτήματος της Επιτροπής για την άρση του εμποδίου στο εμπόριο και, ως εκ τούτου, δυνάμει του άρθρου 10 παράγραφος 1, τελευταία περίπτωση, της οδηγίας 98/34, η υποχρέωση κοινοποιήσεως στην Επιτροπή δυνάμει του άρθρου 8 παράγραφος 1, πρώτο εδάφιο, της οδηγίας αυτής δεν έχει εφαρμογή στο σχέδιο νόμου περί της υποχρεώσεως αναμείξεως.</w:t>
      </w:r>
    </w:p>
    <w:p w14:paraId="39EC120F" w14:textId="77777777">
      <w:pPr>
        <w:pStyle w:val="P68B1DB1-Normal15"/>
        <w:widowControl w:val="0"/>
        <w:tabs>
          <w:tab w:val="left" w:pos="412"/>
        </w:tabs>
        <w:autoSpaceDE w:val="0"/>
        <w:autoSpaceDN w:val="0"/>
        <w:spacing w:after="0" w:line="240" w:lineRule="auto"/>
        <w:ind w:left="567"/>
        <w:jc w:val="both"/>
      </w:pPr>
    </w:p>
    <w:p w14:paraId="2E743C69" w14:textId="2B1CBA3C">
      <w:pPr>
        <w:pStyle w:val="P68B1DB1-Normal15"/>
        <w:widowControl w:val="0"/>
        <w:tabs>
          <w:tab w:val="left" w:pos="412"/>
        </w:tabs>
        <w:autoSpaceDE w:val="0"/>
        <w:autoSpaceDN w:val="0"/>
        <w:spacing w:after="0" w:line="240" w:lineRule="auto"/>
        <w:ind w:left="567"/>
        <w:jc w:val="both"/>
        <w:rPr>
          <w:iCs/>
        </w:rPr>
      </w:pPr>
      <w:r>
        <w:t xml:space="preserve">57. Υπό τις συνθήκες αυτές, στο δεύτερο ερώτημα πρέπει να δοθεί η απάντηση ότι το άρθρο 8 της οδηγίας 98/34, σε συνδυασμό με το άρθρο 10 παράγραφος 1, τελευταία περίπτωση, της οδηγίας αυτής, έχει την έννοια ότι δεν επιβάλλει την κοινοποίηση σχεδίου εθνικής νομοθετικής ρυθμίσεως η οποία υποχρεώνει τις πετρελαϊκές εταιρίες που διαθέτουν στην αγορά βενζίνη και/ή καύσιμα ντίζελ να διαθέτουν επίσης στην αγορά, κατά το ίδιο ημερολογιακό έτος, ορισμένα ποσοστά βιοκαυσίμων, όταν, μετά την κοινοποίησή τους σύμφωνα με το άρθρο 8 παράγραφος 1, πρώτο εδάφιο, το σχέδιο τροποποιήθηκε προκειμένου να ληφθούν υπόψη οι σχετικές παρατηρήσεις της Επιτροπής και το τροποποιημένο σχέδιο κοινοποιήθηκε στη συνέχεια στην Επιτροπή.»</w:t>
      </w:r>
    </w:p>
    <w:p w14:paraId="1F05DBDF" w14:textId="3ED0BCB3">
      <w:pPr>
        <w:spacing w:after="0" w:line="278" w:lineRule="auto"/>
        <w:rPr>
          <w:rFonts w:ascii="Times New Roman" w:hAnsi="Times New Roman" w:cs="Times New Roman" w:eastAsia="Times New Roman"/>
          <w:sz w:val="24"/>
          <w:szCs w:val="20"/>
        </w:rPr>
      </w:pPr>
      <w:r>
        <w:br w:type="page"/>
      </w:r>
    </w:p>
    <w:p w14:paraId="4DF08AEF" w14:textId="0EBF7EE3">
      <w:pPr>
        <w:pStyle w:val="P68B1DB1-Heading24"/>
        <w:numPr>
          <w:ilvl w:val="1"/>
          <w:numId w:val="1"/>
        </w:numPr>
        <w:spacing w:before="0" w:after="0"/>
        <w:jc w:val="center"/>
        <w:rPr>
          <w:bCs/>
          <w:color w:val="auto"/>
        </w:rPr>
      </w:pPr>
      <w:bookmarkStart w:id="172" w:name="_Ref195517581"/>
      <w:bookmarkStart w:id="173" w:name="_Toc203035683"/>
      <w:r>
        <w:t xml:space="preserve">Περιστάσεις που δεν συνιστούν εξαιρέσεις</w:t>
      </w:r>
      <w:bookmarkEnd w:id="172"/>
      <w:bookmarkEnd w:id="173"/>
    </w:p>
    <w:p w14:paraId="6006C68A"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7EFB943D" w14:textId="7608A244">
      <w:pPr>
        <w:pStyle w:val="P68B1DB1-Normal13"/>
        <w:widowControl w:val="0"/>
        <w:autoSpaceDE w:val="0"/>
        <w:autoSpaceDN w:val="0"/>
        <w:spacing w:after="0" w:line="240" w:lineRule="auto"/>
        <w:jc w:val="both"/>
        <w:outlineLvl w:val="1"/>
      </w:pPr>
      <w:hyperlink r:id="rId96" w:history="1">
        <w:r>
          <w:rPr>
            <w:color w:val="0000FF"/>
            <w:u w:val="single"/>
          </w:rPr>
          <w:t xml:space="preserve">Απόφαση της 11 Ιανουαρίου 1996</w:t>
        </w:r>
      </w:hyperlink>
      <w:r>
        <w:t xml:space="preserve"> στην υπόθεση C-273/94, Επιτροπή κατά Κάτω Χωρών, σκέψεις 14 και 15</w:t>
      </w:r>
      <w:bookmarkEnd w:id="174"/>
    </w:p>
    <w:p w14:paraId="1472EEE2"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18431E5C" w14:textId="0D0BB9C0">
      <w:pPr>
        <w:pStyle w:val="P68B1DB1-Normal14"/>
        <w:widowControl w:val="0"/>
        <w:tabs>
          <w:tab w:val="left" w:pos="396"/>
          <w:tab w:val="left" w:pos="405"/>
        </w:tabs>
        <w:autoSpaceDE w:val="0"/>
        <w:autoSpaceDN w:val="0"/>
        <w:spacing w:after="0" w:line="240" w:lineRule="auto"/>
        <w:jc w:val="both"/>
      </w:pPr>
      <w:r>
        <w:t xml:space="preserve">Η υποχρέωση κοινοποιήσεως δεν εξαρτάται από το υποτιθέμενο αποτέλεσμα του κανόνα επί του εμπορίου μεταξύ των κρατών μελών.</w:t>
      </w:r>
    </w:p>
    <w:p w14:paraId="61F0631F" w14:textId="77777777">
      <w:pPr>
        <w:widowControl w:val="0"/>
        <w:tabs>
          <w:tab w:val="left" w:pos="396"/>
          <w:tab w:val="left" w:pos="405"/>
        </w:tabs>
        <w:autoSpaceDE w:val="0"/>
        <w:autoSpaceDN w:val="0"/>
        <w:spacing w:after="0" w:line="240" w:lineRule="auto"/>
        <w:ind w:hanging="142"/>
        <w:jc w:val="both"/>
        <w:rPr>
          <w:rFonts w:ascii="Times New Roman" w:hAnsi="Times New Roman" w:cs="Times New Roman" w:eastAsia="Times New Roman"/>
          <w:szCs w:val="20"/>
        </w:rPr>
      </w:pPr>
    </w:p>
    <w:p w14:paraId="4DB865D5" w14:textId="0821625F">
      <w:pPr>
        <w:pStyle w:val="P68B1DB1-Normal15"/>
        <w:widowControl w:val="0"/>
        <w:tabs>
          <w:tab w:val="left" w:pos="396"/>
          <w:tab w:val="left" w:pos="405"/>
        </w:tabs>
        <w:autoSpaceDE w:val="0"/>
        <w:autoSpaceDN w:val="0"/>
        <w:spacing w:after="0" w:line="240" w:lineRule="auto"/>
        <w:ind w:left="567"/>
        <w:jc w:val="both"/>
        <w:rPr>
          <w:iCs/>
        </w:rPr>
      </w:pPr>
      <w:r>
        <w:t xml:space="preserve">«14. Το συμπέρασμα αυτό δεν αναιρείται από το επιχείρημα της Ολλανδικής Κυβερνήσεως ότι η επίδικη κανονιστική απόφαση έχει ως αποτέλεσμα την προώθηση της εμπορίας μαργαρίνης, άρα εξυπηρετεί τον κύριο σκοπό της οδηγίας, ο οποίος συνίσταται στην κατάργηση των εμποδίων στις ενδοκοινοτικές εμπορικές συναλλαγές. </w:t>
      </w:r>
    </w:p>
    <w:p w14:paraId="0A0FB981" w14:textId="77777777">
      <w:pPr>
        <w:pStyle w:val="P68B1DB1-Normal15"/>
        <w:widowControl w:val="0"/>
        <w:tabs>
          <w:tab w:val="left" w:pos="396"/>
          <w:tab w:val="left" w:pos="405"/>
        </w:tabs>
        <w:autoSpaceDE w:val="0"/>
        <w:autoSpaceDN w:val="0"/>
        <w:spacing w:after="0" w:line="240" w:lineRule="auto"/>
        <w:ind w:left="567"/>
        <w:jc w:val="both"/>
        <w:rPr>
          <w:iCs/>
        </w:rPr>
      </w:pPr>
    </w:p>
    <w:p w14:paraId="6299CAB3" w14:textId="03C7906F">
      <w:pPr>
        <w:pStyle w:val="P68B1DB1-Normal15"/>
        <w:widowControl w:val="0"/>
        <w:tabs>
          <w:tab w:val="left" w:pos="396"/>
          <w:tab w:val="left" w:pos="405"/>
        </w:tabs>
        <w:autoSpaceDE w:val="0"/>
        <w:autoSpaceDN w:val="0"/>
        <w:spacing w:after="0" w:line="240" w:lineRule="auto"/>
        <w:ind w:left="567"/>
        <w:jc w:val="both"/>
        <w:rPr>
          <w:iCs/>
        </w:rPr>
      </w:pPr>
      <w:r>
        <w:t xml:space="preserve">15. Πράγματι, τα κράτη μέλη υποχρεούνται να ανακοινώνουν στην Επιτροπή κάθε σχέδιο τεχνικού κανόνα, σύμφωνα με το άρθρο 8 της οδηγίας. Μια τέτοια υποχρέωση δεν μπορεί να εξαρτάται από τη μονομερή εκτίμηση, εκ μέρους του κράτους μέλους που συνέταξε τον κανονισμό, των συνεπειών που μπορεί να έχει στο εμπόριο μεταξύ κρατών μελών.»</w:t>
      </w:r>
    </w:p>
    <w:p w14:paraId="41021C94"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90F34A8" w14:textId="346D3994">
      <w:pPr>
        <w:pStyle w:val="P68B1DB1-Normal13"/>
        <w:widowControl w:val="0"/>
        <w:autoSpaceDE w:val="0"/>
        <w:autoSpaceDN w:val="0"/>
        <w:spacing w:after="0" w:line="240" w:lineRule="auto"/>
        <w:jc w:val="both"/>
        <w:outlineLvl w:val="1"/>
      </w:pPr>
      <w:hyperlink r:id="rId97" w:history="1">
        <w:r>
          <w:rPr>
            <w:color w:val="0000FF"/>
            <w:u w:val="single"/>
          </w:rPr>
          <w:t xml:space="preserve">Απόφαση της 16 Ιουνίου 1998</w:t>
        </w:r>
      </w:hyperlink>
      <w:r>
        <w:t xml:space="preserve"> στην υπόθεση C-226/97, Lemmens, σκέψεις 18 έως 20.</w:t>
      </w:r>
      <w:bookmarkEnd w:id="175"/>
    </w:p>
    <w:p w14:paraId="2763D12C"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B5C4B0B" w14:textId="36C19F49">
      <w:pPr>
        <w:pStyle w:val="P68B1DB1-Normal14"/>
        <w:widowControl w:val="0"/>
        <w:tabs>
          <w:tab w:val="left" w:pos="396"/>
          <w:tab w:val="left" w:pos="461"/>
        </w:tabs>
        <w:autoSpaceDE w:val="0"/>
        <w:autoSpaceDN w:val="0"/>
        <w:spacing w:after="0" w:line="240" w:lineRule="auto"/>
        <w:jc w:val="both"/>
      </w:pPr>
      <w:r>
        <w:t xml:space="preserve">Η οδηγία εφαρμόζεται στους «τεχνικούς κανόνες» ανεξάρτητα από τον λόγο της θέσπισής τους. Το γεγονός ότι ένα μέτρο καλύπτει το ποινικό δίκαιο δεν το απαλλάσσει από την υποχρέωση κοινοποίησης. Επομένως, οι εθνικές διατάξεις που διέπουν τις συσκευές ανάλυσης του αναπνευστικού συστήματος που χρησιμοποιεί η αστυνομία για τη μέτρηση του οινοπνεύματος συνιστούν τεχνικό κανόνα ο οποίος θα έπρεπε να είχε κοινοποιηθεί στην Επιτροπή πριν από τη θέσπισή του.</w:t>
      </w:r>
    </w:p>
    <w:p w14:paraId="5EB7B877" w14:textId="77777777">
      <w:pPr>
        <w:widowControl w:val="0"/>
        <w:tabs>
          <w:tab w:val="left" w:pos="396"/>
          <w:tab w:val="left" w:pos="461"/>
        </w:tabs>
        <w:autoSpaceDE w:val="0"/>
        <w:autoSpaceDN w:val="0"/>
        <w:spacing w:after="0" w:line="240" w:lineRule="auto"/>
        <w:jc w:val="both"/>
        <w:rPr>
          <w:rFonts w:ascii="Times New Roman" w:hAnsi="Times New Roman" w:cs="Times New Roman" w:eastAsia="Times New Roman"/>
          <w:szCs w:val="20"/>
        </w:rPr>
      </w:pPr>
    </w:p>
    <w:p w14:paraId="7B871DF8" w14:textId="6718B4DE">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Style w:val="P68B1DB1-Normal15"/>
      </w:pPr>
      <w:r>
        <w:t xml:space="preserve">«18. Η Γαλλική Κυβέρνηση, εξάλλου, θεωρεί ότι η οδηγία δεν εφαρμόζεται στα προϊόντα τα οποία, όπως τα υπό κρίση στην κύρια δίκη, προορίζονται για χρήσεις που ανάγονται στις προνομίες της δημόσιας εξουσίας και, κατά μείζονα λόγο, στην ποινική δράση των κρατών μελών.</w:t>
      </w:r>
    </w:p>
    <w:p w14:paraId="09959B2C"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Pr>
    </w:p>
    <w:p w14:paraId="6EE31E9F" w14:textId="39DFA6E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Style w:val="P68B1DB1-Normal15"/>
      </w:pPr>
      <w:r>
        <w:t xml:space="preserve">19. Τα ανωτέρω επιχειρήματα δεν μπορούν να γίνουν δεκτά. Μολονότι, κατ’ αρχήν, η ποινική νομοθεσία και οι κανόνες ποινικής δικονομίας εμπίπτουν στην αρμοδιότητα των κρατών μελών, τούτο δεν σημαίνει ότι αυτός ο κλάδος του δικαίου δεν μπορεί να θιγεί από το κοινοτικό δίκαιο (βλ., υπό την έννοια αυτή, αποφάσεις της 1989ης Φεβρουαρίου 195, 186/87, Cowan, Συλλογή 19, σ. 1981, σκέψη 2595, και της 27ης Ιουλίου, 203/80, Casati, Συλλογή, σ., σκέψη).</w:t>
      </w:r>
    </w:p>
    <w:p w14:paraId="1A1AA4B0"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Pr>
    </w:p>
    <w:p w14:paraId="06227DC3" w14:textId="6F9850E1">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Style w:val="P68B1DB1-Normal15"/>
      </w:pPr>
      <w:r>
        <w:t xml:space="preserve">20. Εν προκειμένω, δεν υφίσταται καμία ένδειξη στην οδηγία περί του ότι οι τεχνικοί κανόνες υπό την έννοια του άρθρου 1 αυτής εξαιρούνται, συνεπεία του γεγονότος ότι περιλαμβάνονται στον τομέα του ποινικού δικαίου, της υποχρεώσεως κοινοποιήσεως και ότι το πεδίο της εφαρμογής περιορίζεται στα προϊόντα που προορίζονται για χρήσεις που δεν ανάγονται στις προνομίες της δημόσιας εξουσίας. Όπως έχει ήδη αποφανθεί το Δικαστήριο στην υπόθεση C-13/96, Bic Benelux (Συλλογή 1997, σ. I-1753, σκέψη 19), μια οδηγία εφαρμόζεται στους τεχνικούς κανόνες ανεξάρτητα από τους λόγους για τους οποίους εκδόθηκαν.»</w:t>
      </w:r>
    </w:p>
    <w:p w14:paraId="28C6FF3B"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Pr>
    </w:p>
    <w:p w14:paraId="743F486D" w14:textId="7F85DF8F">
      <w:pPr>
        <w:pStyle w:val="P68B1DB1-Normal13"/>
        <w:widowControl w:val="0"/>
        <w:autoSpaceDE w:val="0"/>
        <w:autoSpaceDN w:val="0"/>
        <w:spacing w:after="0" w:line="240" w:lineRule="auto"/>
        <w:jc w:val="both"/>
        <w:outlineLvl w:val="1"/>
      </w:pPr>
      <w:hyperlink r:id="rId98" w:history="1">
        <w:r>
          <w:rPr>
            <w:color w:val="0000FF"/>
            <w:u w:val="single"/>
          </w:rPr>
          <w:t xml:space="preserve">Απόφαση της 21 Απριλίου 2005</w:t>
        </w:r>
      </w:hyperlink>
      <w:r>
        <w:t xml:space="preserve"> στην υπόθεση C-267/03, Lindberg, σκέψεις 86, 91 και 92</w:t>
      </w:r>
      <w:bookmarkEnd w:id="176"/>
    </w:p>
    <w:p w14:paraId="3ACA6C58"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02AB316E" w14:textId="77777777">
      <w:pPr>
        <w:pStyle w:val="P68B1DB1-Normal14"/>
        <w:widowControl w:val="0"/>
        <w:tabs>
          <w:tab w:val="left" w:pos="396"/>
          <w:tab w:val="left" w:pos="425"/>
        </w:tabs>
        <w:autoSpaceDE w:val="0"/>
        <w:autoSpaceDN w:val="0"/>
        <w:spacing w:after="0" w:line="240" w:lineRule="auto"/>
        <w:jc w:val="both"/>
      </w:pPr>
      <w:r>
        <w:t xml:space="preserve">Η αξία του προϊόντος το οποίο αφορά ένας κανόνας, το μέγεθος της αγοράς του και η επίπτωση του κανόνα αυτού στο ενδοκοινοτικό εμπόριο δεν αποτελούν κρίσιμα κριτήρια για να καθοριστεί αν πρέπει να κοινοποιηθεί ένας «τεχνικός κανόνας».</w:t>
      </w:r>
    </w:p>
    <w:p w14:paraId="7C940B0B" w14:textId="77777777">
      <w:pPr>
        <w:pStyle w:val="P68B1DB1-ListParagraph2"/>
        <w:tabs>
          <w:tab w:val="left" w:pos="396"/>
          <w:tab w:val="left" w:pos="425"/>
        </w:tabs>
        <w:ind w:left="0" w:right="0" w:firstLine="0"/>
        <w:rPr>
          <w:i/>
          <w:iCs/>
          <w:sz w:val="20"/>
          <w:szCs w:val="16"/>
        </w:rPr>
      </w:pPr>
    </w:p>
    <w:p w14:paraId="097F5F5F" w14:textId="000A86FC">
      <w:pPr>
        <w:pStyle w:val="P68B1DB1-P68B1DB1-ListParagraph226"/>
        <w:tabs>
          <w:tab w:val="left" w:pos="396"/>
          <w:tab w:val="left" w:pos="425"/>
        </w:tabs>
        <w:ind w:left="709"/>
      </w:pPr>
      <w:r>
        <w:t xml:space="preserve">«86. Με το τέταρτο ερώτημά του, το αιτούν δικαστήριο ερωτά το Δικαστήριο σχετικά με τη σημασία που πρέπει να αποδώσει, όσον αφορά την υποχρέωση κοινοποιήσεως που προβλέπει η οδηγία 83/189, στις ακόλουθες περιστάσεις:</w:t>
      </w:r>
    </w:p>
    <w:p w14:paraId="767A8711" w14:textId="77777777">
      <w:pPr>
        <w:pStyle w:val="P68B1DB1-P68B1DB1-ListParagraph226"/>
        <w:tabs>
          <w:tab w:val="left" w:pos="396"/>
          <w:tab w:val="left" w:pos="425"/>
        </w:tabs>
        <w:ind w:left="709"/>
      </w:pPr>
      <w:r>
        <w:t xml:space="preserve">— Την αντικατάσταση της απαίτησης άδειας από απαγόρευση στο εθνικό δίκαιο,</w:t>
      </w:r>
    </w:p>
    <w:p w14:paraId="559C82EC" w14:textId="77777777">
      <w:pPr>
        <w:pStyle w:val="P68B1DB1-P68B1DB1-ListParagraph226"/>
        <w:tabs>
          <w:tab w:val="left" w:pos="396"/>
          <w:tab w:val="left" w:pos="425"/>
        </w:tabs>
        <w:ind w:left="709"/>
      </w:pPr>
      <w:r>
        <w:t xml:space="preserve">— Τη μεγαλύτερη ή μικρότερη αξία του προϊόντος/της υπηρεσίας,</w:t>
      </w:r>
    </w:p>
    <w:p w14:paraId="7057795D" w14:textId="77777777">
      <w:pPr>
        <w:pStyle w:val="P68B1DB1-P68B1DB1-ListParagraph226"/>
        <w:tabs>
          <w:tab w:val="left" w:pos="396"/>
          <w:tab w:val="left" w:pos="425"/>
        </w:tabs>
        <w:ind w:left="709"/>
      </w:pPr>
      <w:r>
        <w:t xml:space="preserve">— Το μέγεθος της αγοράς για το προϊόν/την υπηρεσία ή</w:t>
      </w:r>
    </w:p>
    <w:p w14:paraId="7E4DCD6F" w14:textId="27AB1FF7">
      <w:pPr>
        <w:pStyle w:val="P68B1DB1-P68B1DB1-ListParagraph226"/>
        <w:tabs>
          <w:tab w:val="left" w:pos="396"/>
          <w:tab w:val="left" w:pos="425"/>
        </w:tabs>
        <w:ind w:left="709"/>
      </w:pPr>
      <w:r>
        <w:t xml:space="preserve">— Το αποτέλεσμα μιας νέας εθνικής διατάξεως σχετικά με τη χρήση, η οποία θα μπορούσε να είναι είτε πλήρης απαγόρευση της χρήσεως είτε απαγόρευση ή περιορισμός εντός ενός από τους διάφορους πιθανούς τομείς χρήσεως;»</w:t>
      </w:r>
    </w:p>
    <w:p w14:paraId="09CF2785" w14:textId="77777777">
      <w:pPr>
        <w:pStyle w:val="P68B1DB1-ListParagraph2"/>
        <w:tabs>
          <w:tab w:val="left" w:pos="396"/>
          <w:tab w:val="left" w:pos="425"/>
        </w:tabs>
        <w:ind w:left="567" w:right="0" w:firstLine="0"/>
        <w:rPr>
          <w:i/>
          <w:iCs/>
          <w:sz w:val="20"/>
          <w:szCs w:val="16"/>
        </w:rPr>
      </w:pPr>
    </w:p>
    <w:p w14:paraId="3F0A28BA" w14:textId="4FD6ACDF">
      <w:pPr>
        <w:pStyle w:val="P68B1DB1-P68B1DB1-ListParagraph226"/>
        <w:tabs>
          <w:tab w:val="left" w:pos="396"/>
          <w:tab w:val="left" w:pos="425"/>
        </w:tabs>
        <w:ind w:firstLine="0"/>
      </w:pPr>
      <w:r>
        <w:t xml:space="preserve">«91. Όσον αφορά τη δεύτερη και την τρίτη περίσταση του τετάρτου προδικαστικού ερωτήματος, επιβάλλεται να υπομνησθεί, όπως επισημάνθηκε με τη σκέψη 50 της παρούσας αποφάσεως, ότι η οδηγία 83/189 προβλέπει ένα διαδικαστικό μηχανισμό προληπτικού ελέγχου, με τον οποίο μπορεί να εξακριβωθεί αν ένας εθνικός τεχνικός κανόνας εμπίπτει στις διατάξεις της Συνθήκης περί ελεύθερης κυκλοφορίας εμπορευμάτων και, αν συντρέχει η προϋπόθεση αυτή, να εξεταστεί αν ο εν λόγω κανόνας συμβιβάζεται με τις διατάξεις αυτές.</w:t>
      </w:r>
    </w:p>
    <w:p w14:paraId="057FE2DD" w14:textId="77777777">
      <w:pPr>
        <w:pStyle w:val="P68B1DB1-P68B1DB1-ListParagraph226"/>
        <w:tabs>
          <w:tab w:val="left" w:pos="396"/>
          <w:tab w:val="left" w:pos="425"/>
        </w:tabs>
        <w:ind w:firstLine="0"/>
      </w:pPr>
    </w:p>
    <w:p w14:paraId="56F7C7B8" w14:textId="2531A314">
      <w:pPr>
        <w:pStyle w:val="P68B1DB1-P68B1DB1-ListParagraph226"/>
        <w:tabs>
          <w:tab w:val="left" w:pos="396"/>
          <w:tab w:val="left" w:pos="425"/>
        </w:tabs>
        <w:ind w:firstLine="0"/>
      </w:pPr>
      <w:r>
        <w:t xml:space="preserve">92. Συναφώς, στη σκέψη 51 της παρούσας αποφάσεως κρίθηκε ότι οι ενδεχόμενες επιπτώσεις του τεχνικού κανόνα στο ενδοκοινοτικό εμπόριο δεν αποτελούν κριτήριο για τον καθορισμό του πεδίου εφαρμογής της οδηγίας 83/189, ιδίως όσον αφορά την υποχρέωση κοινοποιήσεως που αυτή προβλέπει.»</w:t>
      </w:r>
    </w:p>
    <w:p w14:paraId="197312D1" w14:textId="0484FE14">
      <w:pPr>
        <w:pStyle w:val="P68B1DB1-Normal33"/>
        <w:spacing w:after="0" w:line="278" w:lineRule="auto"/>
        <w:rPr>
          <w:rFonts w:ascii="Times New Roman" w:hAnsi="Times New Roman" w:cs="Times New Roman" w:eastAsia="Times New Roman"/>
          <w:i/>
          <w:iCs/>
        </w:rPr>
      </w:pPr>
      <w:r>
        <w:br w:type="page"/>
      </w:r>
    </w:p>
    <w:p w14:paraId="2785F247" w14:textId="4A9302E3">
      <w:pPr>
        <w:pStyle w:val="P68B1DB1-Heading13"/>
        <w:numPr>
          <w:ilvl w:val="0"/>
          <w:numId w:val="34"/>
        </w:numPr>
        <w:spacing w:before="0" w:after="0"/>
        <w:jc w:val="center"/>
        <w:rPr>
          <w:bCs/>
          <w:color w:val="auto"/>
        </w:rPr>
      </w:pPr>
      <w:bookmarkStart w:id="177" w:name="_Ref194485817"/>
      <w:bookmarkStart w:id="178" w:name="_Toc203035684"/>
      <w:r>
        <w:t xml:space="preserve">Αδυναμία εφαρμογής</w:t>
      </w:r>
      <w:bookmarkEnd w:id="177"/>
      <w:bookmarkEnd w:id="178"/>
    </w:p>
    <w:p w14:paraId="20AC6D1C" w14:textId="77777777">
      <w:pPr>
        <w:pStyle w:val="BodyText"/>
        <w:ind w:left="2715"/>
        <w:rPr>
          <w:b/>
          <w:bCs/>
          <w:sz w:val="28"/>
          <w:szCs w:val="22"/>
        </w:rPr>
      </w:pPr>
    </w:p>
    <w:p w14:paraId="58AC44F0" w14:textId="1BBB272D">
      <w:pPr>
        <w:pStyle w:val="P68B1DB1-Heading24"/>
        <w:numPr>
          <w:ilvl w:val="0"/>
          <w:numId w:val="38"/>
        </w:numPr>
        <w:spacing w:before="0" w:after="0"/>
        <w:jc w:val="center"/>
        <w:rPr>
          <w:bCs/>
          <w:color w:val="auto"/>
        </w:rPr>
      </w:pPr>
      <w:bookmarkStart w:id="179" w:name="_Ref194485057"/>
      <w:bookmarkStart w:id="180" w:name="_Toc203035685"/>
      <w:r>
        <w:t xml:space="preserve">Μη δυνατότητα εφαρμογής σε περίπτωση μη κοινοποίησης</w:t>
      </w:r>
      <w:bookmarkEnd w:id="179"/>
      <w:bookmarkEnd w:id="180"/>
    </w:p>
    <w:p w14:paraId="39906D0F"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41D0CCA" w14:textId="7E812DB1">
      <w:pPr>
        <w:pStyle w:val="P68B1DB1-Normal13"/>
        <w:widowControl w:val="0"/>
        <w:autoSpaceDE w:val="0"/>
        <w:autoSpaceDN w:val="0"/>
        <w:spacing w:after="0" w:line="240" w:lineRule="auto"/>
        <w:jc w:val="both"/>
        <w:outlineLvl w:val="1"/>
      </w:pPr>
      <w:hyperlink r:id="rId99" w:history="1">
        <w:r>
          <w:rPr>
            <w:color w:val="0000FF"/>
            <w:u w:val="single"/>
          </w:rPr>
          <w:t xml:space="preserve">Απόφαση της 30 Απριλίου 1996</w:t>
        </w:r>
      </w:hyperlink>
      <w:r>
        <w:t xml:space="preserve"> στην υπόθεση C-194/94, CIA Security International SA, σκέψεις 48 και 55</w:t>
      </w:r>
      <w:bookmarkEnd w:id="181"/>
    </w:p>
    <w:p w14:paraId="6980445F"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8CBEA0B" w14:textId="2A001F71">
      <w:pPr>
        <w:pStyle w:val="P68B1DB1-Normal14"/>
        <w:widowControl w:val="0"/>
        <w:tabs>
          <w:tab w:val="left" w:pos="409"/>
        </w:tabs>
        <w:autoSpaceDE w:val="0"/>
        <w:autoSpaceDN w:val="0"/>
        <w:spacing w:after="0" w:line="240" w:lineRule="auto"/>
        <w:jc w:val="both"/>
      </w:pPr>
      <w:r>
        <w:t xml:space="preserve">Η παράβαση της υποχρεώσεως κοινοποιήσεως καθιστά ανεφάρμοστους τους εν λόγω «τεχνικούς κανόνες», οπότε δεν μπορούν να αντιταχθούν στους ιδιώτες. Οι ιδιώτες μπορούν να επικαλεστούν τα άρθρα 8 και 9 της οδηγίας 83/189 ενώπιον εθνικού δικαστηρίου το οποίο οφείλει να αρνηθεί την εφαρμογή εθνικού «τεχνικού κανόνα» που δεν έχει κοινοποιηθεί σύμφωνα με την οδηγία αυτή.</w:t>
      </w:r>
    </w:p>
    <w:p w14:paraId="41DE99AA" w14:textId="77777777">
      <w:pPr>
        <w:widowControl w:val="0"/>
        <w:tabs>
          <w:tab w:val="left" w:pos="409"/>
        </w:tabs>
        <w:autoSpaceDE w:val="0"/>
        <w:autoSpaceDN w:val="0"/>
        <w:spacing w:after="0" w:line="240" w:lineRule="auto"/>
        <w:jc w:val="both"/>
        <w:rPr>
          <w:rFonts w:ascii="Times New Roman" w:hAnsi="Times New Roman" w:cs="Times New Roman" w:eastAsia="Times New Roman"/>
          <w:szCs w:val="20"/>
        </w:rPr>
      </w:pPr>
    </w:p>
    <w:p w14:paraId="13B9D75E" w14:textId="7C49EE29">
      <w:pPr>
        <w:pStyle w:val="P68B1DB1-Normal18"/>
        <w:widowControl w:val="0"/>
        <w:tabs>
          <w:tab w:val="left" w:pos="409"/>
        </w:tabs>
        <w:autoSpaceDE w:val="0"/>
        <w:autoSpaceDN w:val="0"/>
        <w:spacing w:after="0" w:line="240" w:lineRule="auto"/>
        <w:ind w:left="567"/>
        <w:jc w:val="both"/>
        <w:rPr>
          <w:iCs/>
        </w:rPr>
      </w:pPr>
      <w:r>
        <w:t xml:space="preserve">«48. Αυτή η συνέπεια της παραβάσεως των υποχρεώσεων που απορρέουν από την οδηγία 83/189 δεν εξαρτάται από συναφή ρητή διάταξη. Όπως έχει ήδη επισημανθεί, είναι αναμφισβήτητο ότι σκοπός της οδηγίας είναι η μέσω προληπτικού ελέγχου προστασία της ελεύθερης κυκλοφορίας των εμπορευμάτων και ότι η υποχρέωση κοινοποιήσεως συνιστά ουσιώδες μέσο για την πραγματοποίηση αυτού του κοινοτικού ελέγχου. Η αποτελεσματικότητα του κοινοτικού ελέγχου θα είναι πολύ μεγαλύτερη αν η οδηγία ερμηνευθεί υπό την έννοια ότι η παράβαση της υποχρεώσεως κοινοποιήσεως συνιστά ουσιώδη διαδικαστική πλημμέλεια ικανή να καταστήσει τους εν λόγω τεχνικούς κανόνες ανεφάρμοστους στους ιδιώτες.»</w:t>
      </w:r>
    </w:p>
    <w:p w14:paraId="5B87E4FF" w14:textId="77777777">
      <w:pPr>
        <w:widowControl w:val="0"/>
        <w:tabs>
          <w:tab w:val="left" w:pos="409"/>
        </w:tabs>
        <w:autoSpaceDE w:val="0"/>
        <w:autoSpaceDN w:val="0"/>
        <w:spacing w:after="0" w:line="240" w:lineRule="auto"/>
        <w:ind w:left="567"/>
        <w:jc w:val="both"/>
        <w:rPr>
          <w:rFonts w:ascii="Times New Roman" w:hAnsi="Times New Roman" w:cs="Times New Roman" w:eastAsia="Times New Roman"/>
          <w:i/>
          <w:iCs/>
          <w:sz w:val="20"/>
          <w:szCs w:val="20"/>
        </w:rPr>
      </w:pPr>
    </w:p>
    <w:p w14:paraId="0768FF27" w14:textId="3B428811">
      <w:pPr>
        <w:pStyle w:val="P68B1DB1-Normal18"/>
        <w:widowControl w:val="0"/>
        <w:tabs>
          <w:tab w:val="left" w:pos="409"/>
        </w:tabs>
        <w:autoSpaceDE w:val="0"/>
        <w:autoSpaceDN w:val="0"/>
        <w:spacing w:after="0" w:line="240" w:lineRule="auto"/>
        <w:ind w:left="567"/>
        <w:jc w:val="both"/>
        <w:rPr>
          <w:iCs/>
        </w:rPr>
      </w:pPr>
      <w:r>
        <w:t xml:space="preserve">«55. Επομένως, στο πέμπτο και στο έκτο ερώτημα πρέπει να δοθεί η απάντηση ότι τα άρθρα 8 και 9 της οδηγίας 83/189 πρέπει να ερμηνευθούν υπό την έννοια ότι οι ιδιώτες μπορούν να τα επικαλεστούν ενώπιον του εθνικού δικαστηρίου το οποίο οφείλει να αρνηθεί την εφαρμογή εθνικού τεχνικού κανόνα ο οποίος δεν κοινοποιήθηκε σύμφωνα με την οδηγία.»</w:t>
      </w:r>
    </w:p>
    <w:p w14:paraId="44EDD958"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A6C3DD6" w14:textId="2CAC6094">
      <w:pPr>
        <w:pStyle w:val="P68B1DB1-Normal13"/>
        <w:widowControl w:val="0"/>
        <w:autoSpaceDE w:val="0"/>
        <w:autoSpaceDN w:val="0"/>
        <w:spacing w:after="0" w:line="240" w:lineRule="auto"/>
        <w:jc w:val="both"/>
        <w:outlineLvl w:val="1"/>
      </w:pPr>
      <w:hyperlink r:id="rId100" w:history="1">
        <w:r>
          <w:rPr>
            <w:color w:val="0000FF"/>
            <w:u w:val="single"/>
          </w:rPr>
          <w:t xml:space="preserve">Απόφαση της 16 Ιουνίου 1998</w:t>
        </w:r>
      </w:hyperlink>
      <w:r>
        <w:t xml:space="preserve"> στην υπόθεση C-226/97, Lemmens, σκέψεις 34 έως 37.</w:t>
      </w:r>
      <w:bookmarkEnd w:id="182"/>
    </w:p>
    <w:p w14:paraId="758CEF0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ABB4A98" w14:textId="10F576AA">
      <w:pPr>
        <w:pStyle w:val="P68B1DB1-Normal14"/>
        <w:widowControl w:val="0"/>
        <w:tabs>
          <w:tab w:val="left" w:pos="406"/>
        </w:tabs>
        <w:autoSpaceDE w:val="0"/>
        <w:autoSpaceDN w:val="0"/>
        <w:spacing w:after="0" w:line="240" w:lineRule="auto"/>
        <w:jc w:val="both"/>
      </w:pPr>
      <w:r>
        <w:t xml:space="preserve">Η μη τήρηση της υποχρεώσεως κοινοποιήσεως ενός τεχνικού κανόνα σχετικά με τις συσκευές αναλύσεως της αναπνοής δεν έχει ως αποτέλεσμα να καθιστά ανεπίτρεπτες τις αποδείξεις που λαμβάνονται μέσω συσκευών αναλύσεως της αναπνοής, οι οποίες έχουν εγκριθεί σύμφωνα με μη κοινοποιηθέντες κανόνες, έναντι του προσώπου που είναι επιφορτισμένο με την οδήγηση υπό την επήρεια οινοπνεύματος.</w:t>
      </w:r>
    </w:p>
    <w:p w14:paraId="3E297BB7" w14:textId="77777777">
      <w:pPr>
        <w:widowControl w:val="0"/>
        <w:tabs>
          <w:tab w:val="left" w:pos="406"/>
        </w:tabs>
        <w:autoSpaceDE w:val="0"/>
        <w:autoSpaceDN w:val="0"/>
        <w:spacing w:after="0" w:line="240" w:lineRule="auto"/>
        <w:jc w:val="both"/>
        <w:rPr>
          <w:rFonts w:ascii="Times New Roman" w:hAnsi="Times New Roman" w:cs="Times New Roman" w:eastAsia="Times New Roman"/>
          <w:szCs w:val="20"/>
        </w:rPr>
      </w:pPr>
    </w:p>
    <w:p w14:paraId="25103538" w14:textId="65BB17C7">
      <w:pPr>
        <w:pStyle w:val="P68B1DB1-Normal15"/>
        <w:widowControl w:val="0"/>
        <w:tabs>
          <w:tab w:val="left" w:pos="409"/>
        </w:tabs>
        <w:autoSpaceDE w:val="0"/>
        <w:autoSpaceDN w:val="0"/>
        <w:spacing w:after="0" w:line="240" w:lineRule="auto"/>
        <w:ind w:left="567"/>
        <w:jc w:val="both"/>
      </w:pPr>
      <w:r>
        <w:t xml:space="preserve">«34. Σε μια ποινική δίκη όπως αυτή ενώπιον του αιτούντος δικαστηρίου, οι κανόνες που εφαρμόζονται στον κατηγορούμενο είναι, αφενός, αυτοί που απαγορεύουν και πατάσσουν την οδήγηση σε κατάσταση μέθης και, αφετέρου, αυτοί που υποχρεώνουν τον οδηγό να εμφυσήσει εντός συσκευής προοριζόμενης για την εξέταση του βαθμού οινοπνεύματος, το αποτέλεσμα της οποίας αποτελεί απόδειξη στο πλαίσιο της ποινικής δίκης. Οι κανόνες αυτοί διαφέρουν από αυτούς οι οποίοι, λόγω του ότι δεν έχουν κοινοποιηθεί στην Επιτροπή σύμφωνα με την οδηγία, δεν είναι αντιτάξιμοι στους ιδιώτες.</w:t>
      </w:r>
    </w:p>
    <w:p w14:paraId="79D66062" w14:textId="77777777">
      <w:pPr>
        <w:pStyle w:val="P68B1DB1-Normal15"/>
        <w:widowControl w:val="0"/>
        <w:tabs>
          <w:tab w:val="left" w:pos="409"/>
        </w:tabs>
        <w:autoSpaceDE w:val="0"/>
        <w:autoSpaceDN w:val="0"/>
        <w:spacing w:after="0" w:line="240" w:lineRule="auto"/>
        <w:ind w:left="567"/>
        <w:jc w:val="both"/>
      </w:pPr>
    </w:p>
    <w:p w14:paraId="1F291ACA" w14:textId="0D4F54FD">
      <w:pPr>
        <w:pStyle w:val="P68B1DB1-Normal15"/>
        <w:widowControl w:val="0"/>
        <w:tabs>
          <w:tab w:val="left" w:pos="409"/>
        </w:tabs>
        <w:autoSpaceDE w:val="0"/>
        <w:autoSpaceDN w:val="0"/>
        <w:spacing w:after="0" w:line="240" w:lineRule="auto"/>
        <w:ind w:left="567"/>
        <w:jc w:val="both"/>
      </w:pPr>
      <w:r>
        <w:t xml:space="preserve">35. Πρέπει να τονιστεί ότι, καίτοι η έλλειψη κοινοποιήσεως των τεχνικών κανόνων, που συνιστά μια διαδικαστική πλημμέλεια κατά τη θέσπισή τους, καθιστά τους κανόνες αυτούς ανεφάρμοστους καθόσον εμποδίζουν τη χρησιμοποίηση ή τη διάθεση στο εμπόριο ενός προϊόντος που δεν ανταποκρίνεται σ’ αυτούς τους κανόνες, δεν έχει, αντιθέτως, ως αποτέλεσμα να καθιστά παράνομη κάθε χρησιμοποίηση ενός προϊόντος που ανταποκρίνεται στους μη κοινοποιηθέντες κανόνες.</w:t>
      </w:r>
    </w:p>
    <w:p w14:paraId="06F58C0E" w14:textId="77777777">
      <w:pPr>
        <w:pStyle w:val="P68B1DB1-Normal15"/>
        <w:widowControl w:val="0"/>
        <w:tabs>
          <w:tab w:val="left" w:pos="409"/>
        </w:tabs>
        <w:autoSpaceDE w:val="0"/>
        <w:autoSpaceDN w:val="0"/>
        <w:spacing w:after="0" w:line="240" w:lineRule="auto"/>
        <w:ind w:left="567"/>
        <w:jc w:val="both"/>
      </w:pPr>
    </w:p>
    <w:p w14:paraId="56671D2C" w14:textId="0E44A6B4">
      <w:pPr>
        <w:pStyle w:val="P68B1DB1-Normal15"/>
        <w:widowControl w:val="0"/>
        <w:tabs>
          <w:tab w:val="left" w:pos="409"/>
        </w:tabs>
        <w:autoSpaceDE w:val="0"/>
        <w:autoSpaceDN w:val="0"/>
        <w:spacing w:after="0" w:line="240" w:lineRule="auto"/>
        <w:ind w:left="567"/>
        <w:jc w:val="both"/>
      </w:pPr>
      <w:r>
        <w:t xml:space="preserve">36. Όμως, η χρησιμοποίηση ενός προϊόντος από τις δημόσιες αρχές, σε μια περίπτωση όπως η εν προκειμένω, δεν μπορεί να δημιουργήσει εμπόδιο στο εμπόριο που θα μπορούσε να αποφευχθεί αν είχε ακολουθηθεί η διαδικασία της κοινοποιήσεως.</w:t>
      </w:r>
    </w:p>
    <w:p w14:paraId="4CD6FBB9" w14:textId="77777777">
      <w:pPr>
        <w:pStyle w:val="P68B1DB1-Normal15"/>
        <w:widowControl w:val="0"/>
        <w:tabs>
          <w:tab w:val="left" w:pos="409"/>
        </w:tabs>
        <w:autoSpaceDE w:val="0"/>
        <w:autoSpaceDN w:val="0"/>
        <w:spacing w:after="0" w:line="240" w:lineRule="auto"/>
        <w:ind w:left="567"/>
        <w:jc w:val="both"/>
      </w:pPr>
    </w:p>
    <w:p w14:paraId="638FC610" w14:textId="5C3DE903">
      <w:pPr>
        <w:pStyle w:val="P68B1DB1-Normal15"/>
        <w:widowControl w:val="0"/>
        <w:tabs>
          <w:tab w:val="left" w:pos="409"/>
        </w:tabs>
        <w:autoSpaceDE w:val="0"/>
        <w:autoSpaceDN w:val="0"/>
        <w:spacing w:after="0" w:line="240" w:lineRule="auto"/>
        <w:ind w:left="567"/>
        <w:jc w:val="both"/>
      </w:pPr>
      <w:r>
        <w:t xml:space="preserve">37. Επομένως, στο πρώτο ερώτημα πρέπει να δοθεί η απάντηση ότι η οδηγία πρέπει να ερμηνευθεί υπό την έννοια ότι η παράβαση της επιβαλλόμενης από το άρθρο 8 της οδηγίας υποχρεώσεως γνωστοποιήσεως τεχνικού κανόνα σχετικά με τις συσκευές αναλύσεως της αναπνοής δεν έχει ως αποτέλεσμα να καθίσταται αδύνατη η επίκλησή τους έναντι του προσώπου που κατηγορείται για οδήγηση υπό την επήρεια οινοπνεύματος.»</w:t>
      </w:r>
    </w:p>
    <w:p w14:paraId="03B0AE90"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AD84CA2" w14:textId="7A7E4DF0">
      <w:pPr>
        <w:pStyle w:val="P68B1DB1-Normal13"/>
        <w:widowControl w:val="0"/>
        <w:autoSpaceDE w:val="0"/>
        <w:autoSpaceDN w:val="0"/>
        <w:spacing w:after="0" w:line="240" w:lineRule="auto"/>
        <w:jc w:val="both"/>
        <w:outlineLvl w:val="1"/>
      </w:pPr>
      <w:hyperlink r:id="rId101" w:history="1">
        <w:r>
          <w:rPr>
            <w:color w:val="0000FF"/>
            <w:u w:val="single"/>
          </w:rPr>
          <w:t xml:space="preserve">Απόφαση της 6 Ιουνίου 2002</w:t>
        </w:r>
      </w:hyperlink>
      <w:r>
        <w:t xml:space="preserve"> στην υπόθεση C-159/00, Sapod Audic, σκέψεις 52 και 53.</w:t>
      </w:r>
      <w:bookmarkEnd w:id="183"/>
    </w:p>
    <w:p w14:paraId="7700A11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88E293C" w14:textId="6294F0EB">
      <w:pPr>
        <w:widowControl w:val="0"/>
        <w:tabs>
          <w:tab w:val="left" w:pos="409"/>
        </w:tabs>
        <w:autoSpaceDE w:val="0"/>
        <w:autoSpaceDN w:val="0"/>
        <w:spacing w:after="0" w:line="240" w:lineRule="auto"/>
        <w:jc w:val="both"/>
        <w:rPr>
          <w:rFonts w:ascii="Times New Roman" w:hAnsi="Times New Roman" w:cs="Times New Roman" w:eastAsia="Times New Roman"/>
          <w:szCs w:val="20"/>
        </w:rPr>
        <w:pStyle w:val="P68B1DB1-Normal14"/>
      </w:pPr>
      <w:r>
        <w:t xml:space="preserve">Εναπόκειται στο εθνικό δικαστήριο να αρνηθεί να εφαρμόσει διατάξεις που δεν έχουν εφαρμογή λόγω μη κοινοποίησης. Οι συνέπειες της εν λόγω μη εφαρμογής διέπονται από το εθνικό δίκαιο, υπό την προϋπόθεση ότι δεν είναι λιγότερο ευνοϊκές από ό,τι για παρόμοιες προσφυγές του εσωτερικού δικαίου και δεν καθιστούν αδύνατη την άσκηση των δικαιωμάτων της Ένωσης.</w:t>
      </w:r>
    </w:p>
    <w:p w14:paraId="1E2D83F5" w14:textId="77777777">
      <w:pPr>
        <w:widowControl w:val="0"/>
        <w:tabs>
          <w:tab w:val="left" w:pos="409"/>
        </w:tabs>
        <w:autoSpaceDE w:val="0"/>
        <w:autoSpaceDN w:val="0"/>
        <w:spacing w:after="0" w:line="240" w:lineRule="auto"/>
        <w:jc w:val="both"/>
        <w:rPr>
          <w:rFonts w:ascii="Times New Roman" w:hAnsi="Times New Roman" w:cs="Times New Roman" w:eastAsia="Times New Roman"/>
          <w:szCs w:val="20"/>
        </w:rPr>
      </w:pPr>
    </w:p>
    <w:p w14:paraId="4757B367" w14:textId="5B286B77">
      <w:pPr>
        <w:pStyle w:val="P68B1DB1-Normal15"/>
        <w:widowControl w:val="0"/>
        <w:tabs>
          <w:tab w:val="left" w:pos="409"/>
        </w:tabs>
        <w:autoSpaceDE w:val="0"/>
        <w:autoSpaceDN w:val="0"/>
        <w:spacing w:after="0"/>
        <w:ind w:left="567"/>
        <w:jc w:val="both"/>
      </w:pPr>
      <w:r>
        <w:t xml:space="preserve">«52. Πρέπει ωστόσο να τονιστεί ότι το ζήτημα των συμπερασμάτων που πρέπει να συναχθούν στην υπόθεση της κύριας δίκης από τη μη δυνατότητα εφαρμογής από το άρθρου 4, δεύτερο εδάφιο, του διατάγματος 92-377, όσον αφορά το εύρος της κυρώσεως που προβλέπει προς τούτο το εφαρμοστέο εθνικό δίκαιο, όπως είναι η ακυρότητα ή η μη δυνατότητα αντιτάξεως της συμβάσεως που συνήφθη μεταξύ της Sapod και της Eco-Emballages, διέπεται από το εθνικό δίκαιο, ιδίως όσον αφορά τους κανόνες και τις αρχές του δικαίου των συμβάσεων που περιορίζουν ή τροποποιούν μια τέτοια κύρωση προκειμένου το εύρος της να καταστεί αναλογικό προς τις ιδιομορφίες της διαπιστωθείσας πλημμέλειας. Ωστόσο, οι εν λόγω κανόνες και αρχές δεν μπορούν να είναι λιγότερο ευνοϊκοί από εκείνους που διέπουν παρόμοιες προσφυγές εσωτερικής φύσεως (αρχή της ισοδυναμίας) ούτε να διαμορφώνονται κατά τρόπο που να καθιστά πρακτικώς αδύνατη την άσκηση των δικαιωμάτων που απονέμει η κοινοτική έννομη τάξη (αρχή της αποτελεσματικότητας) (βλ., μεταξύ άλλων, αποφάσεις της 1976ης Φεβρουαρίου 1989, 33/76, Rewe, Συλλογή 5, σ. 2001, σκέψη 1395, και της 21ης Ιουλίου, C-52/99 και C-53/99, Camorotto και Vignone, που δεν έχει δημοσιευθεί ακόμη στη Συλλογή, σκέψη).</w:t>
      </w:r>
    </w:p>
    <w:p w14:paraId="0A8A5A27" w14:textId="77777777">
      <w:pPr>
        <w:pStyle w:val="P68B1DB1-Normal15"/>
        <w:widowControl w:val="0"/>
        <w:tabs>
          <w:tab w:val="left" w:pos="409"/>
        </w:tabs>
        <w:autoSpaceDE w:val="0"/>
        <w:autoSpaceDN w:val="0"/>
        <w:spacing w:after="0"/>
        <w:ind w:left="567"/>
        <w:jc w:val="both"/>
      </w:pPr>
    </w:p>
    <w:p w14:paraId="26C97D99" w14:textId="2C79F108">
      <w:pPr>
        <w:pStyle w:val="P68B1DB1-Normal15"/>
        <w:widowControl w:val="0"/>
        <w:tabs>
          <w:tab w:val="left" w:pos="409"/>
        </w:tabs>
        <w:autoSpaceDE w:val="0"/>
        <w:autoSpaceDN w:val="0"/>
        <w:spacing w:after="0"/>
        <w:ind w:left="567"/>
        <w:jc w:val="both"/>
      </w:pPr>
      <w:r>
        <w:t xml:space="preserve">53. Επομένως, στο δεύτερο τμήμα του δευτέρου ερωτήματος, καθόσον αφορά την οδηγία 83/189, πρέπει να δοθεί η απάντηση ότι ένας ιδιώτης μπορεί να επικαλεστεί την έλλειψη κοινοποιήσεως, σύμφωνα με το άρθρο 4 της εν λόγω οδηγίας, μιας εθνικής διατάξεως όπως το άρθρο 8, δεύτερο εδάφιο, του διατάγματος 92-377, στην περίπτωση κατά την οποία η τελευταία αυτή διάταξη θα έπρεπε να ερμηνευθεί ως συνεπαγόμενη υποχρέωση μαρκαρίσματος ή επισημάνσεως. Εναπόκειται, επομένως, στο εθνικό δικαστήριο να μην εφαρμόσει τη διάταξη αυτή, δεδομένου ότι το ζήτημα των συνεπειών που απορρέουν από το ανεφάρμοστο της εν λόγω εθνικής διατάξεως όσον αφορά τη βαρύτητα της κυρώσεως που προβλέπει το εφαρμοστέο εθνικό δίκαιο, όπως η ακυρότητα ή το ανίσχυρο συμβάσεως, αποτελεί ζήτημα που διέπεται από το εθνικό δίκαιο. Ωστόσο, το συμπέρασμα αυτό εξαρτάται από την προϋπόθεση ότι οι εφαρμοστέοι κανόνες του εθνικού δικαίου δεν είναι λιγότερο ευνοϊκοί από εκείνους που διέπουν παρόμοιες προσφυγές του εσωτερικού δικαίου και δεν έχουν διαμορφωθεί κατά τρόπο που να καθιστά πρακτικώς αδύνατη την άσκηση των δικαιωμάτων που παρέχει το κοινοτικό δίκαιο.»</w:t>
      </w:r>
    </w:p>
    <w:p w14:paraId="7ECA13E2" w14:textId="77777777">
      <w:pPr>
        <w:pStyle w:val="P68B1DB1-Normal15"/>
        <w:widowControl w:val="0"/>
        <w:tabs>
          <w:tab w:val="left" w:pos="409"/>
        </w:tabs>
        <w:autoSpaceDE w:val="0"/>
        <w:autoSpaceDN w:val="0"/>
        <w:spacing w:after="0"/>
        <w:jc w:val="both"/>
      </w:pPr>
    </w:p>
    <w:p w14:paraId="25CD0695" w14:textId="4587EFBF">
      <w:pPr>
        <w:pStyle w:val="P68B1DB1-Normal13"/>
        <w:widowControl w:val="0"/>
        <w:autoSpaceDE w:val="0"/>
        <w:autoSpaceDN w:val="0"/>
        <w:spacing w:after="0" w:line="240" w:lineRule="auto"/>
        <w:jc w:val="both"/>
        <w:outlineLvl w:val="1"/>
      </w:pPr>
      <w:hyperlink r:id="rId102" w:history="1">
        <w:r>
          <w:rPr>
            <w:color w:val="0000FF"/>
            <w:u w:val="single"/>
          </w:rPr>
          <w:t xml:space="preserve">Απόφαση της 8 Σεπτεμβρίου 2005</w:t>
        </w:r>
      </w:hyperlink>
      <w:r>
        <w:t xml:space="preserve"> στην υπόθεση C-303/04, Lidl Italia, σκέψεις 22 και 23.</w:t>
      </w:r>
    </w:p>
    <w:p w14:paraId="4582547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63F8A9D" w14:textId="77777777">
      <w:pPr>
        <w:pStyle w:val="P68B1DB1-Normal14"/>
        <w:widowControl w:val="0"/>
        <w:tabs>
          <w:tab w:val="left" w:pos="403"/>
        </w:tabs>
        <w:autoSpaceDE w:val="0"/>
        <w:autoSpaceDN w:val="0"/>
        <w:spacing w:after="0" w:line="240" w:lineRule="auto"/>
        <w:jc w:val="both"/>
      </w:pPr>
      <w:r>
        <w:t xml:space="preserve">Η παράβαση της υποχρεώσεως κοινοποιήσεως συνιστά ουσιώδη διαδικαστική πλημμέλεια ικανή να καταστήσει τους εν λόγω «τεχνικούς κανόνες» ανεφάρμοστους και, ως εκ τούτου, μη αντιτάξιμους έναντι των ιδιωτών.</w:t>
      </w:r>
    </w:p>
    <w:p w14:paraId="099B7D88" w14:textId="77777777">
      <w:pPr>
        <w:widowControl w:val="0"/>
        <w:tabs>
          <w:tab w:val="left" w:pos="393"/>
        </w:tabs>
        <w:autoSpaceDE w:val="0"/>
        <w:autoSpaceDN w:val="0"/>
        <w:spacing w:after="0" w:line="240" w:lineRule="auto"/>
        <w:jc w:val="both"/>
        <w:rPr>
          <w:rFonts w:ascii="Times New Roman" w:hAnsi="Times New Roman" w:cs="Times New Roman" w:eastAsia="Times New Roman"/>
          <w:szCs w:val="20"/>
        </w:rPr>
      </w:pPr>
    </w:p>
    <w:p w14:paraId="54B8211C" w14:textId="31CFA17B">
      <w:pPr>
        <w:pStyle w:val="P68B1DB1-Normal15"/>
        <w:widowControl w:val="0"/>
        <w:tabs>
          <w:tab w:val="left" w:pos="393"/>
        </w:tabs>
        <w:autoSpaceDE w:val="0"/>
        <w:autoSpaceDN w:val="0"/>
        <w:spacing w:after="0" w:line="240" w:lineRule="auto"/>
        <w:ind w:left="567"/>
        <w:jc w:val="both"/>
      </w:pPr>
      <w:r>
        <w:t xml:space="preserve">«22. [...] κατά πάγια νομολογία, η οδηγία 98/34 αποσκοπεί στην προστασία, μέσω προληπτικού ελέγχου, της ελεύθερης κυκλοφορίας των εμπορευμάτων, η οποία αποτελεί ένα από τα θεμέλια της Κοινότητας, και ότι ο έλεγχος αυτός είναι χρήσιμος, καθόσον οι τεχνικοί κανόνες που εμπίπτουν στο πεδίο εφαρμογής της οδηγίας αυτής μπορούν να συνιστούν εμπόδια στο εμπόριο μεταξύ κρατών μελών, τα οποία επιτρέπονται μόνον εφόσον είναι αναγκαία για την ικανοποίηση επιτακτικών αναγκών γενικού συμφέροντος (βλ., υπό την έννοια αυτή, αποφάσεις της 1996ης Μαρτίου 2201, C-194/94, CIA Security International, που δεν έχει δημοσιευθεί ακόμη στη Συλλογή, σκέψη 40, και της 1998ης Ιουνίου 3711, C-226/97, Lemmens, που δεν έχει δημοσιευθεί ακόμη στη Συλλογή, σκέψη 32).</w:t>
      </w:r>
    </w:p>
    <w:p w14:paraId="36DAFFCC" w14:textId="77777777">
      <w:pPr>
        <w:pStyle w:val="P68B1DB1-Normal15"/>
        <w:widowControl w:val="0"/>
        <w:tabs>
          <w:tab w:val="left" w:pos="393"/>
        </w:tabs>
        <w:autoSpaceDE w:val="0"/>
        <w:autoSpaceDN w:val="0"/>
        <w:spacing w:after="0" w:line="240" w:lineRule="auto"/>
        <w:ind w:left="567"/>
        <w:jc w:val="both"/>
      </w:pPr>
    </w:p>
    <w:p w14:paraId="149570C3" w14:textId="7B9615CB">
      <w:pPr>
        <w:pStyle w:val="P68B1DB1-Normal15"/>
        <w:widowControl w:val="0"/>
        <w:tabs>
          <w:tab w:val="left" w:pos="393"/>
        </w:tabs>
        <w:autoSpaceDE w:val="0"/>
        <w:autoSpaceDN w:val="0"/>
        <w:spacing w:after="0" w:line="240" w:lineRule="auto"/>
        <w:ind w:left="567"/>
        <w:jc w:val="both"/>
      </w:pPr>
      <w:r>
        <w:t xml:space="preserve">23. Δεδομένου ότι η υποχρέωση κοινοποιήσεως την οποία προβλέπει, μεταξύ άλλων, το άρθρο 8 παράγραφος 1, πρώτο εδάφιο, της οδηγίας 98/34 είναι ουσιώδης για την πραγματοποίηση του εν λόγω κοινοτικού ελέγχου, η αποτελεσματικότητα του ελέγχου αυτού θα είναι πολύ μεγαλύτερη αν η οδηγία αυτή ερμηνευθεί υπό την έννοια ότι η μη τήρηση της υποχρεώσεως κοινοποιήσεως συνιστά ουσιώδη διαδικαστική πλημμέλεια ικανή να καταστήσει τους εν λόγω τεχνικούς κανόνες ανεφάρμοστους και, ως εκ τούτου, μη αντιτάξιμους στους ιδιώτες (προπαρατεθείσες αποφάσεις CIA Security International, σκέψεις 44, 48 και 54, και Lemmens, σκέψη 33).»</w:t>
      </w:r>
    </w:p>
    <w:p w14:paraId="6E201D8A" w14:textId="77777777">
      <w:pPr>
        <w:pStyle w:val="P68B1DB1-Normal15"/>
        <w:widowControl w:val="0"/>
        <w:tabs>
          <w:tab w:val="left" w:pos="393"/>
        </w:tabs>
        <w:autoSpaceDE w:val="0"/>
        <w:autoSpaceDN w:val="0"/>
        <w:spacing w:after="0" w:line="240" w:lineRule="auto"/>
        <w:ind w:left="567"/>
        <w:jc w:val="both"/>
        <w:rPr>
          <w:i w:val="0"/>
          <w:iCs/>
          <w:szCs w:val="20"/>
        </w:rPr>
      </w:pPr>
    </w:p>
    <w:p w14:paraId="3A7A3401" w14:textId="5474014F">
      <w:pPr>
        <w:pStyle w:val="P68B1DB1-Normal13"/>
        <w:widowControl w:val="0"/>
        <w:autoSpaceDE w:val="0"/>
        <w:autoSpaceDN w:val="0"/>
        <w:spacing w:after="0" w:line="240" w:lineRule="auto"/>
        <w:jc w:val="both"/>
        <w:outlineLvl w:val="1"/>
      </w:pPr>
      <w:hyperlink r:id="rId103" w:history="1">
        <w:r>
          <w:rPr>
            <w:color w:val="0000FF"/>
            <w:u w:val="single"/>
          </w:rPr>
          <w:t xml:space="preserve">Απόφαση της 31 Ιανουαρίου 2013</w:t>
        </w:r>
      </w:hyperlink>
      <w:r>
        <w:t xml:space="preserve">, Belgische Petroleum Unie κ.λπ., C</w:t>
        <w:noBreakHyphen/>
        <w:t xml:space="preserve">26/11, σκέψη 50.</w:t>
      </w:r>
      <w:bookmarkEnd w:id="184"/>
    </w:p>
    <w:p w14:paraId="7D29DEE1"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A5859BF" w14:textId="23CC69D0">
      <w:pPr>
        <w:pStyle w:val="P68B1DB1-Normal14"/>
        <w:widowControl w:val="0"/>
        <w:tabs>
          <w:tab w:val="left" w:pos="403"/>
        </w:tabs>
        <w:autoSpaceDE w:val="0"/>
        <w:autoSpaceDN w:val="0"/>
        <w:spacing w:after="0" w:line="240" w:lineRule="auto"/>
        <w:jc w:val="both"/>
      </w:pPr>
      <w:r>
        <w:t xml:space="preserve">Η παράβαση της υποχρεώσεως κοινοποιήσεως συνιστά ουσιώδη διαδικαστική πλημμέλεια ικανή να καταστήσει τους εν λόγω «τεχνικούς κανόνες» ανεφάρμοστους και, ως εκ τούτου, μη αντιτάξιμους έναντι των ιδιωτών.</w:t>
      </w:r>
    </w:p>
    <w:p w14:paraId="3A77BF8A"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1EFBF218" w14:textId="0E7DE8F3">
      <w:pPr>
        <w:pStyle w:val="P68B1DB1-Normal15"/>
        <w:widowControl w:val="0"/>
        <w:tabs>
          <w:tab w:val="left" w:pos="403"/>
        </w:tabs>
        <w:autoSpaceDE w:val="0"/>
        <w:autoSpaceDN w:val="0"/>
        <w:spacing w:after="0" w:line="240" w:lineRule="auto"/>
        <w:ind w:left="567"/>
        <w:jc w:val="both"/>
        <w:rPr>
          <w:iCs/>
        </w:rPr>
      </w:pPr>
      <w:r>
        <w:t>«</w:t>
      </w:r>
      <w:bookmarkStart w:id="185" w:name="point50"/>
      <w:r>
        <w:t>50</w:t>
      </w:r>
      <w:bookmarkEnd w:id="185"/>
      <w:r>
        <w:t xml:space="preserve">.  Δεδομένου ότι η υποχρέωση κοινοποιήσεως που προβλέπεται στο άρθρο 8 παράγραφος 1, πρώτο εδάφιο, της οδηγίας 98/34 είναι ουσιώδης για την πραγματοποίηση του ελέγχου αυτού, η αποτελεσματικότητα του ελέγχου αυτού θα είναι πολύ μεγαλύτερη αν η οδηγία αυτή ερμηνευθεί υπό την έννοια ότι η μη τήρηση της υποχρεώσεως κοινοποιήσεως συνιστά ουσιώδη διαδικαστική πλημμέλεια ικανή να καταστήσει τους εν λόγω τεχνικούς κανόνες ανεφάρμοστους και, ως εκ τούτου, μη αντιτάξιμους έναντι των ιδιωτών (βλ. προπαρατεθείσες αποφάσεις Lidl Italia, σκέψη 23, και Sandström, σκέψη 43).»</w:t>
      </w:r>
    </w:p>
    <w:p w14:paraId="5A7C1A11"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3F877C96" w14:textId="12F7ED6C">
      <w:pPr>
        <w:pStyle w:val="P68B1DB1-Normal13"/>
        <w:widowControl w:val="0"/>
        <w:autoSpaceDE w:val="0"/>
        <w:autoSpaceDN w:val="0"/>
        <w:spacing w:after="0" w:line="240" w:lineRule="auto"/>
        <w:jc w:val="both"/>
        <w:outlineLvl w:val="1"/>
      </w:pPr>
      <w:hyperlink r:id="rId104" w:history="1">
        <w:r>
          <w:rPr>
            <w:color w:val="0000FF"/>
            <w:u w:val="single"/>
          </w:rPr>
          <w:t xml:space="preserve">Απόφαση της 2 Φεβρουαρίου 2016</w:t>
        </w:r>
      </w:hyperlink>
      <w:r>
        <w:t xml:space="preserve"> στην υπόθεση C-336/14, Ince, σκέψεις 67 και 68</w:t>
      </w:r>
      <w:bookmarkEnd w:id="186"/>
    </w:p>
    <w:p w14:paraId="5109C791" w14:textId="77777777">
      <w:pPr>
        <w:pStyle w:val="P68B1DB1-Normal13"/>
        <w:widowControl w:val="0"/>
        <w:autoSpaceDE w:val="0"/>
        <w:autoSpaceDN w:val="0"/>
        <w:spacing w:after="0" w:line="240" w:lineRule="auto"/>
        <w:jc w:val="both"/>
        <w:outlineLvl w:val="1"/>
      </w:pPr>
    </w:p>
    <w:p w14:paraId="0118741A" w14:textId="59CA11D9">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Η μη κοινοποίηση ενός «τεχνικού κανόνα» τον καθιστά ανεφάρμοστο και μη αντιτάξιμο έναντι των ιδιωτών. Οι τελευταίοι μπορούν να επικαλεστούν το άρθρο 8 της οδηγίας 98/34 ενώπιον των εθνικών δικαστηρίων, τα οποία, ως εκ τούτου, υποχρεούνται να αρνηθούν την εφαρμογή του μη κοινοποιηθέντος κανόνα.</w:t>
      </w:r>
    </w:p>
    <w:p w14:paraId="33041BEA" w14:textId="77777777">
      <w:pPr>
        <w:widowControl w:val="0"/>
        <w:autoSpaceDE w:val="0"/>
        <w:autoSpaceDN w:val="0"/>
        <w:spacing w:after="0" w:line="240" w:lineRule="auto"/>
        <w:jc w:val="both"/>
        <w:rPr>
          <w:rFonts w:ascii="Times New Roman" w:hAnsi="Times New Roman" w:cs="Times New Roman" w:eastAsia="Times New Roman"/>
          <w:i/>
          <w:iCs/>
          <w:sz w:val="20"/>
          <w:szCs w:val="20"/>
        </w:rPr>
      </w:pPr>
    </w:p>
    <w:p w14:paraId="0B90620E" w14:textId="22B6DE21">
      <w:pPr>
        <w:pStyle w:val="P68B1DB1-Normal18"/>
        <w:widowControl w:val="0"/>
        <w:autoSpaceDE w:val="0"/>
        <w:autoSpaceDN w:val="0"/>
        <w:spacing w:after="0" w:line="240" w:lineRule="auto"/>
        <w:ind w:left="567"/>
        <w:jc w:val="both"/>
      </w:pPr>
      <w:r>
        <w:t xml:space="preserve">«67. Προκαταρκτικώς, υπενθυμίζεται ότι η παράβαση της υποχρέωσης κοινοποίησης που προβλέπεται στο άρθρο 8 παράγραφος 1, της οδηγίας 98/34 συνιστά διαδικαστική πλημμέλεια κατά τη θέσπιση των οικείων τεχνικών κανόνων και καθιστά τους εν λόγω τεχνικούς κανόνες ανεφάρμοστους και, ως εκ τούτου, μη αντιτάξιμους έναντι των ιδιωτών (βλ., μεταξύ άλλων, απόφαση Ivansson κ.λπ., C-307/13, σκέψη 48 και εκεί παρατιθέμενη νομολογία).</w:t>
      </w:r>
    </w:p>
    <w:p w14:paraId="3D0E63B7" w14:textId="77777777">
      <w:pPr>
        <w:pStyle w:val="P68B1DB1-Normal18"/>
        <w:widowControl w:val="0"/>
        <w:autoSpaceDE w:val="0"/>
        <w:autoSpaceDN w:val="0"/>
        <w:spacing w:after="0" w:line="240" w:lineRule="auto"/>
        <w:ind w:left="567"/>
        <w:jc w:val="both"/>
      </w:pPr>
    </w:p>
    <w:p w14:paraId="0BF09E0D" w14:textId="771301DC">
      <w:pPr>
        <w:pStyle w:val="P68B1DB1-Normal18"/>
        <w:widowControl w:val="0"/>
        <w:autoSpaceDE w:val="0"/>
        <w:autoSpaceDN w:val="0"/>
        <w:spacing w:after="0" w:line="240" w:lineRule="auto"/>
        <w:ind w:left="567"/>
        <w:jc w:val="both"/>
        <w:rPr>
          <w:iCs/>
        </w:rPr>
      </w:pPr>
      <w:r>
        <w:t xml:space="preserve">68. Συναφώς, πρέπει να υπογραμμιστεί ότι, όπως επισήμανε ο γενικός εισαγγελέας στο σημείο 60 των προτάσεών του, μολονότι το άρθρο 8 παράγραφος 1, της εν λόγω οδηγίας απαιτεί να κοινοποιείται στην Επιτροπή ολόκληρο το σχέδιο νόμου που περιέχει τεχνικούς κανόνες (βλ., υπό την έννοια αυτή, απόφαση Επιτροπή κατά Ιταλίας, C-279/94, σκέψεις 40 και 41), η μη εφαρμογή που προκύπτει από την παράβαση της υποχρεώσεως αυτής δεν εκτείνεται στο σύνολο των διατάξεων ενός τέτοιου νόμου, αλλά μόνο στους τεχνικούς κανόνες που περιέχονται σε αυτόν.»</w:t>
      </w:r>
    </w:p>
    <w:p w14:paraId="3958CBE4"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33409741" w14:textId="429ECE6F">
      <w:pPr>
        <w:pStyle w:val="P68B1DB1-Normal13"/>
        <w:widowControl w:val="0"/>
        <w:autoSpaceDE w:val="0"/>
        <w:autoSpaceDN w:val="0"/>
        <w:spacing w:after="0" w:line="240" w:lineRule="auto"/>
        <w:jc w:val="both"/>
        <w:outlineLvl w:val="1"/>
      </w:pPr>
      <w:hyperlink r:id="rId105" w:history="1">
        <w:r>
          <w:rPr>
            <w:color w:val="0000FF"/>
            <w:u w:val="single"/>
          </w:rPr>
          <w:t xml:space="preserve">Διάταξη της 21 Απριλίου 2016</w:t>
        </w:r>
      </w:hyperlink>
      <w:r>
        <w:t xml:space="preserve"> στην υπόθεση C-285/15, Beca Engineering, σκέψη 37.</w:t>
      </w:r>
      <w:bookmarkEnd w:id="187"/>
    </w:p>
    <w:p w14:paraId="4FF7730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95C5D13" w14:textId="319BB418">
      <w:pPr>
        <w:widowControl w:val="0"/>
        <w:tabs>
          <w:tab w:val="left" w:pos="436"/>
        </w:tabs>
        <w:autoSpaceDE w:val="0"/>
        <w:autoSpaceDN w:val="0"/>
        <w:spacing w:after="0" w:line="240" w:lineRule="auto"/>
        <w:jc w:val="both"/>
        <w:rPr>
          <w:rFonts w:ascii="Times New Roman" w:hAnsi="Times New Roman" w:cs="Times New Roman" w:eastAsia="Times New Roman"/>
          <w:szCs w:val="20"/>
        </w:rPr>
        <w:pStyle w:val="P68B1DB1-Normal14"/>
      </w:pPr>
      <w:r>
        <w:t xml:space="preserve">Η μη κοινοποίηση ενός «τεχνικού κανόνα» τον καθιστά ανεφάρμοστο και μη αντιτάξιμο έναντι των ιδιωτών, οι οποίοι μπορούν να επικαλεστούν το άρθρο 8 της οδηγίας 98/34 ενώπιον των εθνικών δικαστηρίων, τα οποία, κατά συνέπεια, υποχρεούνται να απορρίψουν την εφαρμογή του.</w:t>
      </w:r>
    </w:p>
    <w:p w14:paraId="4B5D090C" w14:textId="77777777">
      <w:pPr>
        <w:widowControl w:val="0"/>
        <w:tabs>
          <w:tab w:val="left" w:pos="436"/>
        </w:tabs>
        <w:autoSpaceDE w:val="0"/>
        <w:autoSpaceDN w:val="0"/>
        <w:spacing w:after="0" w:line="240" w:lineRule="auto"/>
        <w:jc w:val="both"/>
        <w:rPr>
          <w:rFonts w:ascii="Times New Roman" w:hAnsi="Times New Roman" w:cs="Times New Roman" w:eastAsia="Times New Roman"/>
          <w:szCs w:val="20"/>
        </w:rPr>
      </w:pPr>
    </w:p>
    <w:p w14:paraId="4CE283BE" w14:textId="354C4BFD">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(Δεδομένου ότι η παραγγελία είναι διαθέσιμη αποκλειστικά στα γαλλικά και τα ιταλικά, το ακόλουθο κείμενο είναι μετάφραση.)</w:t>
      </w:r>
    </w:p>
    <w:p w14:paraId="71B521E7" w14:textId="77777777">
      <w:pPr>
        <w:widowControl w:val="0"/>
        <w:tabs>
          <w:tab w:val="left" w:pos="436"/>
        </w:tabs>
        <w:autoSpaceDE w:val="0"/>
        <w:autoSpaceDN w:val="0"/>
        <w:spacing w:after="0" w:line="240" w:lineRule="auto"/>
        <w:jc w:val="both"/>
        <w:rPr>
          <w:rFonts w:ascii="Times New Roman" w:hAnsi="Times New Roman" w:cs="Times New Roman" w:eastAsia="Times New Roman"/>
          <w:szCs w:val="20"/>
        </w:rPr>
      </w:pPr>
    </w:p>
    <w:p w14:paraId="176B997E" w14:textId="2F3B42D8">
      <w:pPr>
        <w:pStyle w:val="P68B1DB1-Normal15"/>
        <w:widowControl w:val="0"/>
        <w:tabs>
          <w:tab w:val="left" w:pos="436"/>
        </w:tabs>
        <w:autoSpaceDE w:val="0"/>
        <w:autoSpaceDN w:val="0"/>
        <w:spacing w:after="0" w:line="240" w:lineRule="auto"/>
        <w:ind w:left="567"/>
        <w:jc w:val="both"/>
        <w:rPr>
          <w:iCs/>
        </w:rPr>
      </w:pPr>
      <w:r>
        <w:t xml:space="preserve">«37. Κατά πάγια νομολογία, η μη τήρηση της υποχρεώσεως άμεσης κοινοποιήσεως των τεχνικών κανόνων από τα κράτη μέλη στην Επιτροπή, την οποία προβλέπει το άρθρο 8 της οδηγίας 98/34, καθιστά ανεφάρμοστους τους οικείους τεχνικούς κανόνες, οπότε οι εν λόγω τεχνικοί κανόνες δεν μπορούν να αντιταχθούν στους ιδιώτες και, ως εκ τούτου, οι τελευταίοι μπορούν να επικαλεστούν το άρθρο 8 της οδηγίας 98/34 ενώπιον του εθνικού δικαστηρίου, το οποίο οφείλει να αρνηθεί την εφαρμογή εθνικού τεχνικού κανόνα ο οποίος δεν κοινοποιήθηκε σύμφωνα με την οδηγία αυτή (βλ., συναφώς, αποφάσεις της 30 Απριλίου 1996, CIA</w:t>
        <w:noBreakHyphen/>
        <w:t xml:space="preserve">Security International, 194/94, Συλλογή, σκέψεις 44 και 54· της 26 Σεπτεμβρίου 2000, Unilever</w:t>
        <w:noBreakHyphen/>
        <w:t xml:space="preserve">, 443/98, σκέψη 49· και της 16 Ιουλίου 2015, UNIC και Uni.co.pel,</w:t>
        <w:noBreakHyphen/>
        <w:t xml:space="preserve">95/14, παράγραφος 29).»</w:t>
      </w:r>
    </w:p>
    <w:p w14:paraId="316A0C5A"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72DF0B9D" w14:textId="49BEF45B">
      <w:pPr>
        <w:pStyle w:val="P68B1DB1-Normal13"/>
        <w:widowControl w:val="0"/>
        <w:autoSpaceDE w:val="0"/>
        <w:autoSpaceDN w:val="0"/>
        <w:spacing w:after="0" w:line="240" w:lineRule="auto"/>
        <w:jc w:val="both"/>
        <w:outlineLvl w:val="1"/>
      </w:pPr>
      <w:hyperlink r:id="rId106" w:history="1">
        <w:r>
          <w:rPr>
            <w:color w:val="0000FF"/>
            <w:u w:val="single"/>
          </w:rPr>
          <w:t xml:space="preserve">Απόφαση της 1 Φεβρουαρίου 2017</w:t>
        </w:r>
      </w:hyperlink>
      <w:r>
        <w:t xml:space="preserve">, Município de Palmela, C</w:t>
        <w:noBreakHyphen/>
        <w:t xml:space="preserve">144/16, σκέψεις 36 και 37.</w:t>
      </w:r>
      <w:bookmarkEnd w:id="188"/>
    </w:p>
    <w:p w14:paraId="71CD8CD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48608F0" w14:textId="4E7B20FD">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Το ανεφάρμοστο των μη κοινοποιηθέντων τεχνικών κανόνων εκτείνεται μόνο στις διατάξεις που χαρακτηρίζονται ως τέτοιες και όχι στο σύνολο του κειμένου στο οποίο καθορίζονται. </w:t>
      </w:r>
    </w:p>
    <w:p w14:paraId="75A4341D" w14:textId="77777777">
      <w:pPr>
        <w:widowControl w:val="0"/>
        <w:tabs>
          <w:tab w:val="left" w:pos="506"/>
        </w:tabs>
        <w:autoSpaceDE w:val="0"/>
        <w:autoSpaceDN w:val="0"/>
        <w:spacing w:after="0" w:line="240" w:lineRule="auto"/>
        <w:jc w:val="both"/>
        <w:rPr>
          <w:rFonts w:ascii="Times New Roman" w:hAnsi="Times New Roman" w:cs="Times New Roman" w:eastAsia="Times New Roman"/>
          <w:szCs w:val="20"/>
        </w:rPr>
      </w:pPr>
    </w:p>
    <w:p w14:paraId="0AB4BF23" w14:textId="0FC0DDA5">
      <w:pPr>
        <w:pStyle w:val="P68B1DB1-Normal15"/>
        <w:widowControl w:val="0"/>
        <w:tabs>
          <w:tab w:val="left" w:pos="506"/>
        </w:tabs>
        <w:autoSpaceDE w:val="0"/>
        <w:autoSpaceDN w:val="0"/>
        <w:spacing w:after="0" w:line="240" w:lineRule="auto"/>
        <w:ind w:left="567"/>
        <w:jc w:val="both"/>
      </w:pPr>
      <w:r>
        <w:t xml:space="preserve">«36. Επιπλέον, η μη τήρηση μιας τέτοιας υποχρέωσης κοινοποίησης επισύρει τη μη εφαρμογή τεχνικών κανόνων που δεν έχουν κοινοποιηθεί (πρβλ., όσον αφορά την οδηγία 83/189, απόφαση της 30 Απριλίου 1996, CIA Security International, C-194/94, σκέψη 54, και, όσον αφορά την οδηγία 98/34, απόφαση της 4 Φεβρουαρίου 2016, Ince, C-336/14, σκέψη 67 και εκεί παρατιθέμενη νομολογία).</w:t>
      </w:r>
    </w:p>
    <w:p w14:paraId="53154754" w14:textId="77777777">
      <w:pPr>
        <w:pStyle w:val="P68B1DB1-Normal15"/>
        <w:widowControl w:val="0"/>
        <w:tabs>
          <w:tab w:val="left" w:pos="506"/>
        </w:tabs>
        <w:autoSpaceDE w:val="0"/>
        <w:autoSpaceDN w:val="0"/>
        <w:spacing w:after="0" w:line="240" w:lineRule="auto"/>
        <w:ind w:left="567"/>
        <w:jc w:val="both"/>
      </w:pPr>
    </w:p>
    <w:p w14:paraId="3D0698B5" w14:textId="300775AA">
      <w:pPr>
        <w:pStyle w:val="P68B1DB1-Normal15"/>
        <w:widowControl w:val="0"/>
        <w:tabs>
          <w:tab w:val="left" w:pos="506"/>
        </w:tabs>
        <w:autoSpaceDE w:val="0"/>
        <w:autoSpaceDN w:val="0"/>
        <w:spacing w:after="0" w:line="240" w:lineRule="auto"/>
        <w:ind w:left="567"/>
        <w:jc w:val="both"/>
        <w:rPr>
          <w:iCs/>
        </w:rPr>
      </w:pPr>
      <w:r>
        <w:t xml:space="preserve">37. Όσον αφορά την έκταση μιας τέτοιας κυρώσεως, μολονότι το άρθρο 8 παράγραφος 1, της οδηγίας 83/189 και το άρθρο 8 παράγραφος 1, της οδηγίας 98/34 επιβάλλουν την κοινοποίηση στην Επιτροπή ολόκληρου του σχεδίου νόμου που περιέχει τεχνικούς κανόνες, η μη εφαρμογή που προκύπτει από την παράβαση της υποχρεώσεως αυτής εκτείνεται όχι στο σύνολο των διατάξεων ενός τέτοιου νόμου, αλλά μόνο στους τεχνικούς κανόνες που περιέχονται σε αυτόν (πρβλ. απόφαση της 4 Φεβρουαρίου 2016, Ince, C-336/14, σκέψη 68).»</w:t>
      </w:r>
    </w:p>
    <w:p w14:paraId="554FD65A"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6C171BE6" w14:textId="2B08C6DC">
      <w:pPr>
        <w:pStyle w:val="P68B1DB1-Normal13"/>
        <w:widowControl w:val="0"/>
        <w:autoSpaceDE w:val="0"/>
        <w:autoSpaceDN w:val="0"/>
        <w:spacing w:after="0" w:line="240" w:lineRule="auto"/>
        <w:jc w:val="both"/>
        <w:outlineLvl w:val="1"/>
      </w:pPr>
      <w:hyperlink r:id="rId107" w:history="1">
        <w:r>
          <w:rPr>
            <w:color w:val="0000FF"/>
            <w:u w:val="single"/>
          </w:rPr>
          <w:t xml:space="preserve">Απόφαση της 12 Σεπτεμβρίου 2019</w:t>
        </w:r>
      </w:hyperlink>
      <w:r>
        <w:t xml:space="preserve"> στην υπόθεση C-299/17, VG Media, σκέψη 39.</w:t>
      </w:r>
      <w:bookmarkEnd w:id="189"/>
    </w:p>
    <w:p w14:paraId="4D9638D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70EAA48" w14:textId="672654D1">
      <w:pPr>
        <w:pStyle w:val="P68B1DB1-Normal14"/>
        <w:widowControl w:val="0"/>
        <w:tabs>
          <w:tab w:val="left" w:pos="396"/>
        </w:tabs>
        <w:autoSpaceDE w:val="0"/>
        <w:autoSpaceDN w:val="0"/>
        <w:spacing w:after="0" w:line="240" w:lineRule="auto"/>
        <w:jc w:val="both"/>
      </w:pPr>
      <w:r>
        <w:t xml:space="preserve">Το ανεφάρμοστο μη κοινοποιηθέντος «τεχνικού κανόνα» μπορεί να προβληθεί στο πλαίσιο διαφοράς μεταξύ ιδιωτών.</w:t>
      </w:r>
    </w:p>
    <w:p w14:paraId="28A74567" w14:textId="77777777">
      <w:pPr>
        <w:widowControl w:val="0"/>
        <w:tabs>
          <w:tab w:val="left" w:pos="396"/>
        </w:tabs>
        <w:autoSpaceDE w:val="0"/>
        <w:autoSpaceDN w:val="0"/>
        <w:spacing w:after="0" w:line="240" w:lineRule="auto"/>
        <w:jc w:val="both"/>
        <w:rPr>
          <w:rFonts w:ascii="Times New Roman" w:hAnsi="Times New Roman" w:cs="Times New Roman" w:eastAsia="Times New Roman"/>
          <w:szCs w:val="20"/>
        </w:rPr>
      </w:pPr>
    </w:p>
    <w:p w14:paraId="341E5191" w14:textId="072C374E">
      <w:pPr>
        <w:pStyle w:val="P68B1DB1-Normal15"/>
        <w:widowControl w:val="0"/>
        <w:tabs>
          <w:tab w:val="left" w:pos="396"/>
        </w:tabs>
        <w:autoSpaceDE w:val="0"/>
        <w:autoSpaceDN w:val="0"/>
        <w:spacing w:after="0" w:line="240" w:lineRule="auto"/>
        <w:ind w:left="567"/>
        <w:jc w:val="both"/>
        <w:rPr>
          <w:iCs/>
        </w:rPr>
      </w:pPr>
      <w:r>
        <w:t>«</w:t>
      </w:r>
      <w:bookmarkStart w:id="190" w:name="point39"/>
      <w:r>
        <w:t>39</w:t>
      </w:r>
      <w:bookmarkEnd w:id="190"/>
      <w:r>
        <w:t xml:space="preserve">. Εφόσον ένας κανόνας όπως ο επίμαχος στην κύρια δίκη αφορά ειδικά τις υπηρεσίες της κοινωνίας της πληροφορίας, το σχέδιο τεχνικού κανόνα πρέπει να κοινοποιηθεί προηγουμένως στην Επιτροπή δυνάμει του άρθρου 8 παράγραφος 1, της οδηγίας 98/34. Ελλείψει αυτού, κατά πάγια νομολογία, η μη εφαρμογή τεχνικού κανόνα που δεν έχει κοινοποιηθεί σύμφωνα με τη διάταξη αυτή μπορεί να προβληθεί στο πλαίσιο διαφοράς μεταξύ ιδιωτών (απόφαση της 27 Οκτωβρίου 2016, James Elliott Construction, C</w:t>
        <w:noBreakHyphen/>
        <w:t xml:space="preserve">613/14, σκέψη 64 και εκεί μνημονευόμενη νομολογία).»</w:t>
      </w:r>
    </w:p>
    <w:p w14:paraId="67343887" w14:textId="77777777">
      <w:pPr>
        <w:pStyle w:val="P68B1DB1-Normal16"/>
        <w:spacing w:after="0" w:line="240" w:lineRule="auto"/>
        <w:rPr>
          <w:i/>
          <w:iCs/>
        </w:rPr>
      </w:pPr>
      <w:r>
        <w:br w:type="page"/>
      </w:r>
    </w:p>
    <w:p w14:paraId="3EE7303A" w14:textId="250577BE">
      <w:pPr>
        <w:pStyle w:val="P68B1DB1-Heading24"/>
        <w:numPr>
          <w:ilvl w:val="0"/>
          <w:numId w:val="38"/>
        </w:numPr>
        <w:spacing w:before="0" w:after="0"/>
        <w:jc w:val="center"/>
        <w:rPr>
          <w:bCs/>
          <w:color w:val="auto"/>
        </w:rPr>
      </w:pPr>
      <w:bookmarkStart w:id="191" w:name="_Ref194485069"/>
      <w:bookmarkStart w:id="192" w:name="_Toc203035686"/>
      <w:r>
        <w:t xml:space="preserve">Ανεφάρμοστο σε περίπτωση υιοθέτησης κατά τη διάρκεια της περιόδου αναμονής</w:t>
      </w:r>
      <w:bookmarkEnd w:id="191"/>
      <w:bookmarkEnd w:id="192"/>
    </w:p>
    <w:p w14:paraId="37876FE6" w14:textId="77777777">
      <w:pPr>
        <w:widowControl w:val="0"/>
        <w:tabs>
          <w:tab w:val="left" w:pos="396"/>
        </w:tabs>
        <w:autoSpaceDE w:val="0"/>
        <w:autoSpaceDN w:val="0"/>
        <w:spacing w:after="0" w:line="240" w:lineRule="auto"/>
        <w:ind w:left="567"/>
        <w:jc w:val="both"/>
        <w:rPr>
          <w:rFonts w:ascii="Times New Roman" w:hAnsi="Times New Roman" w:cs="Times New Roman" w:eastAsia="Times New Roman"/>
          <w:i/>
          <w:iCs/>
          <w:sz w:val="20"/>
          <w:szCs w:val="16"/>
        </w:rPr>
      </w:pPr>
    </w:p>
    <w:p w14:paraId="0D0639E5" w14:textId="5783481F">
      <w:pPr>
        <w:pStyle w:val="P68B1DB1-Normal13"/>
        <w:widowControl w:val="0"/>
        <w:autoSpaceDE w:val="0"/>
        <w:autoSpaceDN w:val="0"/>
        <w:spacing w:after="0" w:line="240" w:lineRule="auto"/>
        <w:jc w:val="both"/>
        <w:outlineLvl w:val="1"/>
      </w:pPr>
      <w:hyperlink r:id="rId108" w:history="1">
        <w:r>
          <w:rPr>
            <w:color w:val="0000FF"/>
            <w:u w:val="single"/>
          </w:rPr>
          <w:t xml:space="preserve">Απόφαση της 26 Σεπτεμβρίου 2000</w:t>
        </w:r>
      </w:hyperlink>
      <w:r>
        <w:t xml:space="preserve"> στην υπόθεση C-443/98, Unilever, σκέψεις 44 και 49</w:t>
      </w:r>
      <w:bookmarkEnd w:id="193"/>
    </w:p>
    <w:p w14:paraId="42E7AF6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BBEE81D" w14:textId="01D7910A">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Η παράβαση της υποχρεώσεως αναβολής της εκδόσεως ενός «τεχνικού κανόνα» συνιστά ουσιώδη διαδικαστική πλημμέλεια και η συνακόλουθη αδυναμία εφαρμογής μπορεί να προβληθεί στο πλαίσιο ένδικης διαφοράς αστικού δικαίου των συμβάσεων.</w:t>
      </w:r>
    </w:p>
    <w:p w14:paraId="44D1FDCE" w14:textId="77777777">
      <w:pPr>
        <w:widowControl w:val="0"/>
        <w:autoSpaceDE w:val="0"/>
        <w:autoSpaceDN w:val="0"/>
        <w:spacing w:after="0" w:line="240" w:lineRule="auto"/>
        <w:jc w:val="both"/>
        <w:rPr>
          <w:rFonts w:ascii="Times New Roman" w:hAnsi="Times New Roman" w:cs="Times New Roman" w:eastAsia="Times New Roman"/>
          <w:szCs w:val="20"/>
        </w:rPr>
      </w:pPr>
    </w:p>
    <w:p w14:paraId="75DB8828" w14:textId="28728DEC">
      <w:pPr>
        <w:pStyle w:val="P68B1DB1-Normal15"/>
        <w:widowControl w:val="0"/>
        <w:autoSpaceDE w:val="0"/>
        <w:autoSpaceDN w:val="0"/>
        <w:spacing w:after="0"/>
        <w:ind w:left="567"/>
        <w:jc w:val="both"/>
      </w:pPr>
      <w:r>
        <w:t xml:space="preserve">«44. Μολονότι, στη σκέψη 48 της αποφάσεως CIA Security, το Δικαστήριο, αφού υπενθύμισε ότι σκοπός της οδηγίας 83/189 ήταν η προστασία της ελεύθερης κυκλοφορίας των εμπορευμάτων μέσω προληπτικού ελέγχου και ότι η υποχρέωση κοινοποιήσεως ήταν ουσιώδης για την πραγματοποίηση του εν λόγω κοινοτικού ελέγχου, έκρινε ότι η αποτελεσματικότητα του ελέγχου αυτού θα ήταν πολύ μεγαλύτερη αν η οδηγία ερμηνευόταν υπό την έννοια ότι η παράβαση της υποχρεώσεως κοινοποιήσεως συνιστά ουσιώδη διαδικαστική πλημμέλεια ικανή να καταστήσει τους εν λόγω τεχνικούς κανόνες ανεφάρμοστους στους ιδιώτες, από τις σκέψεις που εκτίθενται στις σκέψεις 40 έως 43 της παρούσας αποφάσεως προκύπτει ότι η παράβαση της υποχρεώσεως αναβολής της εκδόσεως του άρθρου 9 της οδηγίας 83/189 συνιστά επίσης ουσιώδη διαδικαστική πλημμέλεια ικανή να καταστήσει ανεφάρμοστους τεχνικούς κανόνες.»</w:t>
      </w:r>
    </w:p>
    <w:p w14:paraId="02036EC1" w14:textId="77777777">
      <w:pPr>
        <w:widowControl w:val="0"/>
        <w:autoSpaceDE w:val="0"/>
        <w:autoSpaceDN w:val="0"/>
        <w:spacing w:after="0" w:line="240" w:lineRule="auto"/>
        <w:ind w:left="567"/>
        <w:jc w:val="both"/>
        <w:rPr>
          <w:rFonts w:ascii="Times New Roman" w:hAnsi="Times New Roman" w:cs="Times New Roman" w:eastAsia="Times New Roman"/>
          <w:i/>
          <w:iCs/>
          <w:sz w:val="20"/>
          <w:szCs w:val="16"/>
        </w:rPr>
      </w:pPr>
    </w:p>
    <w:p w14:paraId="58BC9E48" w14:textId="635AF4A5">
      <w:pPr>
        <w:pStyle w:val="P68B1DB1-Normal15"/>
        <w:widowControl w:val="0"/>
        <w:autoSpaceDE w:val="0"/>
        <w:autoSpaceDN w:val="0"/>
        <w:spacing w:after="0" w:line="240" w:lineRule="auto"/>
        <w:ind w:left="567"/>
        <w:jc w:val="both"/>
        <w:rPr>
          <w:iCs/>
        </w:rPr>
      </w:pPr>
      <w:r>
        <w:t xml:space="preserve">«49. Έτσι, από τη νομολογία του Δικαστηρίου προκύπτει ότι η μη εφαρμογή ενός τεχνικού κανόνα που δεν κοινοποιήθηκε σύμφωνα με το άρθρο 8 της οδηγίας 83/189 μπορεί να προβληθεί στο πλαίσιο διαφοράς μεταξύ ιδιωτών για τους λόγους που εκτίθενται στις σκέψεις 40 έως 43 της παρούσας αποφάσεως. Το ίδιο ισχύει και για τη μη τήρηση των υποχρεώσεων που προβλέπει το άρθρο 9 της εν λόγω οδηγίας, χωρίς να απαιτείται, συναφώς, διαφορετική μεταχείριση των διαφορών μεταξύ ιδιωτών στον τομέα του αθέμιτου ανταγωνισμού, όπως στην υπόθεση CIA Security International, από τις διαφορές μεταξύ ιδιωτών που αφορούν δικαιώματα και υποχρεώσεις συμβατικής φύσεως, όπως στην υπόθεση της κύριας δίκης.»</w:t>
      </w:r>
    </w:p>
    <w:p w14:paraId="2398ED1C"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DE1608D" w14:textId="65CDF631">
      <w:pPr>
        <w:pStyle w:val="P68B1DB1-Normal13"/>
        <w:widowControl w:val="0"/>
        <w:autoSpaceDE w:val="0"/>
        <w:autoSpaceDN w:val="0"/>
        <w:spacing w:after="0" w:line="240" w:lineRule="auto"/>
        <w:jc w:val="both"/>
        <w:outlineLvl w:val="1"/>
      </w:pPr>
      <w:hyperlink r:id="rId109" w:history="1">
        <w:r>
          <w:rPr>
            <w:color w:val="0000FF"/>
            <w:u w:val="single"/>
          </w:rPr>
          <w:t xml:space="preserve">Απόφαση της 16 Ιουλίου 2015</w:t>
        </w:r>
      </w:hyperlink>
      <w:r>
        <w:t xml:space="preserve"> στην υπόθεση C-95/14, UNIC και Uni.co.pel, σκέψεις 29 και 30.</w:t>
      </w:r>
      <w:bookmarkEnd w:id="194"/>
    </w:p>
    <w:p w14:paraId="1A2641F5" w14:textId="77777777">
      <w:pPr>
        <w:pStyle w:val="P68B1DB1-Normal13"/>
        <w:widowControl w:val="0"/>
        <w:autoSpaceDE w:val="0"/>
        <w:autoSpaceDN w:val="0"/>
        <w:spacing w:after="0" w:line="240" w:lineRule="auto"/>
        <w:jc w:val="both"/>
        <w:outlineLvl w:val="1"/>
        <w:rPr>
          <w:color w:val="0000FF"/>
          <w:u w:val="single"/>
        </w:rPr>
      </w:pPr>
    </w:p>
    <w:p w14:paraId="6A41CA20" w14:textId="5D78CD99">
      <w:pPr>
        <w:pStyle w:val="P68B1DB1-Normal14"/>
        <w:widowControl w:val="0"/>
        <w:tabs>
          <w:tab w:val="left" w:pos="458"/>
        </w:tabs>
        <w:autoSpaceDE w:val="0"/>
        <w:autoSpaceDN w:val="0"/>
        <w:spacing w:after="0" w:line="240" w:lineRule="auto"/>
        <w:jc w:val="both"/>
      </w:pPr>
      <w:r>
        <w:t xml:space="preserve">Ένας «τεχνικός κανόνας» δεν μπορεί να εφαρμοστεί εάν δεν έχει κοινοποιηθεί ή εάν, μολονότι έχει κοινοποιηθεί, έχει εκδοθεί και τεθεί σε εφαρμογή πριν από τη λήξη της ανασταλτικής περιόδου. Η μη τήρηση της εν λόγω ανασταλτικής προθεσμίας συνιστά ουσιώδες διαδικαστικό ελάττωμα που καθιστά τον επίμαχο «τεχνικό κανόνα» ανεφάρμοστο και μη αντιτάξιμο στους ιδιώτες.</w:t>
      </w:r>
    </w:p>
    <w:p w14:paraId="78F423B5" w14:textId="77777777">
      <w:pPr>
        <w:widowControl w:val="0"/>
        <w:tabs>
          <w:tab w:val="left" w:pos="458"/>
        </w:tabs>
        <w:autoSpaceDE w:val="0"/>
        <w:autoSpaceDN w:val="0"/>
        <w:spacing w:after="0" w:line="240" w:lineRule="auto"/>
        <w:jc w:val="both"/>
        <w:rPr>
          <w:rFonts w:ascii="Times New Roman" w:hAnsi="Times New Roman" w:cs="Times New Roman" w:eastAsia="Times New Roman"/>
          <w:szCs w:val="20"/>
        </w:rPr>
      </w:pPr>
    </w:p>
    <w:p w14:paraId="671D359F" w14:textId="02315FA1">
      <w:pPr>
        <w:pStyle w:val="P68B1DB1-Normal15"/>
        <w:widowControl w:val="0"/>
        <w:tabs>
          <w:tab w:val="left" w:pos="413"/>
        </w:tabs>
        <w:autoSpaceDE w:val="0"/>
        <w:autoSpaceDN w:val="0"/>
        <w:spacing w:after="0" w:line="240" w:lineRule="auto"/>
        <w:ind w:left="567"/>
        <w:jc w:val="both"/>
      </w:pPr>
      <w:r>
        <w:t xml:space="preserve">«29. Συναφώς, επισημαίνεται ότι ένας τεχνικός κανόνας δεν μπορεί να εφαρμοστεί αν δεν έχει κοινοποιηθεί σύμφωνα με το άρθρο 8 παράγραφος 1, της οδηγίας 98/34 ή αν, παρά την κοινοποίησή του, εκδόθηκε και τέθηκε σε εφαρμογή πριν από τη λήξη της τρίμηνης ανασταλτικής προθεσμίας που προβλέπει το άρθρο 9 παράγραφος 1, της οδηγίας αυτής (βλ. αποφάσεις CIA Security International, C-194/94, EU:C:201, σκέψεις 41, 44 και 54, και Unilever, C-443/98, σκέψη 49).</w:t>
      </w:r>
    </w:p>
    <w:p w14:paraId="669F0D65" w14:textId="77777777">
      <w:pPr>
        <w:pStyle w:val="P68B1DB1-Normal15"/>
        <w:widowControl w:val="0"/>
        <w:tabs>
          <w:tab w:val="left" w:pos="413"/>
        </w:tabs>
        <w:autoSpaceDE w:val="0"/>
        <w:autoSpaceDN w:val="0"/>
        <w:spacing w:after="0" w:line="240" w:lineRule="auto"/>
        <w:ind w:left="567"/>
        <w:jc w:val="both"/>
      </w:pPr>
    </w:p>
    <w:p w14:paraId="6F40553C" w14:textId="5546CC32">
      <w:pPr>
        <w:pStyle w:val="P68B1DB1-Normal15"/>
        <w:widowControl w:val="0"/>
        <w:tabs>
          <w:tab w:val="left" w:pos="413"/>
        </w:tabs>
        <w:autoSpaceDE w:val="0"/>
        <w:autoSpaceDN w:val="0"/>
        <w:spacing w:after="0" w:line="240" w:lineRule="auto"/>
        <w:ind w:left="567"/>
        <w:jc w:val="both"/>
        <w:rPr>
          <w:iCs/>
        </w:rPr>
      </w:pPr>
      <w:r>
        <w:t xml:space="preserve">30. Κατά συνέπεια, στην υπόθεση της κύριας δίκης, εναπόκειται στο αιτούν δικαστήριο να εξακριβώσει αν ο νόμος 8/2013 τέθηκε σε ισχύ χωρίς να τηρηθεί η ανασταλτική προθεσμία που προβλέπει το άρθρο 9 της οδηγίας 98/34. Στην περίπτωση αυτή, η μη τήρηση αυτής της ανασταλτικής προθεσμίας συνιστά ουσιώδη διαδικαστική πλημμέλεια ικανή να επιφέρει τη μη εφαρμογή του επίμαχου τεχνικού κανόνα. Όπως επισήμανε η γενική εισαγγελέας στα σημεία 44 έως 47 των προτάσεών της, το άρθρο 3 παράγραφος 2, του νόμου 8/2103 δεν θα μπορούσε, στην περίπτωση αυτή, να αντιταχθεί στους ιδιώτες.»</w:t>
      </w:r>
    </w:p>
    <w:p w14:paraId="6059C0DE"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23CFB923" w14:textId="1D33D9D9">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10" w:history="1">
        <w:r>
          <w:rPr>
            <w:rStyle w:val="Hyperlink"/>
            <w:rFonts w:ascii="Times New Roman" w:hAnsi="Times New Roman" w:cs="Times New Roman" w:eastAsia="Times New Roman"/>
            <w:b/>
            <w:i/>
            <w:color w:val="0000FF"/>
            <w:szCs w:val="20"/>
          </w:rPr>
          <w:t xml:space="preserve">Απόφαση της 21 Δεκεμβρίου 2023</w:t>
        </w:r>
      </w:hyperlink>
      <w:r>
        <w:rPr>
          <w:rFonts w:ascii="Times New Roman" w:hAnsi="Times New Roman" w:cs="Times New Roman" w:eastAsia="Times New Roman"/>
          <w:b/>
          <w:i/>
          <w:szCs w:val="20"/>
        </w:rPr>
        <w:t xml:space="preserve"> στην υπόθεση C-86/22, Papier Mettler Italia, σκέψεις 48 και 51.</w:t>
      </w:r>
      <w:bookmarkEnd w:id="195"/>
    </w:p>
    <w:p w14:paraId="72FE2D2F"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C184A21" w14:textId="5074D777">
      <w:pPr>
        <w:pStyle w:val="P68B1DB1-Normal17"/>
        <w:widowControl w:val="0"/>
        <w:autoSpaceDE w:val="0"/>
        <w:autoSpaceDN w:val="0"/>
        <w:spacing w:after="0" w:line="240" w:lineRule="auto"/>
        <w:jc w:val="both"/>
      </w:pPr>
      <w:r>
        <w:t xml:space="preserve">Η έγκριση σχεδίου «τεχνικού κανόνα» έξι ημέρες μετά την κοινοποίησή του αντίκειται στην οδηγία.</w:t>
      </w:r>
    </w:p>
    <w:p w14:paraId="6AE096BF" w14:textId="77777777">
      <w:pPr>
        <w:widowControl w:val="0"/>
        <w:autoSpaceDE w:val="0"/>
        <w:autoSpaceDN w:val="0"/>
        <w:spacing w:after="0" w:line="240" w:lineRule="auto"/>
        <w:jc w:val="both"/>
        <w:rPr>
          <w:rFonts w:ascii="Times New Roman" w:hAnsi="Times New Roman" w:cs="Times New Roman" w:eastAsia="Times New Roman"/>
        </w:rPr>
      </w:pPr>
    </w:p>
    <w:p w14:paraId="49072627" w14:textId="0533C648">
      <w:pPr>
        <w:pStyle w:val="P68B1DB1-Normal17"/>
        <w:widowControl w:val="0"/>
        <w:autoSpaceDE w:val="0"/>
        <w:autoSpaceDN w:val="0"/>
        <w:spacing w:after="0" w:line="240" w:lineRule="auto"/>
        <w:jc w:val="both"/>
      </w:pPr>
      <w:r>
        <w:t xml:space="preserve">Οι ρήτρες που εξαρτούν την έναρξη ισχύος της νομοθεσίας από την απουσία αντίδρασης της Επιτροπής επί της εν λόγω νομοθεσίας («ανασταλτικές ρήτρες») είναι αντίθετες προς την οδηγία, διότι η θέσπιση τέτοιας νομοθεσίας δεν επιτρέπει να ληφθούν υπόψη οι απόψεις άλλων κρατών μελών και παραβιάζει την αρχή της ασφάλειας δικαίου. </w:t>
      </w:r>
    </w:p>
    <w:p w14:paraId="324F8208"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2F3C3AE8" w14:textId="66B8593F">
      <w:pPr>
        <w:pStyle w:val="P68B1DB1-Normal15"/>
        <w:widowControl w:val="0"/>
        <w:autoSpaceDE w:val="0"/>
        <w:autoSpaceDN w:val="0"/>
        <w:spacing w:after="0" w:line="240" w:lineRule="auto"/>
        <w:ind w:left="567"/>
        <w:jc w:val="both"/>
        <w:outlineLvl w:val="1"/>
        <w:rPr>
          <w:iCs/>
        </w:rPr>
      </w:pPr>
      <w:bookmarkStart w:id="196" w:name="_Toc198043912"/>
      <w:r>
        <w:t>«</w:t>
      </w:r>
      <w:bookmarkStart w:id="197" w:name="point48"/>
      <w:r>
        <w:t>48</w:t>
      </w:r>
      <w:bookmarkEnd w:id="197"/>
      <w:r>
        <w:t xml:space="preserve">. Αφετέρου, η έκδοση του επίμαχου στην κύρια δίκη διατάγματος εντός έξι ημερών από την κοινοποίησή του στην Επιτροπή, δυνάμει του άρθρου 8 παράγραφος 1, της οδηγίας αυτής, παραβιάζει επίσης την υποχρέωση που προβλέπεται στο άρθρο 9 παράγραφος 1, της οδηγίας αυτής, κατά το οποίο τα κράτη μέλη αναβάλλουν την έγκριση ενός «σχεδίου τεχνικού κανόνα» για τρεις μήνες από την ημερομηνία παραλαβής από την Επιτροπή της ανακοινώσεως που προβλέπεται στο άρθρο 8 παράγραφος 1, της οδηγίας.»</w:t>
      </w:r>
      <w:bookmarkEnd w:id="196"/>
    </w:p>
    <w:p w14:paraId="34ACB37E" w14:textId="77777777">
      <w:pPr>
        <w:widowControl w:val="0"/>
        <w:autoSpaceDE w:val="0"/>
        <w:autoSpaceDN w:val="0"/>
        <w:spacing w:after="0" w:line="240" w:lineRule="auto"/>
        <w:ind w:left="567"/>
        <w:jc w:val="both"/>
        <w:outlineLvl w:val="1"/>
      </w:pPr>
    </w:p>
    <w:p w14:paraId="14BB6DC8" w14:textId="1355B8C7">
      <w:pPr>
        <w:pStyle w:val="P68B1DB1-Normal15"/>
        <w:widowControl w:val="0"/>
        <w:autoSpaceDE w:val="0"/>
        <w:autoSpaceDN w:val="0"/>
        <w:spacing w:after="0" w:line="240" w:lineRule="auto"/>
        <w:ind w:left="567"/>
        <w:jc w:val="both"/>
        <w:rPr>
          <w:iCs/>
        </w:rPr>
      </w:pPr>
      <w:r>
        <w:t>«</w:t>
      </w:r>
      <w:bookmarkStart w:id="198" w:name="point51"/>
      <w:r>
        <w:t>51</w:t>
      </w:r>
      <w:bookmarkEnd w:id="198"/>
      <w:r>
        <w:t xml:space="preserve">. Αφετέρου, η εν λόγω κυβέρνηση υποστηρίζει ότι, σύμφωνα με το άρθρο 6 της οδηγίας, η έναρξη ισχύος του επίμαχου διατάγματος τελούσε υπό τον όρο της «επιτυχούς έκβασης» της διαδικασίας γνωστοποίησης που κινήθηκε στις 12 Μαρτίου 2013 βάσει του άρθρου 8 παράγραφος 1, της οδηγίας 98/34. Ωστόσο, η διαδικασία αυτή δεν ολοκληρώθηκε επιτυχώς καθόσον η Επιτροπή δεν εξέδωσε γνώμη επί του διατάγματος. Το επιχείρημα αυτό πρέπει να απορριφθεί, δεδομένου ότι, αφενός, η έκδοση και η δημοσίευση του εν λόγω διατάγματος μπορούν, αυτές καθεαυτές, να έχουν ορισμένα αποτελέσματα στην ελεύθερη κυκλοφορία των οικείων εμπορευμάτων· δεύτερον, δεν επέτρεψαν να ληφθούν υπόψη οι παρατηρήσεις και οι εμπεριστατωμένες γνώμες που διατύπωσαν το Βασίλειο των Κάτω Χωρών, το Βασίλειο της Σουηδίας και το Ηνωμένο Βασίλειο της Μεγάλης Βρετανίας και της Βόρειας Ιρλανδίας· τρίτον, όπως επισήμανε ο γενικός εισαγγελέας στο σημείο 52 των προτάσεών του, πρόκειται για νομοθετική τεχνική ασυμβίβαστη με την αρχή της ασφάλειας δικαίου.»</w:t>
      </w:r>
    </w:p>
    <w:p w14:paraId="4AC163BF" w14:textId="77777777">
      <w:pPr>
        <w:pStyle w:val="P68B1DB1-Normal16"/>
        <w:spacing w:after="0" w:line="240" w:lineRule="auto"/>
        <w:rPr>
          <w:i/>
          <w:iCs/>
        </w:rPr>
      </w:pPr>
      <w:r>
        <w:br w:type="page"/>
      </w:r>
    </w:p>
    <w:p w14:paraId="781C6309" w14:textId="325A6AD3">
      <w:pPr>
        <w:pStyle w:val="P68B1DB1-Heading24"/>
        <w:numPr>
          <w:ilvl w:val="0"/>
          <w:numId w:val="38"/>
        </w:numPr>
        <w:spacing w:before="0" w:after="0"/>
        <w:jc w:val="center"/>
        <w:rPr>
          <w:bCs/>
          <w:color w:val="auto"/>
        </w:rPr>
      </w:pPr>
      <w:bookmarkStart w:id="199" w:name="_Ref194485197"/>
      <w:bookmarkStart w:id="200" w:name="_Toc203035687"/>
      <w:r>
        <w:t xml:space="preserve">Διευκρίνιση ως προς το αποτέλεσμα της αδυναμίας εφαρμογής</w:t>
      </w:r>
      <w:bookmarkEnd w:id="199"/>
      <w:bookmarkEnd w:id="200"/>
    </w:p>
    <w:p w14:paraId="606EC11D" w14:textId="756F529E">
      <w:pPr>
        <w:pStyle w:val="P68B1DB1-Normal15"/>
        <w:widowControl w:val="0"/>
        <w:autoSpaceDE w:val="0"/>
        <w:autoSpaceDN w:val="0"/>
        <w:spacing w:after="0" w:line="240" w:lineRule="auto"/>
        <w:ind w:left="567"/>
        <w:jc w:val="both"/>
        <w:rPr>
          <w:iCs/>
        </w:rPr>
      </w:pPr>
      <w:r>
        <w:t xml:space="preserve">          </w:t>
      </w:r>
    </w:p>
    <w:p w14:paraId="7D2667CD" w14:textId="02A04B70">
      <w:pPr>
        <w:pStyle w:val="P68B1DB1-Normal13"/>
        <w:widowControl w:val="0"/>
        <w:autoSpaceDE w:val="0"/>
        <w:autoSpaceDN w:val="0"/>
        <w:spacing w:after="0" w:line="240" w:lineRule="auto"/>
        <w:jc w:val="both"/>
        <w:outlineLvl w:val="1"/>
      </w:pPr>
      <w:hyperlink r:id="rId111" w:anchor="ctx1" w:history="1">
        <w:r>
          <w:rPr>
            <w:color w:val="0000FF"/>
            <w:u w:val="single"/>
          </w:rPr>
          <w:t xml:space="preserve">Απόφαση της 11 Ιουνίου 2015</w:t>
        </w:r>
      </w:hyperlink>
      <w:r>
        <w:t xml:space="preserve"> στην υπόθεση C-98/14, Berlington Hungary κ.λπ., σκέψεις 108 και 109</w:t>
      </w:r>
      <w:bookmarkEnd w:id="201"/>
    </w:p>
    <w:p w14:paraId="45692878"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568A195" w14:textId="7B49416F">
      <w:pPr>
        <w:widowControl w:val="0"/>
        <w:tabs>
          <w:tab w:val="left" w:pos="416"/>
        </w:tabs>
        <w:autoSpaceDE w:val="0"/>
        <w:autoSpaceDN w:val="0"/>
        <w:spacing w:after="0" w:line="240" w:lineRule="auto"/>
        <w:jc w:val="both"/>
        <w:rPr>
          <w:rFonts w:ascii="Times New Roman" w:hAnsi="Times New Roman" w:cs="Times New Roman" w:eastAsia="Times New Roman"/>
          <w:szCs w:val="20"/>
        </w:rPr>
        <w:pStyle w:val="P68B1DB1-Normal14"/>
      </w:pPr>
      <w:r>
        <w:t xml:space="preserve">Οι υποχρεώσεις κοινοποίησης και αναστολής δεν αποσκοπούν στην απονομή δικαιωμάτων στους ιδιώτες. Κατά συνέπεια, η παραβίασή τους από κράτος μέλος δεν παρέχει, βάσει του δικαίου της Ένωσης, στους ιδιώτες το δικαίωμα να αξιώσουν αποζημίωση από το εν λόγω κράτος μέλος για οποιαδήποτε εξ αυτών προκληθείσα ζημία.</w:t>
      </w:r>
    </w:p>
    <w:p w14:paraId="3D1B5CA6" w14:textId="77777777">
      <w:pPr>
        <w:widowControl w:val="0"/>
        <w:tabs>
          <w:tab w:val="left" w:pos="416"/>
        </w:tabs>
        <w:autoSpaceDE w:val="0"/>
        <w:autoSpaceDN w:val="0"/>
        <w:spacing w:after="0" w:line="240" w:lineRule="auto"/>
        <w:jc w:val="both"/>
        <w:rPr>
          <w:rFonts w:ascii="Times New Roman" w:hAnsi="Times New Roman" w:cs="Times New Roman" w:eastAsia="Times New Roman"/>
          <w:szCs w:val="20"/>
        </w:rPr>
      </w:pPr>
    </w:p>
    <w:p w14:paraId="689BAE8B" w14:textId="2C62B4CE">
      <w:pPr>
        <w:pStyle w:val="P68B1DB1-Normal15"/>
        <w:widowControl w:val="0"/>
        <w:tabs>
          <w:tab w:val="left" w:pos="416"/>
        </w:tabs>
        <w:autoSpaceDE w:val="0"/>
        <w:autoSpaceDN w:val="0"/>
        <w:spacing w:after="0" w:line="240" w:lineRule="auto"/>
        <w:ind w:left="567"/>
        <w:jc w:val="both"/>
      </w:pPr>
      <w:r>
        <w:t xml:space="preserve">«108. Συναφώς, από τη νομολογία προκύπτει ότι, μολονότι η οδηγία 98/34 αποσκοπεί στη διασφάλιση της ελεύθερης κυκλοφορίας των εμπορευμάτων, οργανώνοντας προληπτικό έλεγχο, η αποτελεσματικότητα του οποίου απαιτεί τη μη εφαρμογή, στο πλαίσιο διαφοράς μεταξύ ιδιωτών, εθνικού μέτρου ληφθέντος κατά παράβαση των άρθρων 8 και 9 της οδηγίας αυτής, η οδηγία αυτή ουδόλως ορίζει το καθ’ ύλην πεδίο εφαρμογής του κανόνα δικαίου βάσει του οποίου το εθνικό δικαστήριο πρέπει να αποφανθεί επί της διαφοράς της οποίας έχει επιληφθεί. Επομένως, η εν λόγω οδηγία δεν δημιουργεί ούτε δικαιώματα ούτε υποχρεώσεις για τους ιδιώτες (απόφαση Unilever, C-443/98, ΕΤΘΑ, σκέψη 51).</w:t>
      </w:r>
    </w:p>
    <w:p w14:paraId="3783F5A5" w14:textId="77777777">
      <w:pPr>
        <w:pStyle w:val="P68B1DB1-Normal15"/>
        <w:widowControl w:val="0"/>
        <w:tabs>
          <w:tab w:val="left" w:pos="416"/>
        </w:tabs>
        <w:autoSpaceDE w:val="0"/>
        <w:autoSpaceDN w:val="0"/>
        <w:spacing w:after="0" w:line="240" w:lineRule="auto"/>
        <w:ind w:left="567"/>
        <w:jc w:val="both"/>
      </w:pPr>
    </w:p>
    <w:p w14:paraId="6B92FF8B" w14:textId="78BC6D0C">
      <w:pPr>
        <w:pStyle w:val="P68B1DB1-Normal15"/>
        <w:widowControl w:val="0"/>
        <w:tabs>
          <w:tab w:val="left" w:pos="416"/>
        </w:tabs>
        <w:autoSpaceDE w:val="0"/>
        <w:autoSpaceDN w:val="0"/>
        <w:spacing w:after="0" w:line="240" w:lineRule="auto"/>
        <w:ind w:left="567"/>
        <w:jc w:val="both"/>
        <w:rPr>
          <w:iCs/>
        </w:rPr>
      </w:pPr>
      <w:r>
        <w:t xml:space="preserve">109. Υπό τις συνθήκες αυτές, πρέπει να γίνει δεκτό ότι δεν πληρούται η πρώτη από τις προϋποθέσεις που απαριθμούνται στην παράγραφο 104, οπότε οι ιδιώτες δεν μπορούν να επικαλεστούν την παράβαση των άρθρων 8 και 9 της οδηγίας αυτής για να θεμελιώσουν την ευθύνη του οικείου κράτους μέλους βάσει του δικαίου της Ένωσης.»</w:t>
      </w:r>
    </w:p>
    <w:p w14:paraId="73CEA11C" w14:textId="62A8886A">
      <w:pPr>
        <w:pStyle w:val="P68B1DB1-Normal29"/>
        <w:spacing w:after="0" w:line="240" w:lineRule="auto"/>
        <w:rPr>
          <w:i/>
          <w:iCs/>
        </w:rPr>
      </w:pPr>
      <w:r>
        <w:br w:type="page"/>
      </w:r>
    </w:p>
    <w:p w14:paraId="1EE58DB8" w14:textId="063FB854">
      <w:pPr>
        <w:pStyle w:val="P68B1DB1-Heading24"/>
        <w:numPr>
          <w:ilvl w:val="0"/>
          <w:numId w:val="38"/>
        </w:numPr>
        <w:spacing w:before="0" w:after="0"/>
        <w:jc w:val="center"/>
        <w:rPr>
          <w:bCs/>
          <w:color w:val="auto"/>
        </w:rPr>
      </w:pPr>
      <w:bookmarkStart w:id="202" w:name="_Ref194943555"/>
      <w:bookmarkStart w:id="203" w:name="_Toc198043914"/>
      <w:bookmarkStart w:id="204" w:name="_Toc203035688"/>
      <w:r>
        <w:t xml:space="preserve">Διαδικασία επί παραβάσει</w:t>
      </w:r>
      <w:bookmarkEnd w:id="202"/>
      <w:bookmarkEnd w:id="203"/>
      <w:bookmarkEnd w:id="204"/>
    </w:p>
    <w:p w14:paraId="7CCCC140"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2B64A1E" w14:textId="69A5682B">
      <w:pPr>
        <w:pStyle w:val="P68B1DB1-Normal13"/>
        <w:widowControl w:val="0"/>
        <w:autoSpaceDE w:val="0"/>
        <w:autoSpaceDN w:val="0"/>
        <w:spacing w:after="0" w:line="240" w:lineRule="auto"/>
        <w:jc w:val="both"/>
        <w:outlineLvl w:val="1"/>
      </w:pPr>
      <w:hyperlink r:id="rId112" w:history="1">
        <w:r>
          <w:rPr>
            <w:color w:val="0000FF"/>
            <w:u w:val="single"/>
          </w:rPr>
          <w:t xml:space="preserve">Απόφαση της 4 Ιουνίου 2009</w:t>
        </w:r>
      </w:hyperlink>
      <w:r>
        <w:t xml:space="preserve"> στην υπόθεση C-109/08, Επιτροπή κατά Ελλάδας, σκέψεις 14 έως 17</w:t>
      </w:r>
      <w:bookmarkEnd w:id="205"/>
    </w:p>
    <w:p w14:paraId="764614BF" w14:textId="77777777">
      <w:pPr>
        <w:widowControl w:val="0"/>
        <w:autoSpaceDE w:val="0"/>
        <w:autoSpaceDN w:val="0"/>
        <w:spacing w:after="0" w:line="240" w:lineRule="auto"/>
        <w:jc w:val="both"/>
        <w:rPr>
          <w:rFonts w:ascii="Times New Roman" w:hAnsi="Times New Roman" w:cs="Times New Roman" w:eastAsia="Times New Roman"/>
          <w:szCs w:val="20"/>
        </w:rPr>
      </w:pPr>
    </w:p>
    <w:p w14:paraId="2AE57DC7" w14:textId="4EB830F5">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Απόφαση του Δικαστηρίου με την οποία διαπιστώνεται παράβαση της υποχρεώσεως κοινοποιήσεως πρέπει να εκτελεστεί αμέσως, προκειμένου να διασφαλιστεί η ομοιόμορφη εφαρμογή του δικαίου της Ένωσης. Η ύπαρξη τέτοιας παραβάσεως κατά την έννοια του άρθρου 228 ΕΚ εκτιμάται κατά τη λήξη της ταχθείσας με την αιτιολογημένη γνώμη προθεσμίας. Εν προκειμένω, δεδομένου ότι η Ελληνική Δημοκρατία δεν έλαβε μέτρα πριν από τη λήξη της ταχθείσας προθεσμίας, παρέβη τις υποχρεώσεις που υπέχει από το άρθρο 228 παράγραφος 1, ΕΚ.</w:t>
      </w:r>
    </w:p>
    <w:p w14:paraId="09B61ED9" w14:textId="77777777">
      <w:pPr>
        <w:widowControl w:val="0"/>
        <w:autoSpaceDE w:val="0"/>
        <w:autoSpaceDN w:val="0"/>
        <w:spacing w:after="0" w:line="240" w:lineRule="auto"/>
        <w:jc w:val="both"/>
        <w:rPr>
          <w:rFonts w:ascii="Times New Roman" w:hAnsi="Times New Roman" w:cs="Times New Roman" w:eastAsia="Times New Roman"/>
          <w:szCs w:val="20"/>
        </w:rPr>
      </w:pPr>
    </w:p>
    <w:p w14:paraId="387679BD" w14:textId="0C49733C">
      <w:pPr>
        <w:spacing w:after="0" w:line="240" w:lineRule="auto"/>
        <w:ind w:left="567"/>
        <w:jc w:val="both"/>
        <w:rPr>
          <w:rFonts w:ascii="Times New Roman" w:hAnsi="Times New Roman" w:cs="Times New Roman"/>
          <w:i/>
          <w:iCs/>
          <w:sz w:val="20"/>
          <w:szCs w:val="20"/>
        </w:rPr>
        <w:pStyle w:val="P68B1DB1-Normal20"/>
      </w:pPr>
      <w:r>
        <w:t>«</w:t>
      </w:r>
      <w:bookmarkStart w:id="206" w:name="point14"/>
      <w:r>
        <w:t>14</w:t>
      </w:r>
      <w:bookmarkEnd w:id="206"/>
      <w:r>
        <w:t xml:space="preserve">. Μολονότι το άρθρο 228 ΕΚ δεν διευκρινίζει την προθεσμία εντός της οποίας πρέπει να εκτελεστεί απόφαση του Δικαστηρίου με την οποία διαπιστώνεται παράβαση κράτους μέλους, από πάγια νομολογία προκύπτει ότι η σημασία της άμεσης και ομοιόμορφης εφαρμογής του κοινοτικού δικαίου συνεπάγεται ότι η διαδικασία εκτελέσεως πρέπει να κινείται αμέσως και να ολοκληρώνεται το συντομότερο δυνατόν (βλ., μεταξύ άλλων, απόφαση της 2008ης</w:t>
        <w:noBreakHyphen/>
        <w:t xml:space="preserve">Οκτωβρίου 0000, C-121/07, Επιτροπή κατά Γαλλίας, Συλλογή 21, σ. I, σκέψη</w:t>
        <w:noBreakHyphen/>
        <w:t xml:space="preserve">και εκεί παρατιθέμενη νομολογία).</w:t>
      </w:r>
    </w:p>
    <w:p w14:paraId="79FE7B6A" w14:textId="77777777">
      <w:pPr>
        <w:spacing w:after="0" w:line="240" w:lineRule="auto"/>
        <w:ind w:left="567"/>
        <w:jc w:val="both"/>
        <w:rPr>
          <w:rFonts w:ascii="Times New Roman" w:hAnsi="Times New Roman" w:cs="Times New Roman"/>
          <w:i/>
          <w:iCs/>
          <w:sz w:val="20"/>
          <w:szCs w:val="20"/>
        </w:rPr>
      </w:pPr>
    </w:p>
    <w:p w14:paraId="34290D7F" w14:textId="2B2B8F25">
      <w:pPr>
        <w:spacing w:after="0" w:line="240" w:lineRule="auto"/>
        <w:ind w:left="567"/>
        <w:jc w:val="both"/>
        <w:rPr>
          <w:rFonts w:ascii="Times New Roman" w:hAnsi="Times New Roman" w:cs="Times New Roman"/>
          <w:i/>
          <w:iCs/>
          <w:sz w:val="20"/>
          <w:szCs w:val="20"/>
        </w:rPr>
        <w:pStyle w:val="P68B1DB1-Normal20"/>
      </w:pPr>
      <w:bookmarkStart w:id="207" w:name="point15"/>
      <w:r>
        <w:t>15</w:t>
      </w:r>
      <w:bookmarkEnd w:id="207"/>
      <w:r>
        <w:t xml:space="preserve">. Επιπλέον, η ημερομηνία αναφοράς για την εκτίμηση της υπάρξεως παραβάσεως δυνάμει του άρθρου 228 ΕΚ είναι η ημερομηνία λήξεως της προθεσμίας που τάχθηκε με την αιτιολογημένη γνώμη που εκδόθηκε δυνάμει της διατάξεως αυτής (βλ., μεταξύ άλλων, απόφαση της 2007ης Οκτωβρίου 6153</w:t>
        <w:noBreakHyphen/>
        <w:t xml:space="preserve">, 503/04, Επιτροπή κατά Γερμανίας, Συλλογή</w:t>
        <w:noBreakHyphen/>
        <w:t xml:space="preserve">19, σ. I, σκέψη και</w:t>
        <w:noBreakHyphen/>
        <w:t xml:space="preserve">εκεί παρατιθέμενη νομολογία).</w:t>
      </w:r>
    </w:p>
    <w:p w14:paraId="473BFE9F" w14:textId="77777777">
      <w:pPr>
        <w:spacing w:after="0" w:line="240" w:lineRule="auto"/>
        <w:ind w:left="567"/>
        <w:jc w:val="both"/>
        <w:rPr>
          <w:rFonts w:ascii="Times New Roman" w:hAnsi="Times New Roman" w:cs="Times New Roman"/>
          <w:i/>
          <w:iCs/>
          <w:sz w:val="20"/>
          <w:szCs w:val="20"/>
        </w:rPr>
      </w:pPr>
    </w:p>
    <w:p w14:paraId="25F77FB4" w14:textId="525C8130">
      <w:pPr>
        <w:spacing w:after="0" w:line="240" w:lineRule="auto"/>
        <w:ind w:left="567"/>
        <w:jc w:val="both"/>
        <w:rPr>
          <w:rFonts w:ascii="Times New Roman" w:hAnsi="Times New Roman" w:cs="Times New Roman"/>
          <w:i/>
          <w:iCs/>
          <w:sz w:val="20"/>
          <w:szCs w:val="20"/>
        </w:rPr>
        <w:pStyle w:val="P68B1DB1-Normal20"/>
      </w:pPr>
      <w:bookmarkStart w:id="208" w:name="point16"/>
      <w:r>
        <w:t>16</w:t>
      </w:r>
      <w:bookmarkEnd w:id="208"/>
      <w:r>
        <w:t xml:space="preserve">. Εν προκειμένω, επιβάλλεται η διαπίστωση ότι, κατά την ημερομηνία λήξεως της δίμηνης προθεσμίας που τάχθηκε με την αιτιολογημένη γνώμη της 29 Ιουνίου 2007, η Ελληνική Δημοκρατία δεν είχε λάβει κανένα από τα αναγκαία μέτρα για την εκτέλεση της προπαρατεθείσας αποφάσεως</w:t>
        <w:noBreakHyphen/>
        <w:t xml:space="preserve">65/05, Επιτροπή κατά Ελλάδας, δεδομένου ότι το σχέδιο ενός πρώτου μέτρου για την εκτέλεση της αποφάσεως αυτής κοινοποιήθηκε στην Επιτροπή μόλις στις 7 Μαΐου 2008.</w:t>
      </w:r>
    </w:p>
    <w:p w14:paraId="42C25375" w14:textId="77777777">
      <w:pPr>
        <w:spacing w:after="0" w:line="240" w:lineRule="auto"/>
        <w:ind w:left="567"/>
        <w:jc w:val="both"/>
        <w:rPr>
          <w:rFonts w:ascii="Times New Roman" w:hAnsi="Times New Roman" w:cs="Times New Roman"/>
          <w:i/>
          <w:iCs/>
          <w:sz w:val="20"/>
          <w:szCs w:val="20"/>
        </w:rPr>
      </w:pPr>
    </w:p>
    <w:p w14:paraId="4F21B78F" w14:textId="2C79CD2A">
      <w:pPr>
        <w:spacing w:after="0" w:line="240" w:lineRule="auto"/>
        <w:ind w:left="567"/>
        <w:jc w:val="both"/>
        <w:rPr>
          <w:rFonts w:ascii="Times New Roman" w:hAnsi="Times New Roman" w:cs="Times New Roman"/>
          <w:i/>
          <w:iCs/>
          <w:sz w:val="20"/>
          <w:szCs w:val="20"/>
        </w:rPr>
        <w:pStyle w:val="P68B1DB1-Normal20"/>
      </w:pPr>
      <w:bookmarkStart w:id="209" w:name="point17"/>
      <w:r>
        <w:t>17</w:t>
      </w:r>
      <w:bookmarkEnd w:id="209"/>
      <w:r>
        <w:t xml:space="preserve">. Υπό τις συνθήκες αυτές, επιβάλλεται η διαπίστωση ότι, όπως αναγνωρίζει η ίδια, η Ελληνική Δημοκρατία παρέβη τις υποχρεώσεις που υπέχει από το άρθρο 228 παράγραφος 1, ΕΚ.»</w:t>
      </w:r>
    </w:p>
    <w:sectPr>
      <w:headerReference w:type="even" r:id="rId113"/>
      <w:headerReference w:type="default" r:id="rId114"/>
      <w:footerReference w:type="even" r:id="rId115"/>
      <w:footerReference w:type="default" r:id="rId116"/>
      <w:headerReference w:type="first" r:id="rId117"/>
      <w:footerReference w:type="first" r:id="rId1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82E30" w14:textId="77777777">
      <w:pPr>
        <w:spacing w:after="0" w:line="240" w:lineRule="auto"/>
      </w:pPr>
      <w:r>
        <w:separator/>
      </w:r>
    </w:p>
  </w:endnote>
  <w:endnote w:type="continuationSeparator" w:id="0">
    <w:p w14:paraId="42F9C42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76B0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162115"/>
      <w:docPartObj>
        <w:docPartGallery w:val="Page Numbers (Bottom of Page)"/>
        <w:docPartUnique/>
      </w:docPartObj>
    </w:sdtPr>
    <w:sdtEndPr>
      <w:rPr>
        <w:noProof/>
      </w:rPr>
    </w:sdtEndPr>
    <w:sdtContent>
      <w:p w14:paraId="169A474F" w14:textId="1212D73C">
        <w:pPr>
          <w:pStyle w:val="Footer"/>
          <w:jc w:val="center"/>
        </w:pPr>
        <w:r>
          <w:fldChar w:fldCharType="begin"/>
        </w:r>
        <w:r>
          <w:instrText xml:space="preserve"> PAGE   \* MERGEFORMAT </w:instrText>
        </w:r>
        <w:r>
          <w:fldChar w:fldCharType="separate"/>
        </w:r>
        <w:r>
          <w:t>2</w:t>
        </w:r>
        <w:r>
          <w:fldChar w:fldCharType="end"/>
        </w:r>
      </w:p>
    </w:sdtContent>
  </w:sdt>
  <w:p w14:paraId="3E6C886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916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3A389" w14:textId="77777777">
      <w:pPr>
        <w:spacing w:after="0" w:line="240" w:lineRule="auto"/>
      </w:pPr>
      <w:r>
        <w:separator/>
      </w:r>
    </w:p>
  </w:footnote>
  <w:footnote w:type="continuationSeparator" w:id="0">
    <w:p w14:paraId="415CF120" w14:textId="77777777">
      <w:pPr>
        <w:spacing w:after="0" w:line="240" w:lineRule="auto"/>
      </w:pPr>
      <w:r>
        <w:continuationSeparator/>
      </w:r>
    </w:p>
  </w:footnote>
  <w:footnote w:id="1">
    <w:p w14:paraId="1FA0C861" w14:textId="399A73E6">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Η σύγκριση μεταξύ της οδηγίας 2015/1535 και της οδηγίας 83/189/ΕΟΚ βασίζεται στις αρχικές μη τροποποιημένες πράξεις, ενώ η σύγκριση της οδηγίας 98/34/ΕΚ βασίζεται στην έκδοση που τροποποιήθηκε με την οδηγία 98/48/ΕΚ της 20 Ιουλίου 1998.</w:t>
      </w:r>
    </w:p>
  </w:footnote>
  <w:footnote w:id="2">
    <w:p w14:paraId="76340588" w14:textId="755D0E80">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Οδηγία (ΕΕ) 2015/1535 του Ευρωπαϊκού Κοινοβουλίου και του Συμβουλίου της 9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(κωδικοποιημένο κείμενο)</w:t>
      </w:r>
    </w:p>
  </w:footnote>
  <w:footnote w:id="3">
    <w:p w14:paraId="44C51982" w14:textId="0D8DBE21">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Οδηγία 98/34/ΕΚ του Ευρωπαϊκού Κοινοβουλίου και του Συμβουλίου, της 22 Ιουνίου 1998, για την καθιέρωση μιας διαδικασίας πληροφόρησης στον τομέα των τεχνικών προτύπων και προδιαγραφών, όπως τροποποιήθηκε από την οδηγία 98/48/ΕΚ της 20 Ιουλίου 1998 (συμπεριλαμβανομένων των κανόνων για τις υπηρεσίες)</w:t>
      </w:r>
    </w:p>
  </w:footnote>
  <w:footnote w:id="4">
    <w:p w14:paraId="587067AB" w14:textId="06FBABC3">
      <w:pPr>
        <w:pStyle w:val="FootnoteText"/>
        <w:jc w:val="both"/>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Οδηγία 83/189/ΕΟΚ του Συμβουλίου, της 28 Μαρτίου 1983, για την καθιέρωση μιας διαδικασίας πληροφόρησης στον τομέα των τεχνικών προτύπων και προδιαγραφών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FD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9FF6" w14:textId="236766A6">
    <w:pPr>
      <w:pStyle w:val="P68B1DB1-Title1"/>
      <w:spacing w:before="0"/>
      <w:ind w:left="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EFB8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225A"/>
    <w:multiLevelType w:val="hybridMultilevel"/>
    <w:tmpl w:val="010ED82C"/>
    <w:lvl w:ilvl="0" w:tplc="F5D80FDE">
      <w:start w:val="1"/>
      <w:numFmt w:val="lowerLetter"/>
      <w:lvlText w:val="%1."/>
      <w:lvlJc w:val="left"/>
      <w:pPr>
        <w:ind w:left="1440" w:hanging="360"/>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 w15:restartNumberingAfterBreak="0">
    <w:nsid w:val="0AF1625A"/>
    <w:multiLevelType w:val="hybridMultilevel"/>
    <w:tmpl w:val="A2B2F5CC"/>
    <w:lvl w:ilvl="0" w:tplc="20CA2DBA">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 w15:restartNumberingAfterBreak="0">
    <w:nsid w:val="0DC43F72"/>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49310EC"/>
    <w:multiLevelType w:val="hybridMultilevel"/>
    <w:tmpl w:val="0C2EB568"/>
    <w:lvl w:ilvl="0" w:tplc="7E12F6AE">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4" w15:restartNumberingAfterBreak="0">
    <w:nsid w:val="167F49A9"/>
    <w:multiLevelType w:val="hybridMultilevel"/>
    <w:tmpl w:val="5B0068A6"/>
    <w:lvl w:ilvl="0" w:tplc="3A24D51C">
      <w:start w:val="1"/>
      <w:numFmt w:val="decimal"/>
      <w:lvlText w:val="%1)"/>
      <w:lvlJc w:val="left"/>
      <w:pPr>
        <w:ind w:left="1020" w:hanging="360"/>
      </w:pPr>
    </w:lvl>
    <w:lvl w:ilvl="1" w:tplc="125A5C02">
      <w:start w:val="1"/>
      <w:numFmt w:val="decimal"/>
      <w:lvlText w:val="%2)"/>
      <w:lvlJc w:val="left"/>
      <w:pPr>
        <w:ind w:left="1020" w:hanging="360"/>
      </w:pPr>
    </w:lvl>
    <w:lvl w:ilvl="2" w:tplc="1AFA6D0C">
      <w:start w:val="1"/>
      <w:numFmt w:val="decimal"/>
      <w:lvlText w:val="%3)"/>
      <w:lvlJc w:val="left"/>
      <w:pPr>
        <w:ind w:left="1020" w:hanging="360"/>
      </w:pPr>
    </w:lvl>
    <w:lvl w:ilvl="3" w:tplc="CBDAF276">
      <w:start w:val="1"/>
      <w:numFmt w:val="decimal"/>
      <w:lvlText w:val="%4)"/>
      <w:lvlJc w:val="left"/>
      <w:pPr>
        <w:ind w:left="1020" w:hanging="360"/>
      </w:pPr>
    </w:lvl>
    <w:lvl w:ilvl="4" w:tplc="2166B310">
      <w:start w:val="1"/>
      <w:numFmt w:val="decimal"/>
      <w:lvlText w:val="%5)"/>
      <w:lvlJc w:val="left"/>
      <w:pPr>
        <w:ind w:left="1020" w:hanging="360"/>
      </w:pPr>
    </w:lvl>
    <w:lvl w:ilvl="5" w:tplc="04D0DE84">
      <w:start w:val="1"/>
      <w:numFmt w:val="decimal"/>
      <w:lvlText w:val="%6)"/>
      <w:lvlJc w:val="left"/>
      <w:pPr>
        <w:ind w:left="1020" w:hanging="360"/>
      </w:pPr>
    </w:lvl>
    <w:lvl w:ilvl="6" w:tplc="1E228612">
      <w:start w:val="1"/>
      <w:numFmt w:val="decimal"/>
      <w:lvlText w:val="%7)"/>
      <w:lvlJc w:val="left"/>
      <w:pPr>
        <w:ind w:left="1020" w:hanging="360"/>
      </w:pPr>
    </w:lvl>
    <w:lvl w:ilvl="7" w:tplc="D7021F9C">
      <w:start w:val="1"/>
      <w:numFmt w:val="decimal"/>
      <w:lvlText w:val="%8)"/>
      <w:lvlJc w:val="left"/>
      <w:pPr>
        <w:ind w:left="1020" w:hanging="360"/>
      </w:pPr>
    </w:lvl>
    <w:lvl w:ilvl="8" w:tplc="1A70A482">
      <w:start w:val="1"/>
      <w:numFmt w:val="decimal"/>
      <w:lvlText w:val="%9)"/>
      <w:lvlJc w:val="left"/>
      <w:pPr>
        <w:ind w:left="1020" w:hanging="360"/>
      </w:pPr>
    </w:lvl>
  </w:abstractNum>
  <w:abstractNum w:abstractNumId="5" w15:restartNumberingAfterBreak="0">
    <w:nsid w:val="16C372E0"/>
    <w:multiLevelType w:val="hybridMultilevel"/>
    <w:tmpl w:val="F2F082AA"/>
    <w:lvl w:ilvl="0" w:tplc="0FDE36C8">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6" w15:restartNumberingAfterBreak="0">
    <w:nsid w:val="175D724D"/>
    <w:multiLevelType w:val="hybridMultilevel"/>
    <w:tmpl w:val="FE303218"/>
    <w:lvl w:ilvl="0" w:tplc="B44444F0">
      <w:start w:val="1"/>
      <w:numFmt w:val="bullet"/>
      <w:lvlText w:val="-"/>
      <w:lvlJc w:val="left"/>
      <w:pPr>
        <w:ind w:left="927" w:hanging="360"/>
      </w:pPr>
      <w:rPr>
        <w:rFonts w:ascii="Aptos" w:eastAsiaTheme="minorHAnsi" w:hAnsi="Aptos" w:cstheme="minorBidi"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7" w15:restartNumberingAfterBreak="0">
    <w:nsid w:val="17A252B1"/>
    <w:multiLevelType w:val="hybridMultilevel"/>
    <w:tmpl w:val="936870DE"/>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D021F90"/>
    <w:multiLevelType w:val="hybridMultilevel"/>
    <w:tmpl w:val="BAFE4132"/>
    <w:lvl w:ilvl="0" w:tplc="7F08DD2E">
      <w:start w:val="4"/>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9" w15:restartNumberingAfterBreak="0">
    <w:nsid w:val="1F426828"/>
    <w:multiLevelType w:val="hybridMultilevel"/>
    <w:tmpl w:val="EF5AD44C"/>
    <w:lvl w:ilvl="0" w:tplc="33F6B108">
      <w:start w:val="1"/>
      <w:numFmt w:val="decimal"/>
      <w:lvlText w:val="%1."/>
      <w:lvlJc w:val="left"/>
      <w:pPr>
        <w:ind w:left="927" w:hanging="360"/>
      </w:pPr>
      <w:rPr>
        <w:rFonts w:hint="default"/>
      </w:rPr>
    </w:lvl>
    <w:lvl w:ilvl="1" w:tplc="18090019">
      <w:start w:val="1"/>
      <w:numFmt w:val="lowerLetter"/>
      <w:lvlText w:val="%2."/>
      <w:lvlJc w:val="left"/>
      <w:pPr>
        <w:ind w:left="1647" w:hanging="360"/>
      </w:pPr>
    </w:lvl>
    <w:lvl w:ilvl="2" w:tplc="1809001B">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0" w15:restartNumberingAfterBreak="0">
    <w:nsid w:val="21D2371B"/>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28E67F7"/>
    <w:multiLevelType w:val="hybridMultilevel"/>
    <w:tmpl w:val="825EF55E"/>
    <w:lvl w:ilvl="0" w:tplc="E1C26E36">
      <w:start w:val="2"/>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5682F2F"/>
    <w:multiLevelType w:val="hybridMultilevel"/>
    <w:tmpl w:val="6242F30A"/>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5F42A0D"/>
    <w:multiLevelType w:val="hybridMultilevel"/>
    <w:tmpl w:val="AEB26076"/>
    <w:lvl w:ilvl="0" w:tplc="5A141406">
      <w:start w:val="1"/>
      <w:numFmt w:val="bullet"/>
      <w:lvlText w:val="-"/>
      <w:lvlJc w:val="left"/>
      <w:pPr>
        <w:ind w:left="927" w:hanging="360"/>
      </w:pPr>
      <w:rPr>
        <w:rFonts w:ascii="Aptos" w:eastAsiaTheme="minorHAnsi" w:hAnsi="Aptos" w:cstheme="minorBidi"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14" w15:restartNumberingAfterBreak="0">
    <w:nsid w:val="2D025A04"/>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DC75B28"/>
    <w:multiLevelType w:val="hybridMultilevel"/>
    <w:tmpl w:val="59601DDA"/>
    <w:lvl w:ilvl="0" w:tplc="1A00D246">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6" w15:restartNumberingAfterBreak="0">
    <w:nsid w:val="2F6B6AB7"/>
    <w:multiLevelType w:val="hybridMultilevel"/>
    <w:tmpl w:val="D0AC01D8"/>
    <w:lvl w:ilvl="0" w:tplc="91B8A490">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7" w15:restartNumberingAfterBreak="0">
    <w:nsid w:val="35303A97"/>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7296099"/>
    <w:multiLevelType w:val="hybridMultilevel"/>
    <w:tmpl w:val="2A705CA2"/>
    <w:lvl w:ilvl="0" w:tplc="7F08DD2E">
      <w:start w:val="1"/>
      <w:numFmt w:val="lowerLetter"/>
      <w:lvlText w:val="%1."/>
      <w:lvlJc w:val="left"/>
      <w:pPr>
        <w:ind w:left="1440" w:hanging="360"/>
      </w:pPr>
      <w:rPr>
        <w:i w:val="0"/>
        <w:i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73415B6"/>
    <w:multiLevelType w:val="hybridMultilevel"/>
    <w:tmpl w:val="B554F348"/>
    <w:lvl w:ilvl="0" w:tplc="15F4A3B4">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0" w15:restartNumberingAfterBreak="0">
    <w:nsid w:val="37B979D4"/>
    <w:multiLevelType w:val="hybridMultilevel"/>
    <w:tmpl w:val="2B5A74C2"/>
    <w:lvl w:ilvl="0" w:tplc="7D78FE44">
      <w:start w:val="5"/>
      <w:numFmt w:val="bullet"/>
      <w:lvlText w:val="-"/>
      <w:lvlJc w:val="left"/>
      <w:pPr>
        <w:ind w:left="927" w:hanging="360"/>
      </w:pPr>
      <w:rPr>
        <w:rFonts w:ascii="Times New Roman" w:eastAsia="Times New Roman" w:hAnsi="Times New Roman" w:cs="Times New Roman"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1" w15:restartNumberingAfterBreak="0">
    <w:nsid w:val="41841F32"/>
    <w:multiLevelType w:val="hybridMultilevel"/>
    <w:tmpl w:val="43346CB6"/>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390360F"/>
    <w:multiLevelType w:val="hybridMultilevel"/>
    <w:tmpl w:val="4A62FD58"/>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3" w15:restartNumberingAfterBreak="0">
    <w:nsid w:val="51601A36"/>
    <w:multiLevelType w:val="hybridMultilevel"/>
    <w:tmpl w:val="3022F154"/>
    <w:lvl w:ilvl="0" w:tplc="CF547ED6">
      <w:start w:val="1"/>
      <w:numFmt w:val="upperRoman"/>
      <w:lvlText w:val="%1."/>
      <w:lvlJc w:val="left"/>
      <w:pPr>
        <w:ind w:left="1080" w:hanging="720"/>
      </w:pPr>
      <w:rPr>
        <w:rFonts w:hint="default"/>
        <w:sz w:val="40"/>
        <w:szCs w:val="4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5D04C1A"/>
    <w:multiLevelType w:val="hybridMultilevel"/>
    <w:tmpl w:val="D334EE56"/>
    <w:lvl w:ilvl="0" w:tplc="A4560BD8">
      <w:start w:val="1"/>
      <w:numFmt w:val="upperRoman"/>
      <w:lvlText w:val="%1."/>
      <w:lvlJc w:val="left"/>
      <w:pPr>
        <w:ind w:left="2715" w:hanging="720"/>
      </w:pPr>
      <w:rPr>
        <w:rFonts w:hint="default"/>
      </w:rPr>
    </w:lvl>
    <w:lvl w:ilvl="1" w:tplc="18090019" w:tentative="1">
      <w:start w:val="1"/>
      <w:numFmt w:val="lowerLetter"/>
      <w:lvlText w:val="%2."/>
      <w:lvlJc w:val="left"/>
      <w:pPr>
        <w:ind w:left="3075" w:hanging="360"/>
      </w:pPr>
    </w:lvl>
    <w:lvl w:ilvl="2" w:tplc="1809001B" w:tentative="1">
      <w:start w:val="1"/>
      <w:numFmt w:val="lowerRoman"/>
      <w:lvlText w:val="%3."/>
      <w:lvlJc w:val="right"/>
      <w:pPr>
        <w:ind w:left="3795" w:hanging="180"/>
      </w:pPr>
    </w:lvl>
    <w:lvl w:ilvl="3" w:tplc="1809000F" w:tentative="1">
      <w:start w:val="1"/>
      <w:numFmt w:val="decimal"/>
      <w:lvlText w:val="%4."/>
      <w:lvlJc w:val="left"/>
      <w:pPr>
        <w:ind w:left="4515" w:hanging="360"/>
      </w:pPr>
    </w:lvl>
    <w:lvl w:ilvl="4" w:tplc="18090019" w:tentative="1">
      <w:start w:val="1"/>
      <w:numFmt w:val="lowerLetter"/>
      <w:lvlText w:val="%5."/>
      <w:lvlJc w:val="left"/>
      <w:pPr>
        <w:ind w:left="5235" w:hanging="360"/>
      </w:pPr>
    </w:lvl>
    <w:lvl w:ilvl="5" w:tplc="1809001B" w:tentative="1">
      <w:start w:val="1"/>
      <w:numFmt w:val="lowerRoman"/>
      <w:lvlText w:val="%6."/>
      <w:lvlJc w:val="right"/>
      <w:pPr>
        <w:ind w:left="5955" w:hanging="180"/>
      </w:pPr>
    </w:lvl>
    <w:lvl w:ilvl="6" w:tplc="1809000F" w:tentative="1">
      <w:start w:val="1"/>
      <w:numFmt w:val="decimal"/>
      <w:lvlText w:val="%7."/>
      <w:lvlJc w:val="left"/>
      <w:pPr>
        <w:ind w:left="6675" w:hanging="360"/>
      </w:pPr>
    </w:lvl>
    <w:lvl w:ilvl="7" w:tplc="18090019" w:tentative="1">
      <w:start w:val="1"/>
      <w:numFmt w:val="lowerLetter"/>
      <w:lvlText w:val="%8."/>
      <w:lvlJc w:val="left"/>
      <w:pPr>
        <w:ind w:left="7395" w:hanging="360"/>
      </w:pPr>
    </w:lvl>
    <w:lvl w:ilvl="8" w:tplc="1809001B" w:tentative="1">
      <w:start w:val="1"/>
      <w:numFmt w:val="lowerRoman"/>
      <w:lvlText w:val="%9."/>
      <w:lvlJc w:val="right"/>
      <w:pPr>
        <w:ind w:left="8115" w:hanging="180"/>
      </w:pPr>
    </w:lvl>
  </w:abstractNum>
  <w:abstractNum w:abstractNumId="25" w15:restartNumberingAfterBreak="0">
    <w:nsid w:val="562A56D8"/>
    <w:multiLevelType w:val="hybridMultilevel"/>
    <w:tmpl w:val="B1C08C96"/>
    <w:lvl w:ilvl="0" w:tplc="8DE862CC">
      <w:start w:val="1"/>
      <w:numFmt w:val="decimal"/>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6" w15:restartNumberingAfterBreak="0">
    <w:nsid w:val="58835420"/>
    <w:multiLevelType w:val="hybridMultilevel"/>
    <w:tmpl w:val="3B7A2A46"/>
    <w:lvl w:ilvl="0" w:tplc="7F08DD2E">
      <w:start w:val="1"/>
      <w:numFmt w:val="lowerLetter"/>
      <w:lvlText w:val="%1."/>
      <w:lvlJc w:val="left"/>
      <w:pPr>
        <w:ind w:left="2160" w:hanging="360"/>
      </w:pPr>
      <w:rPr>
        <w:i w:val="0"/>
        <w:iCs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7" w15:restartNumberingAfterBreak="0">
    <w:nsid w:val="5A900DE7"/>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668261C9"/>
    <w:multiLevelType w:val="hybridMultilevel"/>
    <w:tmpl w:val="FC82B53A"/>
    <w:lvl w:ilvl="0" w:tplc="35C2C75E">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9" w15:restartNumberingAfterBreak="0">
    <w:nsid w:val="6B796262"/>
    <w:multiLevelType w:val="hybridMultilevel"/>
    <w:tmpl w:val="80723CDA"/>
    <w:lvl w:ilvl="0" w:tplc="295CF590">
      <w:start w:val="1"/>
      <w:numFmt w:val="upperRoman"/>
      <w:lvlText w:val="%1)"/>
      <w:lvlJc w:val="left"/>
      <w:pPr>
        <w:ind w:left="1080" w:hanging="720"/>
      </w:pPr>
      <w:rPr>
        <w:rFonts w:hint="default"/>
      </w:rPr>
    </w:lvl>
    <w:lvl w:ilvl="1" w:tplc="D658AE2E">
      <w:start w:val="1"/>
      <w:numFmt w:val="lowerLetter"/>
      <w:lvlText w:val="%2."/>
      <w:lvlJc w:val="left"/>
      <w:pPr>
        <w:ind w:left="1440" w:hanging="360"/>
      </w:pPr>
      <w:rPr>
        <w:b w:val="0"/>
        <w:bCs w:val="0"/>
        <w:i w:val="0"/>
        <w:iCs w:val="0"/>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D4B2126"/>
    <w:multiLevelType w:val="hybridMultilevel"/>
    <w:tmpl w:val="41F6FC34"/>
    <w:lvl w:ilvl="0" w:tplc="20302D40">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1" w15:restartNumberingAfterBreak="0">
    <w:nsid w:val="6D6D3A31"/>
    <w:multiLevelType w:val="hybridMultilevel"/>
    <w:tmpl w:val="34CCDBBE"/>
    <w:lvl w:ilvl="0" w:tplc="FFFFFFFF">
      <w:start w:val="1"/>
      <w:numFmt w:val="lowerLetter"/>
      <w:lvlText w:val="%1."/>
      <w:lvlJc w:val="left"/>
      <w:pPr>
        <w:ind w:left="21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DA4040B"/>
    <w:multiLevelType w:val="hybridMultilevel"/>
    <w:tmpl w:val="9DBCA204"/>
    <w:lvl w:ilvl="0" w:tplc="075CAACA">
      <w:start w:val="1"/>
      <w:numFmt w:val="lowerLetter"/>
      <w:lvlText w:val="%1."/>
      <w:lvlJc w:val="left"/>
      <w:pPr>
        <w:ind w:left="1440" w:hanging="360"/>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3" w15:restartNumberingAfterBreak="0">
    <w:nsid w:val="6F6B2BDA"/>
    <w:multiLevelType w:val="hybridMultilevel"/>
    <w:tmpl w:val="1A6CE3C2"/>
    <w:lvl w:ilvl="0" w:tplc="0B227EE8">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4" w15:restartNumberingAfterBreak="0">
    <w:nsid w:val="6FD45B5F"/>
    <w:multiLevelType w:val="hybridMultilevel"/>
    <w:tmpl w:val="BA76F484"/>
    <w:lvl w:ilvl="0" w:tplc="5B6842F8">
      <w:start w:val="1"/>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5" w15:restartNumberingAfterBreak="0">
    <w:nsid w:val="72EA3F19"/>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77C64A56"/>
    <w:multiLevelType w:val="hybridMultilevel"/>
    <w:tmpl w:val="34DAEC8C"/>
    <w:lvl w:ilvl="0" w:tplc="7F08DD2E">
      <w:start w:val="1"/>
      <w:numFmt w:val="lowerLetter"/>
      <w:lvlText w:val="%1."/>
      <w:lvlJc w:val="left"/>
      <w:pPr>
        <w:ind w:left="2160" w:hanging="360"/>
      </w:pPr>
      <w:rPr>
        <w:i w:val="0"/>
        <w:iCs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7" w15:restartNumberingAfterBreak="0">
    <w:nsid w:val="7DA32368"/>
    <w:multiLevelType w:val="hybridMultilevel"/>
    <w:tmpl w:val="17CEBB60"/>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689067590">
    <w:abstractNumId w:val="29"/>
  </w:num>
  <w:num w:numId="2" w16cid:durableId="1149712612">
    <w:abstractNumId w:val="22"/>
  </w:num>
  <w:num w:numId="3" w16cid:durableId="522597413">
    <w:abstractNumId w:val="18"/>
  </w:num>
  <w:num w:numId="4" w16cid:durableId="131093797">
    <w:abstractNumId w:val="3"/>
  </w:num>
  <w:num w:numId="5" w16cid:durableId="930895856">
    <w:abstractNumId w:val="8"/>
  </w:num>
  <w:num w:numId="6" w16cid:durableId="859314359">
    <w:abstractNumId w:val="26"/>
  </w:num>
  <w:num w:numId="7" w16cid:durableId="222370173">
    <w:abstractNumId w:val="33"/>
  </w:num>
  <w:num w:numId="8" w16cid:durableId="2057385159">
    <w:abstractNumId w:val="36"/>
  </w:num>
  <w:num w:numId="9" w16cid:durableId="1794322050">
    <w:abstractNumId w:val="0"/>
  </w:num>
  <w:num w:numId="10" w16cid:durableId="3677297">
    <w:abstractNumId w:val="17"/>
  </w:num>
  <w:num w:numId="11" w16cid:durableId="1485776725">
    <w:abstractNumId w:val="10"/>
  </w:num>
  <w:num w:numId="12" w16cid:durableId="882793964">
    <w:abstractNumId w:val="2"/>
  </w:num>
  <w:num w:numId="13" w16cid:durableId="1924220346">
    <w:abstractNumId w:val="35"/>
  </w:num>
  <w:num w:numId="14" w16cid:durableId="407272038">
    <w:abstractNumId w:val="14"/>
  </w:num>
  <w:num w:numId="15" w16cid:durableId="402528430">
    <w:abstractNumId w:val="27"/>
  </w:num>
  <w:num w:numId="16" w16cid:durableId="2008940943">
    <w:abstractNumId w:val="31"/>
  </w:num>
  <w:num w:numId="17" w16cid:durableId="29764232">
    <w:abstractNumId w:val="24"/>
  </w:num>
  <w:num w:numId="18" w16cid:durableId="1598323702">
    <w:abstractNumId w:val="11"/>
  </w:num>
  <w:num w:numId="19" w16cid:durableId="894586789">
    <w:abstractNumId w:val="20"/>
  </w:num>
  <w:num w:numId="20" w16cid:durableId="935164786">
    <w:abstractNumId w:val="19"/>
  </w:num>
  <w:num w:numId="21" w16cid:durableId="1832065826">
    <w:abstractNumId w:val="9"/>
  </w:num>
  <w:num w:numId="22" w16cid:durableId="576403216">
    <w:abstractNumId w:val="28"/>
  </w:num>
  <w:num w:numId="23" w16cid:durableId="539055433">
    <w:abstractNumId w:val="5"/>
  </w:num>
  <w:num w:numId="24" w16cid:durableId="958028667">
    <w:abstractNumId w:val="6"/>
  </w:num>
  <w:num w:numId="25" w16cid:durableId="1079519155">
    <w:abstractNumId w:val="13"/>
  </w:num>
  <w:num w:numId="26" w16cid:durableId="1120418109">
    <w:abstractNumId w:val="30"/>
  </w:num>
  <w:num w:numId="27" w16cid:durableId="153690731">
    <w:abstractNumId w:val="15"/>
  </w:num>
  <w:num w:numId="28" w16cid:durableId="1952590443">
    <w:abstractNumId w:val="32"/>
  </w:num>
  <w:num w:numId="29" w16cid:durableId="893469427">
    <w:abstractNumId w:val="34"/>
  </w:num>
  <w:num w:numId="30" w16cid:durableId="596908438">
    <w:abstractNumId w:val="16"/>
  </w:num>
  <w:num w:numId="31" w16cid:durableId="995496117">
    <w:abstractNumId w:val="1"/>
  </w:num>
  <w:num w:numId="32" w16cid:durableId="1634409818">
    <w:abstractNumId w:val="4"/>
  </w:num>
  <w:num w:numId="33" w16cid:durableId="750465225">
    <w:abstractNumId w:val="25"/>
  </w:num>
  <w:num w:numId="34" w16cid:durableId="1072579241">
    <w:abstractNumId w:val="23"/>
  </w:num>
  <w:num w:numId="35" w16cid:durableId="1444232820">
    <w:abstractNumId w:val="21"/>
  </w:num>
  <w:num w:numId="36" w16cid:durableId="1960531220">
    <w:abstractNumId w:val="12"/>
  </w:num>
  <w:num w:numId="37" w16cid:durableId="2066171962">
    <w:abstractNumId w:val="37"/>
  </w:num>
  <w:num w:numId="38" w16cid:durableId="1650931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036EB0"/>
    <w:rsid w:val="00040F59"/>
    <w:rsid w:val="00041401"/>
    <w:rsid w:val="000421A2"/>
    <w:rsid w:val="0007551C"/>
    <w:rsid w:val="00093525"/>
    <w:rsid w:val="000A18C4"/>
    <w:rsid w:val="000A1DAE"/>
    <w:rsid w:val="000B320E"/>
    <w:rsid w:val="000C20A2"/>
    <w:rsid w:val="000C2978"/>
    <w:rsid w:val="000D1631"/>
    <w:rsid w:val="000D631B"/>
    <w:rsid w:val="000F5423"/>
    <w:rsid w:val="000F7992"/>
    <w:rsid w:val="000F7DA5"/>
    <w:rsid w:val="00106EDB"/>
    <w:rsid w:val="00112FD1"/>
    <w:rsid w:val="001305B4"/>
    <w:rsid w:val="0013272D"/>
    <w:rsid w:val="00137427"/>
    <w:rsid w:val="00137B20"/>
    <w:rsid w:val="001557BC"/>
    <w:rsid w:val="00182A36"/>
    <w:rsid w:val="00186890"/>
    <w:rsid w:val="0018765D"/>
    <w:rsid w:val="001910C8"/>
    <w:rsid w:val="001913A5"/>
    <w:rsid w:val="00192492"/>
    <w:rsid w:val="00193FFC"/>
    <w:rsid w:val="001C2C44"/>
    <w:rsid w:val="001D4E5E"/>
    <w:rsid w:val="001E525A"/>
    <w:rsid w:val="001F5CEA"/>
    <w:rsid w:val="00227D5B"/>
    <w:rsid w:val="0023316E"/>
    <w:rsid w:val="0023465A"/>
    <w:rsid w:val="00241E4F"/>
    <w:rsid w:val="00245EEF"/>
    <w:rsid w:val="002547A4"/>
    <w:rsid w:val="00260293"/>
    <w:rsid w:val="00265197"/>
    <w:rsid w:val="00272AFD"/>
    <w:rsid w:val="00274ED4"/>
    <w:rsid w:val="002829DC"/>
    <w:rsid w:val="00285458"/>
    <w:rsid w:val="0029429C"/>
    <w:rsid w:val="002977CE"/>
    <w:rsid w:val="002B0265"/>
    <w:rsid w:val="002B042F"/>
    <w:rsid w:val="002C2477"/>
    <w:rsid w:val="002C37D7"/>
    <w:rsid w:val="002C7310"/>
    <w:rsid w:val="002D416D"/>
    <w:rsid w:val="002F31E8"/>
    <w:rsid w:val="002F562D"/>
    <w:rsid w:val="00307893"/>
    <w:rsid w:val="003116E4"/>
    <w:rsid w:val="00311818"/>
    <w:rsid w:val="0031192C"/>
    <w:rsid w:val="003307D4"/>
    <w:rsid w:val="00334A0D"/>
    <w:rsid w:val="00341F32"/>
    <w:rsid w:val="003421A4"/>
    <w:rsid w:val="00345FC9"/>
    <w:rsid w:val="00355497"/>
    <w:rsid w:val="00363DCF"/>
    <w:rsid w:val="00390589"/>
    <w:rsid w:val="003B39B7"/>
    <w:rsid w:val="003E20F0"/>
    <w:rsid w:val="003E2812"/>
    <w:rsid w:val="003E787C"/>
    <w:rsid w:val="003E78A4"/>
    <w:rsid w:val="00411B0D"/>
    <w:rsid w:val="00455195"/>
    <w:rsid w:val="00470FB3"/>
    <w:rsid w:val="00477CB9"/>
    <w:rsid w:val="0048519F"/>
    <w:rsid w:val="004A0A95"/>
    <w:rsid w:val="004A1BC1"/>
    <w:rsid w:val="004A497A"/>
    <w:rsid w:val="004D43FB"/>
    <w:rsid w:val="004E0CCF"/>
    <w:rsid w:val="004E15FB"/>
    <w:rsid w:val="004F52D0"/>
    <w:rsid w:val="004F549F"/>
    <w:rsid w:val="00503A50"/>
    <w:rsid w:val="0051744C"/>
    <w:rsid w:val="0053273A"/>
    <w:rsid w:val="00534A40"/>
    <w:rsid w:val="0054357E"/>
    <w:rsid w:val="00545171"/>
    <w:rsid w:val="00551C5D"/>
    <w:rsid w:val="005938BC"/>
    <w:rsid w:val="005A15B3"/>
    <w:rsid w:val="005A7E2B"/>
    <w:rsid w:val="005B5418"/>
    <w:rsid w:val="005B6867"/>
    <w:rsid w:val="005C0F66"/>
    <w:rsid w:val="005C12E8"/>
    <w:rsid w:val="005F057E"/>
    <w:rsid w:val="005F1C4E"/>
    <w:rsid w:val="006014C8"/>
    <w:rsid w:val="006100D5"/>
    <w:rsid w:val="006141C3"/>
    <w:rsid w:val="006178BF"/>
    <w:rsid w:val="00632AD7"/>
    <w:rsid w:val="0063307C"/>
    <w:rsid w:val="00642218"/>
    <w:rsid w:val="00644D71"/>
    <w:rsid w:val="00645AC3"/>
    <w:rsid w:val="0065142E"/>
    <w:rsid w:val="00655279"/>
    <w:rsid w:val="00655B51"/>
    <w:rsid w:val="00657D92"/>
    <w:rsid w:val="00661EB7"/>
    <w:rsid w:val="006644E8"/>
    <w:rsid w:val="00664793"/>
    <w:rsid w:val="00667654"/>
    <w:rsid w:val="0067271E"/>
    <w:rsid w:val="00690AF6"/>
    <w:rsid w:val="00691D55"/>
    <w:rsid w:val="00693ADF"/>
    <w:rsid w:val="006A0998"/>
    <w:rsid w:val="006B09DD"/>
    <w:rsid w:val="006B220F"/>
    <w:rsid w:val="006B6267"/>
    <w:rsid w:val="006C7A98"/>
    <w:rsid w:val="006D242E"/>
    <w:rsid w:val="006E1007"/>
    <w:rsid w:val="006E369B"/>
    <w:rsid w:val="006E6449"/>
    <w:rsid w:val="006F0DE7"/>
    <w:rsid w:val="006F1D25"/>
    <w:rsid w:val="006F4BEB"/>
    <w:rsid w:val="00701DE2"/>
    <w:rsid w:val="00712783"/>
    <w:rsid w:val="007140D1"/>
    <w:rsid w:val="007158E5"/>
    <w:rsid w:val="00724C8A"/>
    <w:rsid w:val="00724EFA"/>
    <w:rsid w:val="00737915"/>
    <w:rsid w:val="00751FE6"/>
    <w:rsid w:val="00756332"/>
    <w:rsid w:val="007575A4"/>
    <w:rsid w:val="0076355C"/>
    <w:rsid w:val="00767671"/>
    <w:rsid w:val="0077396A"/>
    <w:rsid w:val="007851D0"/>
    <w:rsid w:val="007925D9"/>
    <w:rsid w:val="007C2EE0"/>
    <w:rsid w:val="007C57A2"/>
    <w:rsid w:val="007D1474"/>
    <w:rsid w:val="007D3DE5"/>
    <w:rsid w:val="007E199A"/>
    <w:rsid w:val="007E2D57"/>
    <w:rsid w:val="007E3AA5"/>
    <w:rsid w:val="007E6C4C"/>
    <w:rsid w:val="007F205B"/>
    <w:rsid w:val="007F7D69"/>
    <w:rsid w:val="008057ED"/>
    <w:rsid w:val="008115AB"/>
    <w:rsid w:val="008224AE"/>
    <w:rsid w:val="00824EA7"/>
    <w:rsid w:val="00831726"/>
    <w:rsid w:val="00831F89"/>
    <w:rsid w:val="00842A96"/>
    <w:rsid w:val="008635C4"/>
    <w:rsid w:val="00884F4A"/>
    <w:rsid w:val="008B31BD"/>
    <w:rsid w:val="008B7C81"/>
    <w:rsid w:val="008C36F6"/>
    <w:rsid w:val="008C523D"/>
    <w:rsid w:val="008C7BCF"/>
    <w:rsid w:val="008E22D9"/>
    <w:rsid w:val="008E7EAB"/>
    <w:rsid w:val="008F17FD"/>
    <w:rsid w:val="008F3B3C"/>
    <w:rsid w:val="009167EE"/>
    <w:rsid w:val="00916E26"/>
    <w:rsid w:val="009270FD"/>
    <w:rsid w:val="00944592"/>
    <w:rsid w:val="00961323"/>
    <w:rsid w:val="00973E73"/>
    <w:rsid w:val="0098183C"/>
    <w:rsid w:val="0098326E"/>
    <w:rsid w:val="009963AC"/>
    <w:rsid w:val="009C60BA"/>
    <w:rsid w:val="009D04F7"/>
    <w:rsid w:val="009D0547"/>
    <w:rsid w:val="009D515C"/>
    <w:rsid w:val="009F199A"/>
    <w:rsid w:val="00A079BE"/>
    <w:rsid w:val="00A23485"/>
    <w:rsid w:val="00A23B5B"/>
    <w:rsid w:val="00A32846"/>
    <w:rsid w:val="00A36893"/>
    <w:rsid w:val="00A429BC"/>
    <w:rsid w:val="00A461D6"/>
    <w:rsid w:val="00A655E9"/>
    <w:rsid w:val="00A73F71"/>
    <w:rsid w:val="00A909E5"/>
    <w:rsid w:val="00A920C3"/>
    <w:rsid w:val="00A93C86"/>
    <w:rsid w:val="00AA2AB3"/>
    <w:rsid w:val="00AA4F20"/>
    <w:rsid w:val="00AA5C41"/>
    <w:rsid w:val="00AC368B"/>
    <w:rsid w:val="00AC4926"/>
    <w:rsid w:val="00AD230C"/>
    <w:rsid w:val="00AD28AA"/>
    <w:rsid w:val="00AF1412"/>
    <w:rsid w:val="00AF2C96"/>
    <w:rsid w:val="00AF5A1B"/>
    <w:rsid w:val="00B143D4"/>
    <w:rsid w:val="00B176DB"/>
    <w:rsid w:val="00B200E5"/>
    <w:rsid w:val="00B313DA"/>
    <w:rsid w:val="00B4195B"/>
    <w:rsid w:val="00B41B63"/>
    <w:rsid w:val="00B52094"/>
    <w:rsid w:val="00B60C64"/>
    <w:rsid w:val="00B63F8E"/>
    <w:rsid w:val="00B679CF"/>
    <w:rsid w:val="00B95631"/>
    <w:rsid w:val="00BA6A9C"/>
    <w:rsid w:val="00BB4944"/>
    <w:rsid w:val="00BC697C"/>
    <w:rsid w:val="00BD0D44"/>
    <w:rsid w:val="00BE2C14"/>
    <w:rsid w:val="00BE3AAE"/>
    <w:rsid w:val="00BE4185"/>
    <w:rsid w:val="00C053A0"/>
    <w:rsid w:val="00C05416"/>
    <w:rsid w:val="00C14379"/>
    <w:rsid w:val="00C26DB7"/>
    <w:rsid w:val="00C40932"/>
    <w:rsid w:val="00C50C46"/>
    <w:rsid w:val="00C52D02"/>
    <w:rsid w:val="00C53371"/>
    <w:rsid w:val="00C60A10"/>
    <w:rsid w:val="00C64A0F"/>
    <w:rsid w:val="00C674A9"/>
    <w:rsid w:val="00C71512"/>
    <w:rsid w:val="00C73ECB"/>
    <w:rsid w:val="00CA0C57"/>
    <w:rsid w:val="00CA0F6D"/>
    <w:rsid w:val="00CC16E0"/>
    <w:rsid w:val="00CD328F"/>
    <w:rsid w:val="00CD546D"/>
    <w:rsid w:val="00CE7482"/>
    <w:rsid w:val="00D049DE"/>
    <w:rsid w:val="00D10FFD"/>
    <w:rsid w:val="00D138B3"/>
    <w:rsid w:val="00D15504"/>
    <w:rsid w:val="00D175E6"/>
    <w:rsid w:val="00D17CC7"/>
    <w:rsid w:val="00D17E5E"/>
    <w:rsid w:val="00D200F4"/>
    <w:rsid w:val="00D43595"/>
    <w:rsid w:val="00D4431B"/>
    <w:rsid w:val="00D57485"/>
    <w:rsid w:val="00D627EA"/>
    <w:rsid w:val="00D674E0"/>
    <w:rsid w:val="00D67EBB"/>
    <w:rsid w:val="00D83EC6"/>
    <w:rsid w:val="00D84AD6"/>
    <w:rsid w:val="00D84C84"/>
    <w:rsid w:val="00DA04D9"/>
    <w:rsid w:val="00DA7543"/>
    <w:rsid w:val="00DB2A7B"/>
    <w:rsid w:val="00DC5693"/>
    <w:rsid w:val="00DC6A5A"/>
    <w:rsid w:val="00DC711F"/>
    <w:rsid w:val="00DD4985"/>
    <w:rsid w:val="00DE5BE7"/>
    <w:rsid w:val="00DE7A7A"/>
    <w:rsid w:val="00E00CFA"/>
    <w:rsid w:val="00E02E7F"/>
    <w:rsid w:val="00E15D6C"/>
    <w:rsid w:val="00E277F3"/>
    <w:rsid w:val="00E4168D"/>
    <w:rsid w:val="00E420CF"/>
    <w:rsid w:val="00E560EE"/>
    <w:rsid w:val="00E57CA4"/>
    <w:rsid w:val="00E6387C"/>
    <w:rsid w:val="00EA357C"/>
    <w:rsid w:val="00EA689F"/>
    <w:rsid w:val="00EA6994"/>
    <w:rsid w:val="00EA7BA1"/>
    <w:rsid w:val="00EA7E10"/>
    <w:rsid w:val="00EB5792"/>
    <w:rsid w:val="00EC1A8B"/>
    <w:rsid w:val="00EC381E"/>
    <w:rsid w:val="00EE3F9B"/>
    <w:rsid w:val="00EE4C2F"/>
    <w:rsid w:val="00EF6B42"/>
    <w:rsid w:val="00F038BC"/>
    <w:rsid w:val="00F059E9"/>
    <w:rsid w:val="00F21D98"/>
    <w:rsid w:val="00F3475E"/>
    <w:rsid w:val="00F35643"/>
    <w:rsid w:val="00F562FA"/>
    <w:rsid w:val="00F56389"/>
    <w:rsid w:val="00F61BB5"/>
    <w:rsid w:val="00F64037"/>
    <w:rsid w:val="00F720F5"/>
    <w:rsid w:val="00F849FE"/>
    <w:rsid w:val="00F90EFA"/>
    <w:rsid w:val="00FA26A5"/>
    <w:rsid w:val="00FA51CC"/>
    <w:rsid w:val="00FB282E"/>
    <w:rsid w:val="00FC003C"/>
    <w:rsid w:val="00FC20F6"/>
    <w:rsid w:val="00FC5890"/>
    <w:rsid w:val="00FD29DC"/>
    <w:rsid w:val="00FD373D"/>
    <w:rsid w:val="00FD5EC6"/>
    <w:rsid w:val="00FE5AA9"/>
    <w:rsid w:val="00FF0D22"/>
    <w:rsid w:val="00FF65BC"/>
  </w:rsids>
  <m:mathPr>
    <m:mathFont m:val="Cambria Math"/>
    <m:brkBin m:val="before"/>
    <m:brkBinSub m:val="--"/>
    <m:smallFrac m:val="0"/>
    <m:dispDef/>
    <m:lMargin m:val="0"/>
    <m:rMargin m:val="0"/>
    <m:defJc m:val="centerGroup"/>
    <m:wrapIndent m:val="1440"/>
    <m:intLim m:val="subSup"/>
    <m:naryLim m:val="undOvr"/>
  </m:mathPr>
  <w:themeFontLang w:val="e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6FF16"/>
  <w15:chartTrackingRefBased/>
  <w15:docId w15:val="{A34D24E0-96EA-4058-9A94-33AE47BDF93C}"/>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78" w:lineRule="auto"/>
      </w:pPr>
    </w:pPrDefault>
    <w:rPrDefault>
      <w:rPr>
        <w:rFonts w:asciiTheme="minorHAnsi" w:hAnsiTheme="minorHAnsi" w:cstheme="minorBidi" w:eastAsiaTheme="minorHAnsi"/>
        <w:kern w:val="2"/>
        <w:sz w:val="24"/>
        <w:szCs w:val="24"/>
        <w14:ligatures w14:val="standardContextual"/>
        <w:lang w:val="el"/>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5B"/>
    <w:pPr>
      <w:spacing w:line="259" w:lineRule="auto"/>
    </w:pPr>
    <w:rPr>
      <w:kern w:val="0"/>
      <w:sz w:val="22"/>
      <w:szCs w:val="22"/>
      <w14:ligatures w14:val="none"/>
    </w:rPr>
  </w:style>
  <w:style w:type="paragraph" w:styleId="Heading1">
    <w:name w:val="heading 1"/>
    <w:basedOn w:val="Normal"/>
    <w:next w:val="Normal"/>
    <w:link w:val="Heading1Char"/>
    <w:uiPriority w:val="9"/>
    <w:qFormat/>
    <w:rsid w:val="007F205B"/>
    <w:pPr>
      <w:keepNext/>
      <w:keepLines/>
      <w:spacing w:before="360" w:after="80"/>
      <w:outlineLvl w:val="0"/>
    </w:pPr>
    <w:rPr>
      <w:rFonts w:asciiTheme="majorHAnsi" w:hAnsiTheme="majorHAnsi" w:cstheme="majorBidi" w:eastAsiaTheme="majorEastAsia"/>
      <w:color w:val="0F4761" w:themeColor="accent1" w:themeShade="BF"/>
      <w:sz w:val="40"/>
      <w:szCs w:val="40"/>
    </w:rPr>
  </w:style>
  <w:style w:type="paragraph" w:styleId="Heading2">
    <w:name w:val="heading 2"/>
    <w:basedOn w:val="Normal"/>
    <w:next w:val="Normal"/>
    <w:link w:val="Heading2Char"/>
    <w:uiPriority w:val="9"/>
    <w:unhideWhenUsed/>
    <w:qFormat/>
    <w:rsid w:val="007F205B"/>
    <w:pPr>
      <w:keepNext/>
      <w:keepLines/>
      <w:spacing w:before="160" w:after="80"/>
      <w:outlineLvl w:val="1"/>
    </w:pPr>
    <w:rPr>
      <w:rFonts w:asciiTheme="majorHAnsi" w:hAnsiTheme="majorHAnsi" w:cstheme="majorBidi" w:eastAsiaTheme="majorEastAsia"/>
      <w:color w:val="0F4761" w:themeColor="accent1" w:themeShade="BF"/>
      <w:sz w:val="32"/>
      <w:szCs w:val="32"/>
    </w:rPr>
  </w:style>
  <w:style w:type="paragraph" w:styleId="Heading3">
    <w:name w:val="heading 3"/>
    <w:basedOn w:val="Normal"/>
    <w:next w:val="Normal"/>
    <w:link w:val="Heading3Char"/>
    <w:uiPriority w:val="9"/>
    <w:semiHidden/>
    <w:unhideWhenUsed/>
    <w:qFormat/>
    <w:rsid w:val="007F205B"/>
    <w:pPr>
      <w:keepNext/>
      <w:keepLines/>
      <w:spacing w:before="160" w:after="80"/>
      <w:outlineLvl w:val="2"/>
    </w:pPr>
    <w:rPr>
      <w:rFont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7F205B"/>
    <w:pPr>
      <w:keepNext/>
      <w:keepLines/>
      <w:spacing w:before="80" w:after="40"/>
      <w:outlineLvl w:val="3"/>
    </w:pPr>
    <w:rPr>
      <w:rFont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7F205B"/>
    <w:pPr>
      <w:keepNext/>
      <w:keepLines/>
      <w:spacing w:before="80" w:after="40"/>
      <w:outlineLvl w:val="4"/>
    </w:pPr>
    <w:rPr>
      <w:rFont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7F205B"/>
    <w:pPr>
      <w:keepNext/>
      <w:keepLines/>
      <w:spacing w:before="40" w:after="0"/>
      <w:outlineLvl w:val="5"/>
    </w:pPr>
    <w:rPr>
      <w:rFont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7F205B"/>
    <w:pPr>
      <w:keepNext/>
      <w:keepLines/>
      <w:spacing w:before="40" w:after="0"/>
      <w:outlineLvl w:val="6"/>
    </w:pPr>
    <w:rPr>
      <w:rFont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7F205B"/>
    <w:pPr>
      <w:keepNext/>
      <w:keepLines/>
      <w:spacing w:after="0"/>
      <w:outlineLvl w:val="7"/>
    </w:pPr>
    <w:rPr>
      <w:rFont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7F205B"/>
    <w:pPr>
      <w:keepNext/>
      <w:keepLines/>
      <w:spacing w:after="0"/>
      <w:outlineLvl w:val="8"/>
    </w:pPr>
    <w:rPr>
      <w:rFonts w:cstheme="majorBidi"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05B"/>
    <w:rPr>
      <w:rFonts w:asciiTheme="majorHAnsi" w:hAnsiTheme="majorHAnsi" w:cstheme="majorBidi" w:eastAsiaTheme="majorEastAsia"/>
      <w:color w:val="0F4761" w:themeColor="accent1" w:themeShade="BF"/>
      <w:sz w:val="40"/>
      <w:szCs w:val="40"/>
    </w:rPr>
  </w:style>
  <w:style w:type="character" w:customStyle="1" w:styleId="Heading2Char">
    <w:name w:val="Heading 2 Char"/>
    <w:basedOn w:val="DefaultParagraphFont"/>
    <w:link w:val="Heading2"/>
    <w:uiPriority w:val="9"/>
    <w:rsid w:val="007F205B"/>
    <w:rPr>
      <w:rFonts w:asciiTheme="majorHAnsi" w:hAnsiTheme="majorHAnsi" w:cstheme="majorBidi" w:eastAsiaTheme="majorEastAsia"/>
      <w:color w:val="0F4761" w:themeColor="accent1" w:themeShade="BF"/>
      <w:sz w:val="32"/>
      <w:szCs w:val="32"/>
    </w:rPr>
  </w:style>
  <w:style w:type="character" w:customStyle="1" w:styleId="Heading3Char">
    <w:name w:val="Heading 3 Char"/>
    <w:basedOn w:val="DefaultParagraphFont"/>
    <w:link w:val="Heading3"/>
    <w:uiPriority w:val="9"/>
    <w:semiHidden/>
    <w:rsid w:val="007F205B"/>
    <w:rPr>
      <w:rFonts w:cstheme="majorBidi" w:eastAsiaTheme="majorEastAsia"/>
      <w:color w:val="0F4761" w:themeColor="accent1" w:themeShade="BF"/>
      <w:sz w:val="28"/>
      <w:szCs w:val="28"/>
    </w:rPr>
  </w:style>
  <w:style w:type="character" w:customStyle="1" w:styleId="Heading4Char">
    <w:name w:val="Heading 4 Char"/>
    <w:basedOn w:val="DefaultParagraphFont"/>
    <w:link w:val="Heading4"/>
    <w:uiPriority w:val="9"/>
    <w:semiHidden/>
    <w:rsid w:val="007F205B"/>
    <w:rPr>
      <w:rFonts w:cstheme="majorBidi" w:eastAsiaTheme="majorEastAsia"/>
      <w:i/>
      <w:iCs/>
      <w:color w:val="0F4761" w:themeColor="accent1" w:themeShade="BF"/>
    </w:rPr>
  </w:style>
  <w:style w:type="character" w:customStyle="1" w:styleId="Heading5Char">
    <w:name w:val="Heading 5 Char"/>
    <w:basedOn w:val="DefaultParagraphFont"/>
    <w:link w:val="Heading5"/>
    <w:uiPriority w:val="9"/>
    <w:semiHidden/>
    <w:rsid w:val="007F205B"/>
    <w:rPr>
      <w:rFonts w:cstheme="majorBidi" w:eastAsiaTheme="majorEastAsia"/>
      <w:color w:val="0F4761" w:themeColor="accent1" w:themeShade="BF"/>
    </w:rPr>
  </w:style>
  <w:style w:type="character" w:customStyle="1" w:styleId="Heading6Char">
    <w:name w:val="Heading 6 Char"/>
    <w:basedOn w:val="DefaultParagraphFont"/>
    <w:link w:val="Heading6"/>
    <w:uiPriority w:val="9"/>
    <w:semiHidden/>
    <w:rsid w:val="007F205B"/>
    <w:rPr>
      <w:rFonts w:cstheme="majorBidi" w:eastAsiaTheme="majorEastAsia"/>
      <w:i/>
      <w:iCs/>
      <w:color w:val="595959" w:themeColor="text1" w:themeTint="A6"/>
    </w:rPr>
  </w:style>
  <w:style w:type="character" w:customStyle="1" w:styleId="Heading7Char">
    <w:name w:val="Heading 7 Char"/>
    <w:basedOn w:val="DefaultParagraphFont"/>
    <w:link w:val="Heading7"/>
    <w:uiPriority w:val="9"/>
    <w:semiHidden/>
    <w:rsid w:val="007F205B"/>
    <w:rPr>
      <w:rFonts w:cstheme="majorBidi" w:eastAsiaTheme="majorEastAsia"/>
      <w:color w:val="595959" w:themeColor="text1" w:themeTint="A6"/>
    </w:rPr>
  </w:style>
  <w:style w:type="character" w:customStyle="1" w:styleId="Heading8Char">
    <w:name w:val="Heading 8 Char"/>
    <w:basedOn w:val="DefaultParagraphFont"/>
    <w:link w:val="Heading8"/>
    <w:uiPriority w:val="9"/>
    <w:semiHidden/>
    <w:rsid w:val="007F205B"/>
    <w:rPr>
      <w:rFonts w:cstheme="majorBidi" w:eastAsiaTheme="majorEastAsia"/>
      <w:i/>
      <w:iCs/>
      <w:color w:val="272727" w:themeColor="text1" w:themeTint="D8"/>
    </w:rPr>
  </w:style>
  <w:style w:type="character" w:customStyle="1" w:styleId="Heading9Char">
    <w:name w:val="Heading 9 Char"/>
    <w:basedOn w:val="DefaultParagraphFont"/>
    <w:link w:val="Heading9"/>
    <w:uiPriority w:val="9"/>
    <w:semiHidden/>
    <w:rsid w:val="007F205B"/>
    <w:rPr>
      <w:rFonts w:cstheme="majorBidi" w:eastAsiaTheme="majorEastAsia"/>
      <w:color w:val="272727" w:themeColor="text1" w:themeTint="D8"/>
    </w:rPr>
  </w:style>
  <w:style w:type="paragraph" w:styleId="Title">
    <w:name w:val="Title"/>
    <w:basedOn w:val="Normal"/>
    <w:next w:val="Normal"/>
    <w:link w:val="TitleChar"/>
    <w:uiPriority w:val="10"/>
    <w:qFormat/>
    <w:rsid w:val="007F205B"/>
    <w:pPr>
      <w:spacing w:after="80" w:line="240" w:lineRule="auto"/>
      <w:contextualSpacing/>
    </w:pPr>
    <w:rPr>
      <w:rFonts w:asciiTheme="majorHAnsi" w:hAnsiTheme="majorHAnsi" w:cstheme="majorBidi" w:eastAsiaTheme="majorEastAsia"/>
      <w:kern w:val="28"/>
      <w:sz w:val="56"/>
      <w:szCs w:val="56"/>
    </w:rPr>
  </w:style>
  <w:style w:type="character" w:customStyle="1" w:styleId="TitleChar">
    <w:name w:val="Title Char"/>
    <w:basedOn w:val="DefaultParagraphFont"/>
    <w:link w:val="Title"/>
    <w:uiPriority w:val="10"/>
    <w:rsid w:val="007F205B"/>
    <w:rPr>
      <w:rFonts w:asciiTheme="majorHAnsi" w:hAnsiTheme="majorHAnsi" w:cstheme="majorBidi" w:eastAsiaTheme="majorEastAsia"/>
      <w:kern w:val="28"/>
      <w:sz w:val="56"/>
      <w:szCs w:val="56"/>
    </w:rPr>
  </w:style>
  <w:style w:type="paragraph" w:styleId="Subtitle">
    <w:name w:val="Subtitle"/>
    <w:basedOn w:val="Normal"/>
    <w:next w:val="Normal"/>
    <w:link w:val="SubtitleChar"/>
    <w:uiPriority w:val="11"/>
    <w:qFormat/>
    <w:rsid w:val="007F205B"/>
    <w:pPr>
      <w:numPr>
        <w:ilvl w:val="1"/>
      </w:numPr>
    </w:pPr>
    <w:rPr>
      <w:rFonts w:cstheme="majorBidi" w:eastAsiaTheme="majorEastAsia"/>
      <w:color w:val="595959" w:themeColor="text1" w:themeTint="A6"/>
      <w:sz w:val="28"/>
      <w:szCs w:val="28"/>
    </w:rPr>
  </w:style>
  <w:style w:type="character" w:customStyle="1" w:styleId="SubtitleChar">
    <w:name w:val="Subtitle Char"/>
    <w:basedOn w:val="DefaultParagraphFont"/>
    <w:link w:val="Subtitle"/>
    <w:uiPriority w:val="11"/>
    <w:rsid w:val="007F205B"/>
    <w:rPr>
      <w:rFonts w:cstheme="majorBidi" w:eastAsiaTheme="majorEastAsia"/>
      <w:color w:val="595959" w:themeColor="text1" w:themeTint="A6"/>
      <w:sz w:val="28"/>
      <w:szCs w:val="28"/>
    </w:rPr>
  </w:style>
  <w:style w:type="paragraph" w:styleId="Quote">
    <w:name w:val="Quote"/>
    <w:basedOn w:val="Normal"/>
    <w:next w:val="Normal"/>
    <w:link w:val="QuoteChar"/>
    <w:uiPriority w:val="29"/>
    <w:qFormat/>
    <w:rsid w:val="007F205B"/>
    <w:pPr>
      <w:spacing w:before="160"/>
      <w:jc w:val="center"/>
    </w:pPr>
    <w:rPr>
      <w:i/>
      <w:iCs/>
      <w:color w:val="404040" w:themeColor="text1" w:themeTint="BF"/>
    </w:rPr>
  </w:style>
  <w:style w:type="character" w:customStyle="1" w:styleId="QuoteChar">
    <w:name w:val="Quote Char"/>
    <w:basedOn w:val="DefaultParagraphFont"/>
    <w:link w:val="Quote"/>
    <w:uiPriority w:val="29"/>
    <w:rsid w:val="007F205B"/>
    <w:rPr>
      <w:i/>
      <w:iCs/>
      <w:color w:val="404040" w:themeColor="text1" w:themeTint="BF"/>
    </w:rPr>
  </w:style>
  <w:style w:type="paragraph" w:styleId="ListParagraph">
    <w:name w:val="List Paragraph"/>
    <w:basedOn w:val="Normal"/>
    <w:uiPriority w:val="34"/>
    <w:qFormat/>
    <w:rsid w:val="007F205B"/>
    <w:pPr>
      <w:ind w:left="720"/>
      <w:contextualSpacing/>
    </w:pPr>
  </w:style>
  <w:style w:type="character" w:styleId="IntenseEmphasis">
    <w:name w:val="Intense Emphasis"/>
    <w:basedOn w:val="DefaultParagraphFont"/>
    <w:uiPriority w:val="21"/>
    <w:qFormat/>
    <w:rsid w:val="007F205B"/>
    <w:rPr>
      <w:i/>
      <w:iCs/>
      <w:color w:val="0F4761" w:themeColor="accent1" w:themeShade="BF"/>
    </w:rPr>
  </w:style>
  <w:style w:type="paragraph" w:styleId="IntenseQuote">
    <w:name w:val="Intense Quote"/>
    <w:basedOn w:val="Normal"/>
    <w:next w:val="Normal"/>
    <w:link w:val="IntenseQuoteChar"/>
    <w:uiPriority w:val="30"/>
    <w:qFormat/>
    <w:rsid w:val="007F2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05B"/>
    <w:rPr>
      <w:i/>
      <w:iCs/>
      <w:color w:val="0F4761" w:themeColor="accent1" w:themeShade="BF"/>
    </w:rPr>
  </w:style>
  <w:style w:type="character" w:styleId="IntenseReference">
    <w:name w:val="Intense Reference"/>
    <w:basedOn w:val="DefaultParagraphFont"/>
    <w:uiPriority w:val="32"/>
    <w:qFormat/>
    <w:rsid w:val="007F205B"/>
    <w:rPr>
      <w:b/>
      <w:bCs/>
      <w:smallCaps/>
      <w:color w:val="0F4761" w:themeColor="accent1" w:themeShade="BF"/>
    </w:rPr>
  </w:style>
  <w:style w:type="table" w:styleId="TableGrid">
    <w:name w:val="Table Grid"/>
    <w:basedOn w:val="TableNormal"/>
    <w:uiPriority w:val="39"/>
    <w:rsid w:val="007F205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F20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205B"/>
    <w:rPr>
      <w:kern w:val="0"/>
      <w:sz w:val="20"/>
      <w:szCs w:val="20"/>
      <w14:ligatures w14:val="none"/>
    </w:rPr>
  </w:style>
  <w:style w:type="character" w:styleId="FootnoteReference">
    <w:name w:val="footnote reference"/>
    <w:basedOn w:val="DefaultParagraphFont"/>
    <w:uiPriority w:val="99"/>
    <w:semiHidden/>
    <w:unhideWhenUsed/>
    <w:rsid w:val="007F205B"/>
    <w:rPr>
      <w:vertAlign w:val="superscript"/>
    </w:rPr>
  </w:style>
  <w:style w:type="paragraph" w:styleId="Header">
    <w:name w:val="header"/>
    <w:basedOn w:val="Normal"/>
    <w:link w:val="HeaderChar"/>
    <w:uiPriority w:val="99"/>
    <w:unhideWhenUsed/>
    <w:rsid w:val="007F20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05B"/>
    <w:rPr>
      <w:kern w:val="0"/>
      <w:sz w:val="22"/>
      <w:szCs w:val="22"/>
      <w14:ligatures w14:val="none"/>
    </w:rPr>
  </w:style>
  <w:style w:type="paragraph" w:styleId="Footer">
    <w:name w:val="footer"/>
    <w:basedOn w:val="Normal"/>
    <w:link w:val="FooterChar"/>
    <w:uiPriority w:val="99"/>
    <w:unhideWhenUsed/>
    <w:rsid w:val="007F20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05B"/>
    <w:rPr>
      <w:kern w:val="0"/>
      <w:sz w:val="22"/>
      <w:szCs w:val="22"/>
      <w14:ligatures w14:val="none"/>
    </w:rPr>
  </w:style>
  <w:style w:type="paragraph" w:styleId="BodyText">
    <w:name w:val="Body Text"/>
    <w:basedOn w:val="Normal"/>
    <w:link w:val="BodyTextChar"/>
    <w:uiPriority w:val="1"/>
    <w:qFormat/>
    <w:rsid w:val="007F205B"/>
    <w:pPr>
      <w:widowControl w:val="0"/>
      <w:autoSpaceDE w:val="0"/>
      <w:autoSpaceDN w:val="0"/>
      <w:spacing w:after="0" w:line="240" w:lineRule="auto"/>
      <w:jc w:val="both"/>
    </w:pPr>
    <w:rPr>
      <w:rFonts w:ascii="Times New Roman" w:hAnsi="Times New Roman" w:cs="Times New Roman" w:eastAsia="Times New Roman"/>
      <w:sz w:val="24"/>
      <w:szCs w:val="20"/>
    </w:rPr>
  </w:style>
  <w:style w:type="character" w:customStyle="1" w:styleId="BodyTextChar">
    <w:name w:val="Body Text Char"/>
    <w:basedOn w:val="DefaultParagraphFont"/>
    <w:link w:val="BodyText"/>
    <w:uiPriority w:val="1"/>
    <w:rsid w:val="007F205B"/>
    <w:rPr>
      <w:rFonts w:ascii="Times New Roman" w:hAnsi="Times New Roman" w:cs="Times New Roman" w:eastAsia="Times New Roman"/>
      <w:kern w:val="0"/>
      <w:szCs w:val="20"/>
      <w14:ligatures w14:val="none"/>
    </w:rPr>
  </w:style>
  <w:style w:type="paragraph" w:customStyle="1" w:styleId="P68B1DB1-Title1">
    <w:name w:val="P68B1DB1-Title1"/>
    <w:basedOn w:val="Title"/>
    <w:rsid w:val="007F205B"/>
    <w:pPr>
      <w:widowControl w:val="0"/>
      <w:autoSpaceDE w:val="0"/>
      <w:autoSpaceDN w:val="0"/>
      <w:spacing w:before="59" w:after="0"/>
      <w:ind w:left="139"/>
      <w:contextualSpacing w:val="0"/>
      <w:jc w:val="center"/>
    </w:pPr>
    <w:rPr>
      <w:rFonts w:ascii="Times New Roman" w:hAnsi="Times New Roman" w:cs="Times New Roman" w:eastAsia="Times New Roman"/>
      <w:b/>
      <w:kern w:val="0"/>
      <w:sz w:val="32"/>
      <w:szCs w:val="20"/>
      <w:u w:val="single" w:color="000000"/>
    </w:rPr>
  </w:style>
  <w:style w:type="paragraph" w:customStyle="1" w:styleId="P68B1DB1-Normal3">
    <w:name w:val="P68B1DB1-Normal3"/>
    <w:basedOn w:val="Normal"/>
    <w:rsid w:val="007F205B"/>
    <w:pPr>
      <w:widowControl w:val="0"/>
      <w:autoSpaceDE w:val="0"/>
      <w:autoSpaceDN w:val="0"/>
      <w:spacing w:after="0" w:line="240" w:lineRule="auto"/>
    </w:pPr>
    <w:rPr>
      <w:rFonts w:ascii="Times New Roman" w:hAnsi="Times New Roman" w:cs="Times New Roman" w:eastAsia="Times New Roman"/>
      <w:b/>
      <w:smallCaps/>
      <w:sz w:val="24"/>
      <w:szCs w:val="20"/>
    </w:rPr>
  </w:style>
  <w:style w:type="paragraph" w:customStyle="1" w:styleId="P68B1DB1-BodyText4">
    <w:name w:val="P68B1DB1-BodyText4"/>
    <w:basedOn w:val="BodyText"/>
    <w:rsid w:val="007F205B"/>
    <w:rPr>
      <w:sz w:val="20"/>
    </w:rPr>
  </w:style>
  <w:style w:type="character" w:styleId="Hyperlink">
    <w:name w:val="Hyperlink"/>
    <w:basedOn w:val="DefaultParagraphFont"/>
    <w:uiPriority w:val="99"/>
    <w:unhideWhenUsed/>
    <w:rsid w:val="008E22D9"/>
    <w:rPr>
      <w:color w:val="467886" w:themeColor="hyperlink"/>
      <w:u w:val="single"/>
    </w:rPr>
  </w:style>
  <w:style w:type="paragraph" w:customStyle="1" w:styleId="P68B1DB1-ListParagraph2">
    <w:name w:val="P68B1DB1-ListParagraph2"/>
    <w:basedOn w:val="ListParagraph"/>
    <w:rsid w:val="004E15FB"/>
    <w:pPr>
      <w:widowControl w:val="0"/>
      <w:autoSpaceDE w:val="0"/>
      <w:autoSpaceDN w:val="0"/>
      <w:spacing w:after="0" w:line="240" w:lineRule="auto"/>
      <w:ind w:left="396" w:right="111" w:hanging="142"/>
      <w:contextualSpacing w:val="0"/>
      <w:jc w:val="both"/>
    </w:pPr>
    <w:rPr>
      <w:rFonts w:ascii="Times New Roman" w:hAnsi="Times New Roman" w:cs="Times New Roman" w:eastAsia="Times New Roman"/>
      <w:sz w:val="24"/>
      <w:szCs w:val="20"/>
    </w:rPr>
  </w:style>
  <w:style w:type="paragraph" w:customStyle="1" w:styleId="P68B1DB1-Heading15">
    <w:name w:val="P68B1DB1-Heading15"/>
    <w:basedOn w:val="Heading1"/>
    <w:rsid w:val="00AA4F20"/>
    <w:pPr>
      <w:keepNext w:val="0"/>
      <w:keepLines w:val="0"/>
      <w:widowControl w:val="0"/>
      <w:autoSpaceDE w:val="0"/>
      <w:autoSpaceDN w:val="0"/>
      <w:spacing w:before="0" w:after="0" w:line="240" w:lineRule="auto"/>
      <w:ind w:left="446"/>
    </w:pPr>
    <w:rPr>
      <w:rFonts w:ascii="Times New Roman" w:hAnsi="Times New Roman" w:cs="Times New Roman" w:eastAsia="Times New Roman"/>
      <w:b/>
      <w:color w:val="auto"/>
      <w:sz w:val="24"/>
      <w:szCs w:val="20"/>
      <w:u w:val="single"/>
    </w:rPr>
  </w:style>
  <w:style w:type="character" w:styleId="CommentReference">
    <w:name w:val="annotation reference"/>
    <w:basedOn w:val="DefaultParagraphFont"/>
    <w:uiPriority w:val="99"/>
    <w:semiHidden/>
    <w:unhideWhenUsed/>
    <w:rsid w:val="00AC368B"/>
    <w:rPr>
      <w:sz w:val="16"/>
      <w:szCs w:val="16"/>
    </w:rPr>
  </w:style>
  <w:style w:type="paragraph" w:styleId="CommentText">
    <w:name w:val="annotation text"/>
    <w:basedOn w:val="Normal"/>
    <w:link w:val="CommentTextChar"/>
    <w:uiPriority w:val="99"/>
    <w:unhideWhenUsed/>
    <w:rsid w:val="00AC368B"/>
    <w:pPr>
      <w:spacing w:line="240" w:lineRule="auto"/>
    </w:pPr>
    <w:rPr>
      <w:sz w:val="20"/>
      <w:szCs w:val="20"/>
    </w:rPr>
  </w:style>
  <w:style w:type="character" w:customStyle="1" w:styleId="CommentTextChar">
    <w:name w:val="Comment Text Char"/>
    <w:basedOn w:val="DefaultParagraphFont"/>
    <w:link w:val="CommentText"/>
    <w:uiPriority w:val="99"/>
    <w:rsid w:val="00AC368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C368B"/>
    <w:rPr>
      <w:b/>
      <w:bCs/>
    </w:rPr>
  </w:style>
  <w:style w:type="character" w:customStyle="1" w:styleId="CommentSubjectChar">
    <w:name w:val="Comment Subject Char"/>
    <w:basedOn w:val="CommentTextChar"/>
    <w:link w:val="CommentSubject"/>
    <w:uiPriority w:val="99"/>
    <w:semiHidden/>
    <w:rsid w:val="00AC368B"/>
    <w:rPr>
      <w:b/>
      <w:bCs/>
      <w:kern w:val="0"/>
      <w:sz w:val="20"/>
      <w:szCs w:val="20"/>
      <w14:ligatures w14:val="none"/>
    </w:rPr>
  </w:style>
  <w:style w:type="character" w:styleId="UnresolvedMention">
    <w:name w:val="Unresolved Mention"/>
    <w:basedOn w:val="DefaultParagraphFont"/>
    <w:uiPriority w:val="99"/>
    <w:semiHidden/>
    <w:unhideWhenUsed/>
    <w:rsid w:val="00D4431B"/>
    <w:rPr>
      <w:color w:val="605E5C"/>
      <w:shd w:val="clear" w:color="auto" w:fill="E1DFDD"/>
    </w:rPr>
  </w:style>
  <w:style w:type="character" w:styleId="FollowedHyperlink">
    <w:name w:val="FollowedHyperlink"/>
    <w:basedOn w:val="DefaultParagraphFont"/>
    <w:uiPriority w:val="99"/>
    <w:semiHidden/>
    <w:unhideWhenUsed/>
    <w:rsid w:val="00973E73"/>
    <w:rPr>
      <w:color w:val="96607D" w:themeColor="followedHyperlink"/>
      <w:u w:val="single"/>
    </w:rPr>
  </w:style>
  <w:style w:type="paragraph" w:styleId="Revision">
    <w:name w:val="Revision"/>
    <w:hidden/>
    <w:uiPriority w:val="99"/>
    <w:semiHidden/>
    <w:rsid w:val="008F17FD"/>
    <w:pPr>
      <w:spacing w:after="0" w:line="240" w:lineRule="auto"/>
    </w:pPr>
    <w:rPr>
      <w:kern w:val="0"/>
      <w:sz w:val="22"/>
      <w:szCs w:val="22"/>
      <w14:ligatures w14:val="none"/>
    </w:rPr>
  </w:style>
  <w:style w:type="paragraph" w:customStyle="1" w:styleId="P68B1DB1-BodyText1">
    <w:name w:val="P68B1DB1-BodyText1"/>
    <w:basedOn w:val="BodyText"/>
    <w:rPr>
      <w:sz w:val="20"/>
      <w:u w:val="single"/>
    </w:rPr>
  </w:style>
  <w:style w:type="paragraph" w:customStyle="1" w:styleId="P68B1DB1-BodyText2">
    <w:name w:val="P68B1DB1-BodyText2"/>
    <w:basedOn w:val="BodyText"/>
    <w:rPr>
      <w:i/>
      <w:sz w:val="16"/>
      <w:szCs w:val="16"/>
    </w:rPr>
  </w:style>
  <w:style w:type="paragraph" w:customStyle="1" w:styleId="P68B1DB1-Normal4">
    <w:name w:val="P68B1DB1-Normal4"/>
    <w:basedOn w:val="Normal"/>
    <w:rPr>
      <w:sz w:val="20"/>
    </w:rPr>
  </w:style>
  <w:style w:type="paragraph" w:customStyle="1" w:styleId="P68B1DB1-Normal5">
    <w:name w:val="P68B1DB1-Normal5"/>
    <w:basedOn w:val="Normal"/>
    <w:rPr>
      <w:rFonts w:ascii="Times New Roman" w:hAnsi="Times New Roman" w:cs="Times New Roman"/>
      <w:b/>
      <w:sz w:val="24"/>
      <w:szCs w:val="24"/>
      <w:u w:val="single"/>
    </w:rPr>
  </w:style>
  <w:style w:type="paragraph" w:customStyle="1" w:styleId="P68B1DB1-Normal6">
    <w:name w:val="P68B1DB1-Normal6"/>
    <w:basedOn w:val="Normal"/>
    <w:rPr>
      <w:rFonts w:ascii="Times New Roman" w:hAnsi="Times New Roman" w:cs="Times New Roman"/>
      <w:b/>
      <w:sz w:val="24"/>
      <w:szCs w:val="24"/>
    </w:rPr>
  </w:style>
  <w:style w:type="paragraph" w:customStyle="1" w:styleId="P68B1DB1-Normal7">
    <w:name w:val="P68B1DB1-Normal7"/>
    <w:basedOn w:val="Normal"/>
    <w:rPr>
      <w:rFonts w:ascii="Times New Roman" w:hAnsi="Times New Roman" w:cs="Times New Roman"/>
      <w:sz w:val="24"/>
      <w:szCs w:val="24"/>
    </w:rPr>
  </w:style>
  <w:style w:type="paragraph" w:customStyle="1" w:styleId="P68B1DB1-Normal8">
    <w:name w:val="P68B1DB1-Normal8"/>
    <w:basedOn w:val="Normal"/>
    <w:rPr>
      <w:rFonts w:ascii="Times New Roman" w:hAnsi="Times New Roman" w:cs="Times New Roman" w:eastAsia="Times New Roman"/>
      <w:sz w:val="24"/>
      <w:szCs w:val="24"/>
    </w:rPr>
  </w:style>
  <w:style w:type="paragraph" w:customStyle="1" w:styleId="P68B1DB1-P68B1DB1-Normal39">
    <w:name w:val="P68B1DB1-P68B1DB1-Normal39"/>
    <w:basedOn w:val="P68B1DB1-Normal3"/>
    <w:rPr>
      <w:sz w:val="28"/>
      <w:szCs w:val="22"/>
    </w:rPr>
  </w:style>
  <w:style w:type="paragraph" w:customStyle="1" w:styleId="P68B1DB1-BodyText10">
    <w:name w:val="P68B1DB1-BodyText10"/>
    <w:basedOn w:val="BodyText"/>
    <w:rPr>
      <w:b/>
    </w:rPr>
  </w:style>
  <w:style w:type="paragraph" w:customStyle="1" w:styleId="P68B1DB1-BodyText11">
    <w:name w:val="P68B1DB1-BodyText11"/>
    <w:basedOn w:val="BodyText"/>
    <w:rPr>
      <w:i/>
    </w:rPr>
  </w:style>
  <w:style w:type="paragraph" w:customStyle="1" w:styleId="P68B1DB1-Normal12">
    <w:name w:val="P68B1DB1-Normal12"/>
    <w:basedOn w:val="Normal"/>
    <w:rPr>
      <w:rFonts w:ascii="Times New Roman" w:hAnsi="Times New Roman" w:cs="Times New Roman"/>
      <w:i/>
      <w:sz w:val="24"/>
      <w:szCs w:val="24"/>
    </w:rPr>
  </w:style>
  <w:style w:type="paragraph" w:customStyle="1" w:styleId="P68B1DB1-Normal13">
    <w:name w:val="P68B1DB1-Normal13"/>
    <w:basedOn w:val="Normal"/>
    <w:rPr>
      <w:rFonts w:ascii="Times New Roman" w:hAnsi="Times New Roman" w:cs="Times New Roman" w:eastAsia="Times New Roman"/>
      <w:b/>
      <w:i/>
      <w:szCs w:val="20"/>
    </w:rPr>
  </w:style>
  <w:style w:type="paragraph" w:customStyle="1" w:styleId="P68B1DB1-Normal14">
    <w:name w:val="P68B1DB1-Normal14"/>
    <w:basedOn w:val="Normal"/>
    <w:rPr>
      <w:rFonts w:ascii="Times New Roman" w:hAnsi="Times New Roman" w:cs="Times New Roman" w:eastAsia="Times New Roman"/>
      <w:szCs w:val="20"/>
    </w:rPr>
  </w:style>
  <w:style w:type="paragraph" w:customStyle="1" w:styleId="P68B1DB1-Normal15">
    <w:name w:val="P68B1DB1-Normal15"/>
    <w:basedOn w:val="Normal"/>
    <w:rPr>
      <w:rFonts w:ascii="Times New Roman" w:hAnsi="Times New Roman" w:cs="Times New Roman" w:eastAsia="Times New Roman"/>
      <w:i/>
      <w:sz w:val="20"/>
      <w:szCs w:val="16"/>
    </w:rPr>
  </w:style>
  <w:style w:type="paragraph" w:customStyle="1" w:styleId="P68B1DB1-Normal16">
    <w:name w:val="P68B1DB1-Normal16"/>
    <w:basedOn w:val="Normal"/>
    <w:rPr>
      <w:rFonts w:ascii="Times New Roman" w:hAnsi="Times New Roman" w:cs="Times New Roman" w:eastAsia="Times New Roman"/>
      <w:sz w:val="20"/>
      <w:szCs w:val="16"/>
    </w:rPr>
  </w:style>
  <w:style w:type="paragraph" w:customStyle="1" w:styleId="P68B1DB1-Normal17">
    <w:name w:val="P68B1DB1-Normal17"/>
    <w:basedOn w:val="Normal"/>
    <w:rPr>
      <w:rFonts w:ascii="Times New Roman" w:hAnsi="Times New Roman" w:cs="Times New Roman" w:eastAsia="Times New Roman"/>
    </w:rPr>
  </w:style>
  <w:style w:type="paragraph" w:customStyle="1" w:styleId="P68B1DB1-Normal18">
    <w:name w:val="P68B1DB1-Normal18"/>
    <w:basedOn w:val="Normal"/>
    <w:rPr>
      <w:rFonts w:ascii="Times New Roman" w:hAnsi="Times New Roman" w:cs="Times New Roman" w:eastAsia="Times New Roman"/>
      <w:i/>
      <w:sz w:val="20"/>
      <w:szCs w:val="20"/>
    </w:rPr>
  </w:style>
  <w:style w:type="paragraph" w:customStyle="1" w:styleId="P68B1DB1-BodyText19">
    <w:name w:val="P68B1DB1-BodyText19"/>
    <w:basedOn w:val="BodyText"/>
    <w:rPr>
      <w:i/>
      <w:sz w:val="20"/>
    </w:rPr>
  </w:style>
  <w:style w:type="paragraph" w:customStyle="1" w:styleId="P68B1DB1-Normal20">
    <w:name w:val="P68B1DB1-Normal20"/>
    <w:basedOn w:val="Normal"/>
    <w:rPr>
      <w:rFonts w:ascii="Times New Roman" w:hAnsi="Times New Roman" w:cs="Times New Roman"/>
      <w:i/>
      <w:sz w:val="20"/>
      <w:szCs w:val="20"/>
    </w:rPr>
  </w:style>
  <w:style w:type="paragraph" w:customStyle="1" w:styleId="P68B1DB1-ListParagraph21">
    <w:name w:val="P68B1DB1-ListParagraph21"/>
    <w:basedOn w:val="ListParagraph"/>
    <w:rPr>
      <w:rFonts w:ascii="Times New Roman" w:hAnsi="Times New Roman" w:cs="Times New Roman"/>
      <w:i/>
      <w:sz w:val="24"/>
      <w:szCs w:val="24"/>
    </w:rPr>
  </w:style>
  <w:style w:type="paragraph" w:customStyle="1" w:styleId="P68B1DB1-BodyText22">
    <w:name w:val="P68B1DB1-BodyText22"/>
    <w:basedOn w:val="BodyText"/>
    <w:rPr>
      <w:sz w:val="22"/>
      <w:szCs w:val="18"/>
    </w:rPr>
  </w:style>
  <w:style w:type="paragraph" w:customStyle="1" w:styleId="P68B1DB1-BodyText23">
    <w:name w:val="P68B1DB1-BodyText23"/>
    <w:basedOn w:val="BodyText"/>
    <w:rPr>
      <w:i/>
      <w:szCs w:val="24"/>
    </w:rPr>
  </w:style>
  <w:style w:type="paragraph" w:customStyle="1" w:styleId="P68B1DB1-BodyText24">
    <w:name w:val="P68B1DB1-BodyText24"/>
    <w:basedOn w:val="BodyText"/>
    <w:rPr>
      <w:szCs w:val="24"/>
    </w:rPr>
  </w:style>
  <w:style w:type="paragraph" w:customStyle="1" w:styleId="P68B1DB1-BodyText25">
    <w:name w:val="P68B1DB1-BodyText25"/>
    <w:basedOn w:val="BodyText"/>
    <w:rPr>
      <w:i/>
      <w:sz w:val="20"/>
      <w:szCs w:val="16"/>
    </w:rPr>
  </w:style>
  <w:style w:type="paragraph" w:customStyle="1" w:styleId="P68B1DB1-P68B1DB1-ListParagraph226">
    <w:name w:val="P68B1DB1-P68B1DB1-ListParagraph226"/>
    <w:basedOn w:val="P68B1DB1-ListParagraph2"/>
    <w:rPr>
      <w:i/>
      <w:sz w:val="20"/>
      <w:szCs w:val="16"/>
    </w:rPr>
  </w:style>
  <w:style w:type="paragraph" w:customStyle="1" w:styleId="P68B1DB1-ListParagraph27">
    <w:name w:val="P68B1DB1-ListParagraph27"/>
    <w:basedOn w:val="ListParagraph"/>
    <w:rPr>
      <w:rFonts w:ascii="Times New Roman" w:hAnsi="Times New Roman" w:cs="Times New Roman" w:eastAsia="Times New Roman"/>
      <w:b/>
      <w:sz w:val="20"/>
      <w:szCs w:val="16"/>
    </w:rPr>
  </w:style>
  <w:style w:type="paragraph" w:customStyle="1" w:styleId="P68B1DB1-Normal28">
    <w:name w:val="P68B1DB1-Normal28"/>
    <w:basedOn w:val="Normal"/>
    <w:rPr>
      <w:rFonts w:ascii="Times New Roman" w:hAnsi="Times New Roman" w:cs="Times New Roman" w:eastAsia="Times New Roman"/>
      <w:i/>
      <w:sz w:val="24"/>
      <w:szCs w:val="24"/>
    </w:rPr>
  </w:style>
  <w:style w:type="paragraph" w:customStyle="1" w:styleId="P68B1DB1-Normal29">
    <w:name w:val="P68B1DB1-Normal29"/>
    <w:basedOn w:val="Normal"/>
    <w:rPr>
      <w:rFonts w:ascii="Times New Roman" w:hAnsi="Times New Roman" w:cs="Times New Roman"/>
      <w:sz w:val="20"/>
      <w:szCs w:val="20"/>
    </w:rPr>
  </w:style>
  <w:style w:type="paragraph" w:customStyle="1" w:styleId="P68B1DB1-ListParagraph30">
    <w:name w:val="P68B1DB1-ListParagraph30"/>
    <w:basedOn w:val="ListParagraph"/>
    <w:rPr>
      <w:rFonts w:ascii="Times New Roman" w:hAnsi="Times New Roman" w:cs="Times New Roman"/>
      <w:b/>
      <w:sz w:val="24"/>
      <w:szCs w:val="24"/>
    </w:rPr>
  </w:style>
  <w:style w:type="paragraph" w:customStyle="1" w:styleId="P68B1DB1-Normal31">
    <w:name w:val="P68B1DB1-Normal31"/>
    <w:basedOn w:val="Normal"/>
    <w:rPr>
      <w:rFonts w:ascii="Times New Roman" w:hAnsi="Times New Roman" w:cs="Times New Roman"/>
      <w:i/>
      <w:sz w:val="20"/>
      <w:szCs w:val="16"/>
    </w:rPr>
  </w:style>
  <w:style w:type="paragraph" w:customStyle="1" w:styleId="P68B1DB1-Normal32">
    <w:name w:val="P68B1DB1-Normal32"/>
    <w:basedOn w:val="Normal"/>
    <w:rPr>
      <w:rFonts w:ascii="Times New Roman" w:hAnsi="Times New Roman" w:cs="Times New Roman" w:eastAsia="Times New Roman"/>
      <w:sz w:val="20"/>
      <w:szCs w:val="20"/>
    </w:rPr>
  </w:style>
  <w:style w:type="paragraph" w:customStyle="1" w:styleId="P68B1DB1-Normal33">
    <w:name w:val="P68B1DB1-Normal33"/>
    <w:basedOn w:val="Normal"/>
    <w:rPr>
      <w:sz w:val="20"/>
      <w:szCs w:val="16"/>
    </w:rPr>
  </w:style>
  <w:style w:type="paragraph" w:customStyle="1" w:styleId="P68B1DB1-BodyText34">
    <w:name w:val="P68B1DB1-BodyText34"/>
    <w:basedOn w:val="BodyText"/>
    <w:rPr>
      <w:b/>
      <w:sz w:val="28"/>
      <w:szCs w:val="22"/>
    </w:rPr>
  </w:style>
  <w:style w:type="paragraph" w:styleId="TOCHeading">
    <w:name w:val="TOC Heading"/>
    <w:basedOn w:val="Heading1"/>
    <w:next w:val="Normal"/>
    <w:uiPriority w:val="39"/>
    <w:unhideWhenUsed/>
    <w:qFormat/>
    <w:rsid w:val="00FF0D22"/>
    <w:pPr>
      <w:spacing w:before="240" w:after="0"/>
      <w:outlineLvl w:val="9"/>
    </w:pPr>
    <w:rPr>
      <w:sz w:val="32"/>
      <w:szCs w:val="32"/>
    </w:rPr>
  </w:style>
  <w:style w:type="paragraph" w:styleId="TOC2">
    <w:name w:val="toc 2"/>
    <w:basedOn w:val="Normal"/>
    <w:next w:val="Normal"/>
    <w:autoRedefine/>
    <w:uiPriority w:val="39"/>
    <w:unhideWhenUsed/>
    <w:rsid w:val="00FF0D22"/>
    <w:pPr>
      <w:spacing w:after="0"/>
      <w:ind w:left="220"/>
    </w:pPr>
    <w:rPr>
      <w:smallCaps/>
      <w:sz w:val="20"/>
      <w:szCs w:val="20"/>
    </w:rPr>
  </w:style>
  <w:style w:type="paragraph" w:styleId="TOC1">
    <w:name w:val="toc 1"/>
    <w:basedOn w:val="Normal"/>
    <w:next w:val="Normal"/>
    <w:autoRedefine/>
    <w:uiPriority w:val="39"/>
    <w:unhideWhenUsed/>
    <w:rsid w:val="00FF0D22"/>
    <w:pPr>
      <w:spacing w:before="120" w:after="120"/>
    </w:pPr>
    <w:rPr>
      <w:b/>
      <w:bCs/>
      <w:caps/>
      <w:sz w:val="20"/>
      <w:szCs w:val="20"/>
    </w:rPr>
  </w:style>
  <w:style w:type="paragraph" w:styleId="TOC3">
    <w:name w:val="toc 3"/>
    <w:basedOn w:val="Normal"/>
    <w:next w:val="Normal"/>
    <w:autoRedefine/>
    <w:uiPriority w:val="39"/>
    <w:unhideWhenUsed/>
    <w:rsid w:val="00FF0D22"/>
    <w:pPr>
      <w:spacing w:after="0"/>
      <w:ind w:left="440"/>
    </w:pPr>
    <w:rPr>
      <w:i/>
      <w:iCs/>
      <w:sz w:val="20"/>
      <w:szCs w:val="20"/>
    </w:rPr>
  </w:style>
  <w:style w:type="paragraph" w:styleId="TOC4">
    <w:name w:val="toc 4"/>
    <w:basedOn w:val="Normal"/>
    <w:next w:val="Normal"/>
    <w:autoRedefine/>
    <w:uiPriority w:val="39"/>
    <w:unhideWhenUsed/>
    <w:rsid w:val="00FF0D22"/>
    <w:pPr>
      <w:spacing w:after="0"/>
      <w:ind w:left="660"/>
    </w:pPr>
    <w:rPr>
      <w:sz w:val="18"/>
      <w:szCs w:val="18"/>
    </w:rPr>
  </w:style>
  <w:style w:type="paragraph" w:styleId="TOC5">
    <w:name w:val="toc 5"/>
    <w:basedOn w:val="Normal"/>
    <w:next w:val="Normal"/>
    <w:autoRedefine/>
    <w:uiPriority w:val="39"/>
    <w:unhideWhenUsed/>
    <w:rsid w:val="00FF0D22"/>
    <w:pPr>
      <w:spacing w:after="0"/>
      <w:ind w:left="880"/>
    </w:pPr>
    <w:rPr>
      <w:sz w:val="18"/>
      <w:szCs w:val="18"/>
    </w:rPr>
  </w:style>
  <w:style w:type="paragraph" w:styleId="TOC6">
    <w:name w:val="toc 6"/>
    <w:basedOn w:val="Normal"/>
    <w:next w:val="Normal"/>
    <w:autoRedefine/>
    <w:uiPriority w:val="39"/>
    <w:unhideWhenUsed/>
    <w:rsid w:val="00FF0D22"/>
    <w:pPr>
      <w:spacing w:after="0"/>
      <w:ind w:left="1100"/>
    </w:pPr>
    <w:rPr>
      <w:sz w:val="18"/>
      <w:szCs w:val="18"/>
    </w:rPr>
  </w:style>
  <w:style w:type="paragraph" w:styleId="TOC7">
    <w:name w:val="toc 7"/>
    <w:basedOn w:val="Normal"/>
    <w:next w:val="Normal"/>
    <w:autoRedefine/>
    <w:uiPriority w:val="39"/>
    <w:unhideWhenUsed/>
    <w:rsid w:val="00FF0D22"/>
    <w:pPr>
      <w:spacing w:after="0"/>
      <w:ind w:left="1320"/>
    </w:pPr>
    <w:rPr>
      <w:sz w:val="18"/>
      <w:szCs w:val="18"/>
    </w:rPr>
  </w:style>
  <w:style w:type="paragraph" w:styleId="TOC8">
    <w:name w:val="toc 8"/>
    <w:basedOn w:val="Normal"/>
    <w:next w:val="Normal"/>
    <w:autoRedefine/>
    <w:uiPriority w:val="39"/>
    <w:unhideWhenUsed/>
    <w:rsid w:val="00FF0D22"/>
    <w:pPr>
      <w:spacing w:after="0"/>
      <w:ind w:left="1540"/>
    </w:pPr>
    <w:rPr>
      <w:sz w:val="18"/>
      <w:szCs w:val="18"/>
    </w:rPr>
  </w:style>
  <w:style w:type="paragraph" w:styleId="TOC9">
    <w:name w:val="toc 9"/>
    <w:basedOn w:val="Normal"/>
    <w:next w:val="Normal"/>
    <w:autoRedefine/>
    <w:uiPriority w:val="39"/>
    <w:unhideWhenUsed/>
    <w:rsid w:val="00FF0D22"/>
    <w:pPr>
      <w:spacing w:after="0"/>
      <w:ind w:left="1760"/>
    </w:pPr>
    <w:rPr>
      <w:sz w:val="18"/>
      <w:szCs w:val="18"/>
    </w:rPr>
  </w:style>
  <w:style w:type="paragraph" w:styleId="P68B1DB1-P68B1DB1-Title11">
    <w:name w:val="P68B1DB1-P68B1DB1-Title11"/>
    <w:basedOn w:val="P68B1DB1-Title1"/>
    <w:rPr>
      <w:i/>
      <w:color w:val="FF0000"/>
      <w:sz w:val="24"/>
      <w:szCs w:val="24"/>
      <w:u w:val="none"/>
    </w:rPr>
  </w:style>
  <w:style w:type="paragraph" w:styleId="P68B1DB1-TOC12">
    <w:name w:val="P68B1DB1-TOC12"/>
    <w:basedOn w:val="TOC1"/>
    <w:rPr>
      <w:rFonts w:ascii="Times New Roman" w:hAnsi="Times New Roman" w:cs="Times New Roman"/>
    </w:rPr>
  </w:style>
  <w:style w:type="paragraph" w:styleId="P68B1DB1-Heading13">
    <w:name w:val="P68B1DB1-Heading13"/>
    <w:basedOn w:val="Heading1"/>
    <w:rPr>
      <w:color w:val="auto"/>
    </w:rPr>
  </w:style>
  <w:style w:type="paragraph" w:styleId="P68B1DB1-Heading24">
    <w:name w:val="P68B1DB1-Heading24"/>
    <w:basedOn w:val="Heading2"/>
    <w:rPr>
      <w:color w:val="auto"/>
    </w:rPr>
  </w:style>
  <w:style w:type="paragraph" w:styleId="P68B1DB1-P68B1DB1-Normal135">
    <w:name w:val="P68B1DB1-P68B1DB1-Normal135"/>
    <w:basedOn w:val="P68B1DB1-Normal13"/>
    <w:rPr>
      <w:b w:val="0"/>
      <w:i w:val="0"/>
    </w:rPr>
  </w:style>
  <w:style w:type="paragraph" w:styleId="P68B1DB1-P68B1DB1-Normal146">
    <w:name w:val="P68B1DB1-P68B1DB1-Normal146"/>
    <w:basedOn w:val="P68B1DB1-Normal14"/>
    <w:rPr>
      <w:i/>
      <w:sz w:val="20"/>
    </w:rPr>
  </w:style>
  <w:style w:type="paragraph" w:styleId="P68B1DB1-P68B1DB1-Normal147">
    <w:name w:val="P68B1DB1-P68B1DB1-Normal147"/>
    <w:basedOn w:val="P68B1DB1-Normal14"/>
    <w:rPr>
      <w:i/>
      <w:sz w:val="20"/>
      <w:szCs w:val="18"/>
    </w:rPr>
  </w:style>
  <w:style w:type="paragraph" w:styleId="P68B1DB1-P68B1DB1-Normal168">
    <w:name w:val="P68B1DB1-P68B1DB1-Normal168"/>
    <w:basedOn w:val="P68B1DB1-Normal16"/>
    <w:rPr>
      <w:b/>
      <w:i/>
      <w:sz w:val="22"/>
      <w:szCs w:val="18"/>
    </w:rPr>
  </w:style>
  <w:style w:type="paragraph" w:styleId="P68B1DB1-P68B1DB1-Normal169">
    <w:name w:val="P68B1DB1-P68B1DB1-Normal169"/>
    <w:basedOn w:val="P68B1DB1-Normal16"/>
    <w:rPr>
      <w:b/>
      <w:i/>
      <w:sz w:val="24"/>
      <w:szCs w:val="20"/>
    </w:rPr>
  </w:style>
  <w:style w:type="paragraph" w:styleId="P68B1DB1-P68B1DB1-Normal1710">
    <w:name w:val="P68B1DB1-P68B1DB1-Normal1710"/>
    <w:basedOn w:val="P68B1DB1-Normal17"/>
    <w:rPr>
      <w:i/>
      <w:sz w:val="20"/>
      <w:szCs w:val="18"/>
    </w:rPr>
  </w:style>
  <w:style w:type="paragraph" w:styleId="P68B1DB1-Normal11">
    <w:name w:val="P68B1DB1-Normal11"/>
    <w:basedOn w:val="Normal"/>
    <w:rPr>
      <w:rFonts w:ascii="Times New Roman" w:hAnsi="Times New Roman" w:cs="Times New Roman" w:eastAsia="Times New Roman"/>
      <w:sz w:val="20"/>
      <w:szCs w:val="18"/>
    </w:rPr>
  </w:style>
  <w:style w:type="paragraph" w:styleId="P68B1DB1-Normal19">
    <w:name w:val="P68B1DB1-Normal19"/>
    <w:basedOn w:val="Normal"/>
    <w:rPr>
      <w:rFonts w:ascii="Times New Roman" w:hAnsi="Times New Roman" w:cs="Times New Roman" w:eastAsia="Times New Roman"/>
      <w:i/>
      <w:sz w:val="20"/>
      <w:szCs w:val="18"/>
    </w:rPr>
  </w:style>
  <w:style w:type="paragraph" w:styleId="P68B1DB1-P68B1DB1-Normal1820">
    <w:name w:val="P68B1DB1-P68B1DB1-Normal1820"/>
    <w:basedOn w:val="P68B1DB1-Normal18"/>
    <w:rPr>
      <w:sz w:val="18"/>
      <w:szCs w:val="18"/>
    </w:rPr>
  </w:style>
  <w:style w:type="paragraph" w:styleId="P68B1DB1-P68B1DB1-Normal1421">
    <w:name w:val="P68B1DB1-P68B1DB1-Normal1421"/>
    <w:basedOn w:val="P68B1DB1-Normal14"/>
    <w:rPr>
      <w:i/>
    </w:rPr>
  </w:style>
  <w:style w:type="paragraph" w:styleId="P68B1DB1-P68B1DB1-Normal1622">
    <w:name w:val="P68B1DB1-P68B1DB1-Normal1622"/>
    <w:basedOn w:val="P68B1DB1-Normal16"/>
    <w:rPr>
      <w:b/>
      <w:i/>
      <w:sz w:val="22"/>
      <w:szCs w:val="22"/>
    </w:rPr>
  </w:style>
  <w:style w:type="paragraph" w:styleId="P68B1DB1-P68B1DB1-Normal1623">
    <w:name w:val="P68B1DB1-P68B1DB1-Normal1623"/>
    <w:basedOn w:val="P68B1DB1-Normal16"/>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2432">
      <w:bodyDiv w:val="1"/>
      <w:marLeft w:val="0"/>
      <w:marRight w:val="0"/>
      <w:marTop w:val="0"/>
      <w:marBottom w:val="0"/>
      <w:divBdr>
        <w:top w:val="none" w:sz="0" w:space="0" w:color="auto"/>
        <w:left w:val="none" w:sz="0" w:space="0" w:color="auto"/>
        <w:bottom w:val="none" w:sz="0" w:space="0" w:color="auto"/>
        <w:right w:val="none" w:sz="0" w:space="0" w:color="auto"/>
      </w:divBdr>
    </w:div>
    <w:div w:id="26762372">
      <w:bodyDiv w:val="1"/>
      <w:marLeft w:val="0"/>
      <w:marRight w:val="0"/>
      <w:marTop w:val="0"/>
      <w:marBottom w:val="0"/>
      <w:divBdr>
        <w:top w:val="none" w:sz="0" w:space="0" w:color="auto"/>
        <w:left w:val="none" w:sz="0" w:space="0" w:color="auto"/>
        <w:bottom w:val="none" w:sz="0" w:space="0" w:color="auto"/>
        <w:right w:val="none" w:sz="0" w:space="0" w:color="auto"/>
      </w:divBdr>
    </w:div>
    <w:div w:id="34356982">
      <w:bodyDiv w:val="1"/>
      <w:marLeft w:val="0"/>
      <w:marRight w:val="0"/>
      <w:marTop w:val="0"/>
      <w:marBottom w:val="0"/>
      <w:divBdr>
        <w:top w:val="none" w:sz="0" w:space="0" w:color="auto"/>
        <w:left w:val="none" w:sz="0" w:space="0" w:color="auto"/>
        <w:bottom w:val="none" w:sz="0" w:space="0" w:color="auto"/>
        <w:right w:val="none" w:sz="0" w:space="0" w:color="auto"/>
      </w:divBdr>
    </w:div>
    <w:div w:id="37046487">
      <w:bodyDiv w:val="1"/>
      <w:marLeft w:val="0"/>
      <w:marRight w:val="0"/>
      <w:marTop w:val="0"/>
      <w:marBottom w:val="0"/>
      <w:divBdr>
        <w:top w:val="none" w:sz="0" w:space="0" w:color="auto"/>
        <w:left w:val="none" w:sz="0" w:space="0" w:color="auto"/>
        <w:bottom w:val="none" w:sz="0" w:space="0" w:color="auto"/>
        <w:right w:val="none" w:sz="0" w:space="0" w:color="auto"/>
      </w:divBdr>
    </w:div>
    <w:div w:id="89932279">
      <w:bodyDiv w:val="1"/>
      <w:marLeft w:val="0"/>
      <w:marRight w:val="0"/>
      <w:marTop w:val="0"/>
      <w:marBottom w:val="0"/>
      <w:divBdr>
        <w:top w:val="none" w:sz="0" w:space="0" w:color="auto"/>
        <w:left w:val="none" w:sz="0" w:space="0" w:color="auto"/>
        <w:bottom w:val="none" w:sz="0" w:space="0" w:color="auto"/>
        <w:right w:val="none" w:sz="0" w:space="0" w:color="auto"/>
      </w:divBdr>
    </w:div>
    <w:div w:id="90786061">
      <w:bodyDiv w:val="1"/>
      <w:marLeft w:val="0"/>
      <w:marRight w:val="0"/>
      <w:marTop w:val="0"/>
      <w:marBottom w:val="0"/>
      <w:divBdr>
        <w:top w:val="none" w:sz="0" w:space="0" w:color="auto"/>
        <w:left w:val="none" w:sz="0" w:space="0" w:color="auto"/>
        <w:bottom w:val="none" w:sz="0" w:space="0" w:color="auto"/>
        <w:right w:val="none" w:sz="0" w:space="0" w:color="auto"/>
      </w:divBdr>
    </w:div>
    <w:div w:id="96026439">
      <w:bodyDiv w:val="1"/>
      <w:marLeft w:val="0"/>
      <w:marRight w:val="0"/>
      <w:marTop w:val="0"/>
      <w:marBottom w:val="0"/>
      <w:divBdr>
        <w:top w:val="none" w:sz="0" w:space="0" w:color="auto"/>
        <w:left w:val="none" w:sz="0" w:space="0" w:color="auto"/>
        <w:bottom w:val="none" w:sz="0" w:space="0" w:color="auto"/>
        <w:right w:val="none" w:sz="0" w:space="0" w:color="auto"/>
      </w:divBdr>
    </w:div>
    <w:div w:id="100228059">
      <w:bodyDiv w:val="1"/>
      <w:marLeft w:val="0"/>
      <w:marRight w:val="0"/>
      <w:marTop w:val="0"/>
      <w:marBottom w:val="0"/>
      <w:divBdr>
        <w:top w:val="none" w:sz="0" w:space="0" w:color="auto"/>
        <w:left w:val="none" w:sz="0" w:space="0" w:color="auto"/>
        <w:bottom w:val="none" w:sz="0" w:space="0" w:color="auto"/>
        <w:right w:val="none" w:sz="0" w:space="0" w:color="auto"/>
      </w:divBdr>
    </w:div>
    <w:div w:id="120274445">
      <w:bodyDiv w:val="1"/>
      <w:marLeft w:val="0"/>
      <w:marRight w:val="0"/>
      <w:marTop w:val="0"/>
      <w:marBottom w:val="0"/>
      <w:divBdr>
        <w:top w:val="none" w:sz="0" w:space="0" w:color="auto"/>
        <w:left w:val="none" w:sz="0" w:space="0" w:color="auto"/>
        <w:bottom w:val="none" w:sz="0" w:space="0" w:color="auto"/>
        <w:right w:val="none" w:sz="0" w:space="0" w:color="auto"/>
      </w:divBdr>
    </w:div>
    <w:div w:id="126512856">
      <w:bodyDiv w:val="1"/>
      <w:marLeft w:val="0"/>
      <w:marRight w:val="0"/>
      <w:marTop w:val="0"/>
      <w:marBottom w:val="0"/>
      <w:divBdr>
        <w:top w:val="none" w:sz="0" w:space="0" w:color="auto"/>
        <w:left w:val="none" w:sz="0" w:space="0" w:color="auto"/>
        <w:bottom w:val="none" w:sz="0" w:space="0" w:color="auto"/>
        <w:right w:val="none" w:sz="0" w:space="0" w:color="auto"/>
      </w:divBdr>
    </w:div>
    <w:div w:id="155148478">
      <w:bodyDiv w:val="1"/>
      <w:marLeft w:val="0"/>
      <w:marRight w:val="0"/>
      <w:marTop w:val="0"/>
      <w:marBottom w:val="0"/>
      <w:divBdr>
        <w:top w:val="none" w:sz="0" w:space="0" w:color="auto"/>
        <w:left w:val="none" w:sz="0" w:space="0" w:color="auto"/>
        <w:bottom w:val="none" w:sz="0" w:space="0" w:color="auto"/>
        <w:right w:val="none" w:sz="0" w:space="0" w:color="auto"/>
      </w:divBdr>
    </w:div>
    <w:div w:id="223029111">
      <w:bodyDiv w:val="1"/>
      <w:marLeft w:val="0"/>
      <w:marRight w:val="0"/>
      <w:marTop w:val="0"/>
      <w:marBottom w:val="0"/>
      <w:divBdr>
        <w:top w:val="none" w:sz="0" w:space="0" w:color="auto"/>
        <w:left w:val="none" w:sz="0" w:space="0" w:color="auto"/>
        <w:bottom w:val="none" w:sz="0" w:space="0" w:color="auto"/>
        <w:right w:val="none" w:sz="0" w:space="0" w:color="auto"/>
      </w:divBdr>
    </w:div>
    <w:div w:id="244265254">
      <w:bodyDiv w:val="1"/>
      <w:marLeft w:val="0"/>
      <w:marRight w:val="0"/>
      <w:marTop w:val="0"/>
      <w:marBottom w:val="0"/>
      <w:divBdr>
        <w:top w:val="none" w:sz="0" w:space="0" w:color="auto"/>
        <w:left w:val="none" w:sz="0" w:space="0" w:color="auto"/>
        <w:bottom w:val="none" w:sz="0" w:space="0" w:color="auto"/>
        <w:right w:val="none" w:sz="0" w:space="0" w:color="auto"/>
      </w:divBdr>
    </w:div>
    <w:div w:id="257255821">
      <w:bodyDiv w:val="1"/>
      <w:marLeft w:val="0"/>
      <w:marRight w:val="0"/>
      <w:marTop w:val="0"/>
      <w:marBottom w:val="0"/>
      <w:divBdr>
        <w:top w:val="none" w:sz="0" w:space="0" w:color="auto"/>
        <w:left w:val="none" w:sz="0" w:space="0" w:color="auto"/>
        <w:bottom w:val="none" w:sz="0" w:space="0" w:color="auto"/>
        <w:right w:val="none" w:sz="0" w:space="0" w:color="auto"/>
      </w:divBdr>
    </w:div>
    <w:div w:id="259609206">
      <w:bodyDiv w:val="1"/>
      <w:marLeft w:val="0"/>
      <w:marRight w:val="0"/>
      <w:marTop w:val="0"/>
      <w:marBottom w:val="0"/>
      <w:divBdr>
        <w:top w:val="none" w:sz="0" w:space="0" w:color="auto"/>
        <w:left w:val="none" w:sz="0" w:space="0" w:color="auto"/>
        <w:bottom w:val="none" w:sz="0" w:space="0" w:color="auto"/>
        <w:right w:val="none" w:sz="0" w:space="0" w:color="auto"/>
      </w:divBdr>
    </w:div>
    <w:div w:id="261766769">
      <w:bodyDiv w:val="1"/>
      <w:marLeft w:val="0"/>
      <w:marRight w:val="0"/>
      <w:marTop w:val="0"/>
      <w:marBottom w:val="0"/>
      <w:divBdr>
        <w:top w:val="none" w:sz="0" w:space="0" w:color="auto"/>
        <w:left w:val="none" w:sz="0" w:space="0" w:color="auto"/>
        <w:bottom w:val="none" w:sz="0" w:space="0" w:color="auto"/>
        <w:right w:val="none" w:sz="0" w:space="0" w:color="auto"/>
      </w:divBdr>
    </w:div>
    <w:div w:id="269317752">
      <w:bodyDiv w:val="1"/>
      <w:marLeft w:val="0"/>
      <w:marRight w:val="0"/>
      <w:marTop w:val="0"/>
      <w:marBottom w:val="0"/>
      <w:divBdr>
        <w:top w:val="none" w:sz="0" w:space="0" w:color="auto"/>
        <w:left w:val="none" w:sz="0" w:space="0" w:color="auto"/>
        <w:bottom w:val="none" w:sz="0" w:space="0" w:color="auto"/>
        <w:right w:val="none" w:sz="0" w:space="0" w:color="auto"/>
      </w:divBdr>
    </w:div>
    <w:div w:id="271399507">
      <w:bodyDiv w:val="1"/>
      <w:marLeft w:val="0"/>
      <w:marRight w:val="0"/>
      <w:marTop w:val="0"/>
      <w:marBottom w:val="0"/>
      <w:divBdr>
        <w:top w:val="none" w:sz="0" w:space="0" w:color="auto"/>
        <w:left w:val="none" w:sz="0" w:space="0" w:color="auto"/>
        <w:bottom w:val="none" w:sz="0" w:space="0" w:color="auto"/>
        <w:right w:val="none" w:sz="0" w:space="0" w:color="auto"/>
      </w:divBdr>
    </w:div>
    <w:div w:id="278880907">
      <w:bodyDiv w:val="1"/>
      <w:marLeft w:val="0"/>
      <w:marRight w:val="0"/>
      <w:marTop w:val="0"/>
      <w:marBottom w:val="0"/>
      <w:divBdr>
        <w:top w:val="none" w:sz="0" w:space="0" w:color="auto"/>
        <w:left w:val="none" w:sz="0" w:space="0" w:color="auto"/>
        <w:bottom w:val="none" w:sz="0" w:space="0" w:color="auto"/>
        <w:right w:val="none" w:sz="0" w:space="0" w:color="auto"/>
      </w:divBdr>
    </w:div>
    <w:div w:id="291714760">
      <w:bodyDiv w:val="1"/>
      <w:marLeft w:val="0"/>
      <w:marRight w:val="0"/>
      <w:marTop w:val="0"/>
      <w:marBottom w:val="0"/>
      <w:divBdr>
        <w:top w:val="none" w:sz="0" w:space="0" w:color="auto"/>
        <w:left w:val="none" w:sz="0" w:space="0" w:color="auto"/>
        <w:bottom w:val="none" w:sz="0" w:space="0" w:color="auto"/>
        <w:right w:val="none" w:sz="0" w:space="0" w:color="auto"/>
      </w:divBdr>
    </w:div>
    <w:div w:id="300774190">
      <w:bodyDiv w:val="1"/>
      <w:marLeft w:val="0"/>
      <w:marRight w:val="0"/>
      <w:marTop w:val="0"/>
      <w:marBottom w:val="0"/>
      <w:divBdr>
        <w:top w:val="none" w:sz="0" w:space="0" w:color="auto"/>
        <w:left w:val="none" w:sz="0" w:space="0" w:color="auto"/>
        <w:bottom w:val="none" w:sz="0" w:space="0" w:color="auto"/>
        <w:right w:val="none" w:sz="0" w:space="0" w:color="auto"/>
      </w:divBdr>
    </w:div>
    <w:div w:id="305622349">
      <w:bodyDiv w:val="1"/>
      <w:marLeft w:val="0"/>
      <w:marRight w:val="0"/>
      <w:marTop w:val="0"/>
      <w:marBottom w:val="0"/>
      <w:divBdr>
        <w:top w:val="none" w:sz="0" w:space="0" w:color="auto"/>
        <w:left w:val="none" w:sz="0" w:space="0" w:color="auto"/>
        <w:bottom w:val="none" w:sz="0" w:space="0" w:color="auto"/>
        <w:right w:val="none" w:sz="0" w:space="0" w:color="auto"/>
      </w:divBdr>
    </w:div>
    <w:div w:id="308022613">
      <w:bodyDiv w:val="1"/>
      <w:marLeft w:val="0"/>
      <w:marRight w:val="0"/>
      <w:marTop w:val="0"/>
      <w:marBottom w:val="0"/>
      <w:divBdr>
        <w:top w:val="none" w:sz="0" w:space="0" w:color="auto"/>
        <w:left w:val="none" w:sz="0" w:space="0" w:color="auto"/>
        <w:bottom w:val="none" w:sz="0" w:space="0" w:color="auto"/>
        <w:right w:val="none" w:sz="0" w:space="0" w:color="auto"/>
      </w:divBdr>
    </w:div>
    <w:div w:id="322703479">
      <w:bodyDiv w:val="1"/>
      <w:marLeft w:val="0"/>
      <w:marRight w:val="0"/>
      <w:marTop w:val="0"/>
      <w:marBottom w:val="0"/>
      <w:divBdr>
        <w:top w:val="none" w:sz="0" w:space="0" w:color="auto"/>
        <w:left w:val="none" w:sz="0" w:space="0" w:color="auto"/>
        <w:bottom w:val="none" w:sz="0" w:space="0" w:color="auto"/>
        <w:right w:val="none" w:sz="0" w:space="0" w:color="auto"/>
      </w:divBdr>
    </w:div>
    <w:div w:id="345834890">
      <w:bodyDiv w:val="1"/>
      <w:marLeft w:val="0"/>
      <w:marRight w:val="0"/>
      <w:marTop w:val="0"/>
      <w:marBottom w:val="0"/>
      <w:divBdr>
        <w:top w:val="none" w:sz="0" w:space="0" w:color="auto"/>
        <w:left w:val="none" w:sz="0" w:space="0" w:color="auto"/>
        <w:bottom w:val="none" w:sz="0" w:space="0" w:color="auto"/>
        <w:right w:val="none" w:sz="0" w:space="0" w:color="auto"/>
      </w:divBdr>
    </w:div>
    <w:div w:id="347604481">
      <w:bodyDiv w:val="1"/>
      <w:marLeft w:val="0"/>
      <w:marRight w:val="0"/>
      <w:marTop w:val="0"/>
      <w:marBottom w:val="0"/>
      <w:divBdr>
        <w:top w:val="none" w:sz="0" w:space="0" w:color="auto"/>
        <w:left w:val="none" w:sz="0" w:space="0" w:color="auto"/>
        <w:bottom w:val="none" w:sz="0" w:space="0" w:color="auto"/>
        <w:right w:val="none" w:sz="0" w:space="0" w:color="auto"/>
      </w:divBdr>
    </w:div>
    <w:div w:id="351994588">
      <w:bodyDiv w:val="1"/>
      <w:marLeft w:val="0"/>
      <w:marRight w:val="0"/>
      <w:marTop w:val="0"/>
      <w:marBottom w:val="0"/>
      <w:divBdr>
        <w:top w:val="none" w:sz="0" w:space="0" w:color="auto"/>
        <w:left w:val="none" w:sz="0" w:space="0" w:color="auto"/>
        <w:bottom w:val="none" w:sz="0" w:space="0" w:color="auto"/>
        <w:right w:val="none" w:sz="0" w:space="0" w:color="auto"/>
      </w:divBdr>
    </w:div>
    <w:div w:id="374358084">
      <w:bodyDiv w:val="1"/>
      <w:marLeft w:val="0"/>
      <w:marRight w:val="0"/>
      <w:marTop w:val="0"/>
      <w:marBottom w:val="0"/>
      <w:divBdr>
        <w:top w:val="none" w:sz="0" w:space="0" w:color="auto"/>
        <w:left w:val="none" w:sz="0" w:space="0" w:color="auto"/>
        <w:bottom w:val="none" w:sz="0" w:space="0" w:color="auto"/>
        <w:right w:val="none" w:sz="0" w:space="0" w:color="auto"/>
      </w:divBdr>
    </w:div>
    <w:div w:id="390075643">
      <w:bodyDiv w:val="1"/>
      <w:marLeft w:val="0"/>
      <w:marRight w:val="0"/>
      <w:marTop w:val="0"/>
      <w:marBottom w:val="0"/>
      <w:divBdr>
        <w:top w:val="none" w:sz="0" w:space="0" w:color="auto"/>
        <w:left w:val="none" w:sz="0" w:space="0" w:color="auto"/>
        <w:bottom w:val="none" w:sz="0" w:space="0" w:color="auto"/>
        <w:right w:val="none" w:sz="0" w:space="0" w:color="auto"/>
      </w:divBdr>
    </w:div>
    <w:div w:id="394163680">
      <w:bodyDiv w:val="1"/>
      <w:marLeft w:val="0"/>
      <w:marRight w:val="0"/>
      <w:marTop w:val="0"/>
      <w:marBottom w:val="0"/>
      <w:divBdr>
        <w:top w:val="none" w:sz="0" w:space="0" w:color="auto"/>
        <w:left w:val="none" w:sz="0" w:space="0" w:color="auto"/>
        <w:bottom w:val="none" w:sz="0" w:space="0" w:color="auto"/>
        <w:right w:val="none" w:sz="0" w:space="0" w:color="auto"/>
      </w:divBdr>
    </w:div>
    <w:div w:id="394285497">
      <w:bodyDiv w:val="1"/>
      <w:marLeft w:val="0"/>
      <w:marRight w:val="0"/>
      <w:marTop w:val="0"/>
      <w:marBottom w:val="0"/>
      <w:divBdr>
        <w:top w:val="none" w:sz="0" w:space="0" w:color="auto"/>
        <w:left w:val="none" w:sz="0" w:space="0" w:color="auto"/>
        <w:bottom w:val="none" w:sz="0" w:space="0" w:color="auto"/>
        <w:right w:val="none" w:sz="0" w:space="0" w:color="auto"/>
      </w:divBdr>
    </w:div>
    <w:div w:id="408159956">
      <w:bodyDiv w:val="1"/>
      <w:marLeft w:val="0"/>
      <w:marRight w:val="0"/>
      <w:marTop w:val="0"/>
      <w:marBottom w:val="0"/>
      <w:divBdr>
        <w:top w:val="none" w:sz="0" w:space="0" w:color="auto"/>
        <w:left w:val="none" w:sz="0" w:space="0" w:color="auto"/>
        <w:bottom w:val="none" w:sz="0" w:space="0" w:color="auto"/>
        <w:right w:val="none" w:sz="0" w:space="0" w:color="auto"/>
      </w:divBdr>
    </w:div>
    <w:div w:id="427428655">
      <w:bodyDiv w:val="1"/>
      <w:marLeft w:val="0"/>
      <w:marRight w:val="0"/>
      <w:marTop w:val="0"/>
      <w:marBottom w:val="0"/>
      <w:divBdr>
        <w:top w:val="none" w:sz="0" w:space="0" w:color="auto"/>
        <w:left w:val="none" w:sz="0" w:space="0" w:color="auto"/>
        <w:bottom w:val="none" w:sz="0" w:space="0" w:color="auto"/>
        <w:right w:val="none" w:sz="0" w:space="0" w:color="auto"/>
      </w:divBdr>
    </w:div>
    <w:div w:id="479661570">
      <w:bodyDiv w:val="1"/>
      <w:marLeft w:val="0"/>
      <w:marRight w:val="0"/>
      <w:marTop w:val="0"/>
      <w:marBottom w:val="0"/>
      <w:divBdr>
        <w:top w:val="none" w:sz="0" w:space="0" w:color="auto"/>
        <w:left w:val="none" w:sz="0" w:space="0" w:color="auto"/>
        <w:bottom w:val="none" w:sz="0" w:space="0" w:color="auto"/>
        <w:right w:val="none" w:sz="0" w:space="0" w:color="auto"/>
      </w:divBdr>
    </w:div>
    <w:div w:id="485588516">
      <w:bodyDiv w:val="1"/>
      <w:marLeft w:val="0"/>
      <w:marRight w:val="0"/>
      <w:marTop w:val="0"/>
      <w:marBottom w:val="0"/>
      <w:divBdr>
        <w:top w:val="none" w:sz="0" w:space="0" w:color="auto"/>
        <w:left w:val="none" w:sz="0" w:space="0" w:color="auto"/>
        <w:bottom w:val="none" w:sz="0" w:space="0" w:color="auto"/>
        <w:right w:val="none" w:sz="0" w:space="0" w:color="auto"/>
      </w:divBdr>
    </w:div>
    <w:div w:id="504324013">
      <w:bodyDiv w:val="1"/>
      <w:marLeft w:val="0"/>
      <w:marRight w:val="0"/>
      <w:marTop w:val="0"/>
      <w:marBottom w:val="0"/>
      <w:divBdr>
        <w:top w:val="none" w:sz="0" w:space="0" w:color="auto"/>
        <w:left w:val="none" w:sz="0" w:space="0" w:color="auto"/>
        <w:bottom w:val="none" w:sz="0" w:space="0" w:color="auto"/>
        <w:right w:val="none" w:sz="0" w:space="0" w:color="auto"/>
      </w:divBdr>
    </w:div>
    <w:div w:id="544369820">
      <w:bodyDiv w:val="1"/>
      <w:marLeft w:val="0"/>
      <w:marRight w:val="0"/>
      <w:marTop w:val="0"/>
      <w:marBottom w:val="0"/>
      <w:divBdr>
        <w:top w:val="none" w:sz="0" w:space="0" w:color="auto"/>
        <w:left w:val="none" w:sz="0" w:space="0" w:color="auto"/>
        <w:bottom w:val="none" w:sz="0" w:space="0" w:color="auto"/>
        <w:right w:val="none" w:sz="0" w:space="0" w:color="auto"/>
      </w:divBdr>
    </w:div>
    <w:div w:id="553933142">
      <w:bodyDiv w:val="1"/>
      <w:marLeft w:val="0"/>
      <w:marRight w:val="0"/>
      <w:marTop w:val="0"/>
      <w:marBottom w:val="0"/>
      <w:divBdr>
        <w:top w:val="none" w:sz="0" w:space="0" w:color="auto"/>
        <w:left w:val="none" w:sz="0" w:space="0" w:color="auto"/>
        <w:bottom w:val="none" w:sz="0" w:space="0" w:color="auto"/>
        <w:right w:val="none" w:sz="0" w:space="0" w:color="auto"/>
      </w:divBdr>
    </w:div>
    <w:div w:id="560671658">
      <w:bodyDiv w:val="1"/>
      <w:marLeft w:val="0"/>
      <w:marRight w:val="0"/>
      <w:marTop w:val="0"/>
      <w:marBottom w:val="0"/>
      <w:divBdr>
        <w:top w:val="none" w:sz="0" w:space="0" w:color="auto"/>
        <w:left w:val="none" w:sz="0" w:space="0" w:color="auto"/>
        <w:bottom w:val="none" w:sz="0" w:space="0" w:color="auto"/>
        <w:right w:val="none" w:sz="0" w:space="0" w:color="auto"/>
      </w:divBdr>
    </w:div>
    <w:div w:id="586159051">
      <w:bodyDiv w:val="1"/>
      <w:marLeft w:val="0"/>
      <w:marRight w:val="0"/>
      <w:marTop w:val="0"/>
      <w:marBottom w:val="0"/>
      <w:divBdr>
        <w:top w:val="none" w:sz="0" w:space="0" w:color="auto"/>
        <w:left w:val="none" w:sz="0" w:space="0" w:color="auto"/>
        <w:bottom w:val="none" w:sz="0" w:space="0" w:color="auto"/>
        <w:right w:val="none" w:sz="0" w:space="0" w:color="auto"/>
      </w:divBdr>
    </w:div>
    <w:div w:id="599073000">
      <w:bodyDiv w:val="1"/>
      <w:marLeft w:val="0"/>
      <w:marRight w:val="0"/>
      <w:marTop w:val="0"/>
      <w:marBottom w:val="0"/>
      <w:divBdr>
        <w:top w:val="none" w:sz="0" w:space="0" w:color="auto"/>
        <w:left w:val="none" w:sz="0" w:space="0" w:color="auto"/>
        <w:bottom w:val="none" w:sz="0" w:space="0" w:color="auto"/>
        <w:right w:val="none" w:sz="0" w:space="0" w:color="auto"/>
      </w:divBdr>
    </w:div>
    <w:div w:id="601182359">
      <w:bodyDiv w:val="1"/>
      <w:marLeft w:val="0"/>
      <w:marRight w:val="0"/>
      <w:marTop w:val="0"/>
      <w:marBottom w:val="0"/>
      <w:divBdr>
        <w:top w:val="none" w:sz="0" w:space="0" w:color="auto"/>
        <w:left w:val="none" w:sz="0" w:space="0" w:color="auto"/>
        <w:bottom w:val="none" w:sz="0" w:space="0" w:color="auto"/>
        <w:right w:val="none" w:sz="0" w:space="0" w:color="auto"/>
      </w:divBdr>
    </w:div>
    <w:div w:id="624970419">
      <w:bodyDiv w:val="1"/>
      <w:marLeft w:val="0"/>
      <w:marRight w:val="0"/>
      <w:marTop w:val="0"/>
      <w:marBottom w:val="0"/>
      <w:divBdr>
        <w:top w:val="none" w:sz="0" w:space="0" w:color="auto"/>
        <w:left w:val="none" w:sz="0" w:space="0" w:color="auto"/>
        <w:bottom w:val="none" w:sz="0" w:space="0" w:color="auto"/>
        <w:right w:val="none" w:sz="0" w:space="0" w:color="auto"/>
      </w:divBdr>
    </w:div>
    <w:div w:id="634532364">
      <w:bodyDiv w:val="1"/>
      <w:marLeft w:val="0"/>
      <w:marRight w:val="0"/>
      <w:marTop w:val="0"/>
      <w:marBottom w:val="0"/>
      <w:divBdr>
        <w:top w:val="none" w:sz="0" w:space="0" w:color="auto"/>
        <w:left w:val="none" w:sz="0" w:space="0" w:color="auto"/>
        <w:bottom w:val="none" w:sz="0" w:space="0" w:color="auto"/>
        <w:right w:val="none" w:sz="0" w:space="0" w:color="auto"/>
      </w:divBdr>
    </w:div>
    <w:div w:id="637103948">
      <w:bodyDiv w:val="1"/>
      <w:marLeft w:val="0"/>
      <w:marRight w:val="0"/>
      <w:marTop w:val="0"/>
      <w:marBottom w:val="0"/>
      <w:divBdr>
        <w:top w:val="none" w:sz="0" w:space="0" w:color="auto"/>
        <w:left w:val="none" w:sz="0" w:space="0" w:color="auto"/>
        <w:bottom w:val="none" w:sz="0" w:space="0" w:color="auto"/>
        <w:right w:val="none" w:sz="0" w:space="0" w:color="auto"/>
      </w:divBdr>
    </w:div>
    <w:div w:id="639308424">
      <w:bodyDiv w:val="1"/>
      <w:marLeft w:val="0"/>
      <w:marRight w:val="0"/>
      <w:marTop w:val="0"/>
      <w:marBottom w:val="0"/>
      <w:divBdr>
        <w:top w:val="none" w:sz="0" w:space="0" w:color="auto"/>
        <w:left w:val="none" w:sz="0" w:space="0" w:color="auto"/>
        <w:bottom w:val="none" w:sz="0" w:space="0" w:color="auto"/>
        <w:right w:val="none" w:sz="0" w:space="0" w:color="auto"/>
      </w:divBdr>
    </w:div>
    <w:div w:id="659652558">
      <w:bodyDiv w:val="1"/>
      <w:marLeft w:val="0"/>
      <w:marRight w:val="0"/>
      <w:marTop w:val="0"/>
      <w:marBottom w:val="0"/>
      <w:divBdr>
        <w:top w:val="none" w:sz="0" w:space="0" w:color="auto"/>
        <w:left w:val="none" w:sz="0" w:space="0" w:color="auto"/>
        <w:bottom w:val="none" w:sz="0" w:space="0" w:color="auto"/>
        <w:right w:val="none" w:sz="0" w:space="0" w:color="auto"/>
      </w:divBdr>
    </w:div>
    <w:div w:id="667051423">
      <w:bodyDiv w:val="1"/>
      <w:marLeft w:val="0"/>
      <w:marRight w:val="0"/>
      <w:marTop w:val="0"/>
      <w:marBottom w:val="0"/>
      <w:divBdr>
        <w:top w:val="none" w:sz="0" w:space="0" w:color="auto"/>
        <w:left w:val="none" w:sz="0" w:space="0" w:color="auto"/>
        <w:bottom w:val="none" w:sz="0" w:space="0" w:color="auto"/>
        <w:right w:val="none" w:sz="0" w:space="0" w:color="auto"/>
      </w:divBdr>
    </w:div>
    <w:div w:id="669254184">
      <w:bodyDiv w:val="1"/>
      <w:marLeft w:val="0"/>
      <w:marRight w:val="0"/>
      <w:marTop w:val="0"/>
      <w:marBottom w:val="0"/>
      <w:divBdr>
        <w:top w:val="none" w:sz="0" w:space="0" w:color="auto"/>
        <w:left w:val="none" w:sz="0" w:space="0" w:color="auto"/>
        <w:bottom w:val="none" w:sz="0" w:space="0" w:color="auto"/>
        <w:right w:val="none" w:sz="0" w:space="0" w:color="auto"/>
      </w:divBdr>
    </w:div>
    <w:div w:id="685715688">
      <w:bodyDiv w:val="1"/>
      <w:marLeft w:val="0"/>
      <w:marRight w:val="0"/>
      <w:marTop w:val="0"/>
      <w:marBottom w:val="0"/>
      <w:divBdr>
        <w:top w:val="none" w:sz="0" w:space="0" w:color="auto"/>
        <w:left w:val="none" w:sz="0" w:space="0" w:color="auto"/>
        <w:bottom w:val="none" w:sz="0" w:space="0" w:color="auto"/>
        <w:right w:val="none" w:sz="0" w:space="0" w:color="auto"/>
      </w:divBdr>
    </w:div>
    <w:div w:id="694426801">
      <w:bodyDiv w:val="1"/>
      <w:marLeft w:val="0"/>
      <w:marRight w:val="0"/>
      <w:marTop w:val="0"/>
      <w:marBottom w:val="0"/>
      <w:divBdr>
        <w:top w:val="none" w:sz="0" w:space="0" w:color="auto"/>
        <w:left w:val="none" w:sz="0" w:space="0" w:color="auto"/>
        <w:bottom w:val="none" w:sz="0" w:space="0" w:color="auto"/>
        <w:right w:val="none" w:sz="0" w:space="0" w:color="auto"/>
      </w:divBdr>
    </w:div>
    <w:div w:id="728385506">
      <w:bodyDiv w:val="1"/>
      <w:marLeft w:val="0"/>
      <w:marRight w:val="0"/>
      <w:marTop w:val="0"/>
      <w:marBottom w:val="0"/>
      <w:divBdr>
        <w:top w:val="none" w:sz="0" w:space="0" w:color="auto"/>
        <w:left w:val="none" w:sz="0" w:space="0" w:color="auto"/>
        <w:bottom w:val="none" w:sz="0" w:space="0" w:color="auto"/>
        <w:right w:val="none" w:sz="0" w:space="0" w:color="auto"/>
      </w:divBdr>
    </w:div>
    <w:div w:id="799618016">
      <w:bodyDiv w:val="1"/>
      <w:marLeft w:val="0"/>
      <w:marRight w:val="0"/>
      <w:marTop w:val="0"/>
      <w:marBottom w:val="0"/>
      <w:divBdr>
        <w:top w:val="none" w:sz="0" w:space="0" w:color="auto"/>
        <w:left w:val="none" w:sz="0" w:space="0" w:color="auto"/>
        <w:bottom w:val="none" w:sz="0" w:space="0" w:color="auto"/>
        <w:right w:val="none" w:sz="0" w:space="0" w:color="auto"/>
      </w:divBdr>
    </w:div>
    <w:div w:id="801389786">
      <w:bodyDiv w:val="1"/>
      <w:marLeft w:val="0"/>
      <w:marRight w:val="0"/>
      <w:marTop w:val="0"/>
      <w:marBottom w:val="0"/>
      <w:divBdr>
        <w:top w:val="none" w:sz="0" w:space="0" w:color="auto"/>
        <w:left w:val="none" w:sz="0" w:space="0" w:color="auto"/>
        <w:bottom w:val="none" w:sz="0" w:space="0" w:color="auto"/>
        <w:right w:val="none" w:sz="0" w:space="0" w:color="auto"/>
      </w:divBdr>
    </w:div>
    <w:div w:id="806317562">
      <w:bodyDiv w:val="1"/>
      <w:marLeft w:val="0"/>
      <w:marRight w:val="0"/>
      <w:marTop w:val="0"/>
      <w:marBottom w:val="0"/>
      <w:divBdr>
        <w:top w:val="none" w:sz="0" w:space="0" w:color="auto"/>
        <w:left w:val="none" w:sz="0" w:space="0" w:color="auto"/>
        <w:bottom w:val="none" w:sz="0" w:space="0" w:color="auto"/>
        <w:right w:val="none" w:sz="0" w:space="0" w:color="auto"/>
      </w:divBdr>
    </w:div>
    <w:div w:id="808864558">
      <w:bodyDiv w:val="1"/>
      <w:marLeft w:val="0"/>
      <w:marRight w:val="0"/>
      <w:marTop w:val="0"/>
      <w:marBottom w:val="0"/>
      <w:divBdr>
        <w:top w:val="none" w:sz="0" w:space="0" w:color="auto"/>
        <w:left w:val="none" w:sz="0" w:space="0" w:color="auto"/>
        <w:bottom w:val="none" w:sz="0" w:space="0" w:color="auto"/>
        <w:right w:val="none" w:sz="0" w:space="0" w:color="auto"/>
      </w:divBdr>
    </w:div>
    <w:div w:id="812143656">
      <w:bodyDiv w:val="1"/>
      <w:marLeft w:val="0"/>
      <w:marRight w:val="0"/>
      <w:marTop w:val="0"/>
      <w:marBottom w:val="0"/>
      <w:divBdr>
        <w:top w:val="none" w:sz="0" w:space="0" w:color="auto"/>
        <w:left w:val="none" w:sz="0" w:space="0" w:color="auto"/>
        <w:bottom w:val="none" w:sz="0" w:space="0" w:color="auto"/>
        <w:right w:val="none" w:sz="0" w:space="0" w:color="auto"/>
      </w:divBdr>
    </w:div>
    <w:div w:id="817842752">
      <w:bodyDiv w:val="1"/>
      <w:marLeft w:val="0"/>
      <w:marRight w:val="0"/>
      <w:marTop w:val="0"/>
      <w:marBottom w:val="0"/>
      <w:divBdr>
        <w:top w:val="none" w:sz="0" w:space="0" w:color="auto"/>
        <w:left w:val="none" w:sz="0" w:space="0" w:color="auto"/>
        <w:bottom w:val="none" w:sz="0" w:space="0" w:color="auto"/>
        <w:right w:val="none" w:sz="0" w:space="0" w:color="auto"/>
      </w:divBdr>
    </w:div>
    <w:div w:id="818808023">
      <w:bodyDiv w:val="1"/>
      <w:marLeft w:val="0"/>
      <w:marRight w:val="0"/>
      <w:marTop w:val="0"/>
      <w:marBottom w:val="0"/>
      <w:divBdr>
        <w:top w:val="none" w:sz="0" w:space="0" w:color="auto"/>
        <w:left w:val="none" w:sz="0" w:space="0" w:color="auto"/>
        <w:bottom w:val="none" w:sz="0" w:space="0" w:color="auto"/>
        <w:right w:val="none" w:sz="0" w:space="0" w:color="auto"/>
      </w:divBdr>
    </w:div>
    <w:div w:id="820586418">
      <w:bodyDiv w:val="1"/>
      <w:marLeft w:val="0"/>
      <w:marRight w:val="0"/>
      <w:marTop w:val="0"/>
      <w:marBottom w:val="0"/>
      <w:divBdr>
        <w:top w:val="none" w:sz="0" w:space="0" w:color="auto"/>
        <w:left w:val="none" w:sz="0" w:space="0" w:color="auto"/>
        <w:bottom w:val="none" w:sz="0" w:space="0" w:color="auto"/>
        <w:right w:val="none" w:sz="0" w:space="0" w:color="auto"/>
      </w:divBdr>
    </w:div>
    <w:div w:id="825243672">
      <w:bodyDiv w:val="1"/>
      <w:marLeft w:val="0"/>
      <w:marRight w:val="0"/>
      <w:marTop w:val="0"/>
      <w:marBottom w:val="0"/>
      <w:divBdr>
        <w:top w:val="none" w:sz="0" w:space="0" w:color="auto"/>
        <w:left w:val="none" w:sz="0" w:space="0" w:color="auto"/>
        <w:bottom w:val="none" w:sz="0" w:space="0" w:color="auto"/>
        <w:right w:val="none" w:sz="0" w:space="0" w:color="auto"/>
      </w:divBdr>
    </w:div>
    <w:div w:id="851068949">
      <w:bodyDiv w:val="1"/>
      <w:marLeft w:val="0"/>
      <w:marRight w:val="0"/>
      <w:marTop w:val="0"/>
      <w:marBottom w:val="0"/>
      <w:divBdr>
        <w:top w:val="none" w:sz="0" w:space="0" w:color="auto"/>
        <w:left w:val="none" w:sz="0" w:space="0" w:color="auto"/>
        <w:bottom w:val="none" w:sz="0" w:space="0" w:color="auto"/>
        <w:right w:val="none" w:sz="0" w:space="0" w:color="auto"/>
      </w:divBdr>
    </w:div>
    <w:div w:id="853955006">
      <w:bodyDiv w:val="1"/>
      <w:marLeft w:val="0"/>
      <w:marRight w:val="0"/>
      <w:marTop w:val="0"/>
      <w:marBottom w:val="0"/>
      <w:divBdr>
        <w:top w:val="none" w:sz="0" w:space="0" w:color="auto"/>
        <w:left w:val="none" w:sz="0" w:space="0" w:color="auto"/>
        <w:bottom w:val="none" w:sz="0" w:space="0" w:color="auto"/>
        <w:right w:val="none" w:sz="0" w:space="0" w:color="auto"/>
      </w:divBdr>
    </w:div>
    <w:div w:id="861357653">
      <w:bodyDiv w:val="1"/>
      <w:marLeft w:val="0"/>
      <w:marRight w:val="0"/>
      <w:marTop w:val="0"/>
      <w:marBottom w:val="0"/>
      <w:divBdr>
        <w:top w:val="none" w:sz="0" w:space="0" w:color="auto"/>
        <w:left w:val="none" w:sz="0" w:space="0" w:color="auto"/>
        <w:bottom w:val="none" w:sz="0" w:space="0" w:color="auto"/>
        <w:right w:val="none" w:sz="0" w:space="0" w:color="auto"/>
      </w:divBdr>
    </w:div>
    <w:div w:id="866798977">
      <w:bodyDiv w:val="1"/>
      <w:marLeft w:val="0"/>
      <w:marRight w:val="0"/>
      <w:marTop w:val="0"/>
      <w:marBottom w:val="0"/>
      <w:divBdr>
        <w:top w:val="none" w:sz="0" w:space="0" w:color="auto"/>
        <w:left w:val="none" w:sz="0" w:space="0" w:color="auto"/>
        <w:bottom w:val="none" w:sz="0" w:space="0" w:color="auto"/>
        <w:right w:val="none" w:sz="0" w:space="0" w:color="auto"/>
      </w:divBdr>
    </w:div>
    <w:div w:id="868294175">
      <w:bodyDiv w:val="1"/>
      <w:marLeft w:val="0"/>
      <w:marRight w:val="0"/>
      <w:marTop w:val="0"/>
      <w:marBottom w:val="0"/>
      <w:divBdr>
        <w:top w:val="none" w:sz="0" w:space="0" w:color="auto"/>
        <w:left w:val="none" w:sz="0" w:space="0" w:color="auto"/>
        <w:bottom w:val="none" w:sz="0" w:space="0" w:color="auto"/>
        <w:right w:val="none" w:sz="0" w:space="0" w:color="auto"/>
      </w:divBdr>
    </w:div>
    <w:div w:id="873270522">
      <w:bodyDiv w:val="1"/>
      <w:marLeft w:val="0"/>
      <w:marRight w:val="0"/>
      <w:marTop w:val="0"/>
      <w:marBottom w:val="0"/>
      <w:divBdr>
        <w:top w:val="none" w:sz="0" w:space="0" w:color="auto"/>
        <w:left w:val="none" w:sz="0" w:space="0" w:color="auto"/>
        <w:bottom w:val="none" w:sz="0" w:space="0" w:color="auto"/>
        <w:right w:val="none" w:sz="0" w:space="0" w:color="auto"/>
      </w:divBdr>
    </w:div>
    <w:div w:id="878008076">
      <w:bodyDiv w:val="1"/>
      <w:marLeft w:val="0"/>
      <w:marRight w:val="0"/>
      <w:marTop w:val="0"/>
      <w:marBottom w:val="0"/>
      <w:divBdr>
        <w:top w:val="none" w:sz="0" w:space="0" w:color="auto"/>
        <w:left w:val="none" w:sz="0" w:space="0" w:color="auto"/>
        <w:bottom w:val="none" w:sz="0" w:space="0" w:color="auto"/>
        <w:right w:val="none" w:sz="0" w:space="0" w:color="auto"/>
      </w:divBdr>
    </w:div>
    <w:div w:id="882718537">
      <w:bodyDiv w:val="1"/>
      <w:marLeft w:val="0"/>
      <w:marRight w:val="0"/>
      <w:marTop w:val="0"/>
      <w:marBottom w:val="0"/>
      <w:divBdr>
        <w:top w:val="none" w:sz="0" w:space="0" w:color="auto"/>
        <w:left w:val="none" w:sz="0" w:space="0" w:color="auto"/>
        <w:bottom w:val="none" w:sz="0" w:space="0" w:color="auto"/>
        <w:right w:val="none" w:sz="0" w:space="0" w:color="auto"/>
      </w:divBdr>
    </w:div>
    <w:div w:id="893538847">
      <w:bodyDiv w:val="1"/>
      <w:marLeft w:val="0"/>
      <w:marRight w:val="0"/>
      <w:marTop w:val="0"/>
      <w:marBottom w:val="0"/>
      <w:divBdr>
        <w:top w:val="none" w:sz="0" w:space="0" w:color="auto"/>
        <w:left w:val="none" w:sz="0" w:space="0" w:color="auto"/>
        <w:bottom w:val="none" w:sz="0" w:space="0" w:color="auto"/>
        <w:right w:val="none" w:sz="0" w:space="0" w:color="auto"/>
      </w:divBdr>
    </w:div>
    <w:div w:id="895235720">
      <w:bodyDiv w:val="1"/>
      <w:marLeft w:val="0"/>
      <w:marRight w:val="0"/>
      <w:marTop w:val="0"/>
      <w:marBottom w:val="0"/>
      <w:divBdr>
        <w:top w:val="none" w:sz="0" w:space="0" w:color="auto"/>
        <w:left w:val="none" w:sz="0" w:space="0" w:color="auto"/>
        <w:bottom w:val="none" w:sz="0" w:space="0" w:color="auto"/>
        <w:right w:val="none" w:sz="0" w:space="0" w:color="auto"/>
      </w:divBdr>
    </w:div>
    <w:div w:id="925961939">
      <w:bodyDiv w:val="1"/>
      <w:marLeft w:val="0"/>
      <w:marRight w:val="0"/>
      <w:marTop w:val="0"/>
      <w:marBottom w:val="0"/>
      <w:divBdr>
        <w:top w:val="none" w:sz="0" w:space="0" w:color="auto"/>
        <w:left w:val="none" w:sz="0" w:space="0" w:color="auto"/>
        <w:bottom w:val="none" w:sz="0" w:space="0" w:color="auto"/>
        <w:right w:val="none" w:sz="0" w:space="0" w:color="auto"/>
      </w:divBdr>
    </w:div>
    <w:div w:id="928730430">
      <w:bodyDiv w:val="1"/>
      <w:marLeft w:val="0"/>
      <w:marRight w:val="0"/>
      <w:marTop w:val="0"/>
      <w:marBottom w:val="0"/>
      <w:divBdr>
        <w:top w:val="none" w:sz="0" w:space="0" w:color="auto"/>
        <w:left w:val="none" w:sz="0" w:space="0" w:color="auto"/>
        <w:bottom w:val="none" w:sz="0" w:space="0" w:color="auto"/>
        <w:right w:val="none" w:sz="0" w:space="0" w:color="auto"/>
      </w:divBdr>
    </w:div>
    <w:div w:id="939605178">
      <w:bodyDiv w:val="1"/>
      <w:marLeft w:val="0"/>
      <w:marRight w:val="0"/>
      <w:marTop w:val="0"/>
      <w:marBottom w:val="0"/>
      <w:divBdr>
        <w:top w:val="none" w:sz="0" w:space="0" w:color="auto"/>
        <w:left w:val="none" w:sz="0" w:space="0" w:color="auto"/>
        <w:bottom w:val="none" w:sz="0" w:space="0" w:color="auto"/>
        <w:right w:val="none" w:sz="0" w:space="0" w:color="auto"/>
      </w:divBdr>
    </w:div>
    <w:div w:id="961106863">
      <w:bodyDiv w:val="1"/>
      <w:marLeft w:val="0"/>
      <w:marRight w:val="0"/>
      <w:marTop w:val="0"/>
      <w:marBottom w:val="0"/>
      <w:divBdr>
        <w:top w:val="none" w:sz="0" w:space="0" w:color="auto"/>
        <w:left w:val="none" w:sz="0" w:space="0" w:color="auto"/>
        <w:bottom w:val="none" w:sz="0" w:space="0" w:color="auto"/>
        <w:right w:val="none" w:sz="0" w:space="0" w:color="auto"/>
      </w:divBdr>
    </w:div>
    <w:div w:id="962224947">
      <w:bodyDiv w:val="1"/>
      <w:marLeft w:val="0"/>
      <w:marRight w:val="0"/>
      <w:marTop w:val="0"/>
      <w:marBottom w:val="0"/>
      <w:divBdr>
        <w:top w:val="none" w:sz="0" w:space="0" w:color="auto"/>
        <w:left w:val="none" w:sz="0" w:space="0" w:color="auto"/>
        <w:bottom w:val="none" w:sz="0" w:space="0" w:color="auto"/>
        <w:right w:val="none" w:sz="0" w:space="0" w:color="auto"/>
      </w:divBdr>
    </w:div>
    <w:div w:id="964776247">
      <w:bodyDiv w:val="1"/>
      <w:marLeft w:val="0"/>
      <w:marRight w:val="0"/>
      <w:marTop w:val="0"/>
      <w:marBottom w:val="0"/>
      <w:divBdr>
        <w:top w:val="none" w:sz="0" w:space="0" w:color="auto"/>
        <w:left w:val="none" w:sz="0" w:space="0" w:color="auto"/>
        <w:bottom w:val="none" w:sz="0" w:space="0" w:color="auto"/>
        <w:right w:val="none" w:sz="0" w:space="0" w:color="auto"/>
      </w:divBdr>
    </w:div>
    <w:div w:id="975842363">
      <w:bodyDiv w:val="1"/>
      <w:marLeft w:val="0"/>
      <w:marRight w:val="0"/>
      <w:marTop w:val="0"/>
      <w:marBottom w:val="0"/>
      <w:divBdr>
        <w:top w:val="none" w:sz="0" w:space="0" w:color="auto"/>
        <w:left w:val="none" w:sz="0" w:space="0" w:color="auto"/>
        <w:bottom w:val="none" w:sz="0" w:space="0" w:color="auto"/>
        <w:right w:val="none" w:sz="0" w:space="0" w:color="auto"/>
      </w:divBdr>
    </w:div>
    <w:div w:id="982194863">
      <w:bodyDiv w:val="1"/>
      <w:marLeft w:val="0"/>
      <w:marRight w:val="0"/>
      <w:marTop w:val="0"/>
      <w:marBottom w:val="0"/>
      <w:divBdr>
        <w:top w:val="none" w:sz="0" w:space="0" w:color="auto"/>
        <w:left w:val="none" w:sz="0" w:space="0" w:color="auto"/>
        <w:bottom w:val="none" w:sz="0" w:space="0" w:color="auto"/>
        <w:right w:val="none" w:sz="0" w:space="0" w:color="auto"/>
      </w:divBdr>
    </w:div>
    <w:div w:id="1001586752">
      <w:bodyDiv w:val="1"/>
      <w:marLeft w:val="0"/>
      <w:marRight w:val="0"/>
      <w:marTop w:val="0"/>
      <w:marBottom w:val="0"/>
      <w:divBdr>
        <w:top w:val="none" w:sz="0" w:space="0" w:color="auto"/>
        <w:left w:val="none" w:sz="0" w:space="0" w:color="auto"/>
        <w:bottom w:val="none" w:sz="0" w:space="0" w:color="auto"/>
        <w:right w:val="none" w:sz="0" w:space="0" w:color="auto"/>
      </w:divBdr>
    </w:div>
    <w:div w:id="1015035849">
      <w:bodyDiv w:val="1"/>
      <w:marLeft w:val="0"/>
      <w:marRight w:val="0"/>
      <w:marTop w:val="0"/>
      <w:marBottom w:val="0"/>
      <w:divBdr>
        <w:top w:val="none" w:sz="0" w:space="0" w:color="auto"/>
        <w:left w:val="none" w:sz="0" w:space="0" w:color="auto"/>
        <w:bottom w:val="none" w:sz="0" w:space="0" w:color="auto"/>
        <w:right w:val="none" w:sz="0" w:space="0" w:color="auto"/>
      </w:divBdr>
    </w:div>
    <w:div w:id="1018240659">
      <w:bodyDiv w:val="1"/>
      <w:marLeft w:val="0"/>
      <w:marRight w:val="0"/>
      <w:marTop w:val="0"/>
      <w:marBottom w:val="0"/>
      <w:divBdr>
        <w:top w:val="none" w:sz="0" w:space="0" w:color="auto"/>
        <w:left w:val="none" w:sz="0" w:space="0" w:color="auto"/>
        <w:bottom w:val="none" w:sz="0" w:space="0" w:color="auto"/>
        <w:right w:val="none" w:sz="0" w:space="0" w:color="auto"/>
      </w:divBdr>
    </w:div>
    <w:div w:id="1024087676">
      <w:bodyDiv w:val="1"/>
      <w:marLeft w:val="0"/>
      <w:marRight w:val="0"/>
      <w:marTop w:val="0"/>
      <w:marBottom w:val="0"/>
      <w:divBdr>
        <w:top w:val="none" w:sz="0" w:space="0" w:color="auto"/>
        <w:left w:val="none" w:sz="0" w:space="0" w:color="auto"/>
        <w:bottom w:val="none" w:sz="0" w:space="0" w:color="auto"/>
        <w:right w:val="none" w:sz="0" w:space="0" w:color="auto"/>
      </w:divBdr>
    </w:div>
    <w:div w:id="1028021003">
      <w:bodyDiv w:val="1"/>
      <w:marLeft w:val="0"/>
      <w:marRight w:val="0"/>
      <w:marTop w:val="0"/>
      <w:marBottom w:val="0"/>
      <w:divBdr>
        <w:top w:val="none" w:sz="0" w:space="0" w:color="auto"/>
        <w:left w:val="none" w:sz="0" w:space="0" w:color="auto"/>
        <w:bottom w:val="none" w:sz="0" w:space="0" w:color="auto"/>
        <w:right w:val="none" w:sz="0" w:space="0" w:color="auto"/>
      </w:divBdr>
    </w:div>
    <w:div w:id="1032263687">
      <w:bodyDiv w:val="1"/>
      <w:marLeft w:val="0"/>
      <w:marRight w:val="0"/>
      <w:marTop w:val="0"/>
      <w:marBottom w:val="0"/>
      <w:divBdr>
        <w:top w:val="none" w:sz="0" w:space="0" w:color="auto"/>
        <w:left w:val="none" w:sz="0" w:space="0" w:color="auto"/>
        <w:bottom w:val="none" w:sz="0" w:space="0" w:color="auto"/>
        <w:right w:val="none" w:sz="0" w:space="0" w:color="auto"/>
      </w:divBdr>
    </w:div>
    <w:div w:id="1041369523">
      <w:bodyDiv w:val="1"/>
      <w:marLeft w:val="0"/>
      <w:marRight w:val="0"/>
      <w:marTop w:val="0"/>
      <w:marBottom w:val="0"/>
      <w:divBdr>
        <w:top w:val="none" w:sz="0" w:space="0" w:color="auto"/>
        <w:left w:val="none" w:sz="0" w:space="0" w:color="auto"/>
        <w:bottom w:val="none" w:sz="0" w:space="0" w:color="auto"/>
        <w:right w:val="none" w:sz="0" w:space="0" w:color="auto"/>
      </w:divBdr>
    </w:div>
    <w:div w:id="1086876873">
      <w:bodyDiv w:val="1"/>
      <w:marLeft w:val="0"/>
      <w:marRight w:val="0"/>
      <w:marTop w:val="0"/>
      <w:marBottom w:val="0"/>
      <w:divBdr>
        <w:top w:val="none" w:sz="0" w:space="0" w:color="auto"/>
        <w:left w:val="none" w:sz="0" w:space="0" w:color="auto"/>
        <w:bottom w:val="none" w:sz="0" w:space="0" w:color="auto"/>
        <w:right w:val="none" w:sz="0" w:space="0" w:color="auto"/>
      </w:divBdr>
    </w:div>
    <w:div w:id="1087574199">
      <w:bodyDiv w:val="1"/>
      <w:marLeft w:val="0"/>
      <w:marRight w:val="0"/>
      <w:marTop w:val="0"/>
      <w:marBottom w:val="0"/>
      <w:divBdr>
        <w:top w:val="none" w:sz="0" w:space="0" w:color="auto"/>
        <w:left w:val="none" w:sz="0" w:space="0" w:color="auto"/>
        <w:bottom w:val="none" w:sz="0" w:space="0" w:color="auto"/>
        <w:right w:val="none" w:sz="0" w:space="0" w:color="auto"/>
      </w:divBdr>
    </w:div>
    <w:div w:id="1091773831">
      <w:bodyDiv w:val="1"/>
      <w:marLeft w:val="0"/>
      <w:marRight w:val="0"/>
      <w:marTop w:val="0"/>
      <w:marBottom w:val="0"/>
      <w:divBdr>
        <w:top w:val="none" w:sz="0" w:space="0" w:color="auto"/>
        <w:left w:val="none" w:sz="0" w:space="0" w:color="auto"/>
        <w:bottom w:val="none" w:sz="0" w:space="0" w:color="auto"/>
        <w:right w:val="none" w:sz="0" w:space="0" w:color="auto"/>
      </w:divBdr>
    </w:div>
    <w:div w:id="1119835599">
      <w:bodyDiv w:val="1"/>
      <w:marLeft w:val="0"/>
      <w:marRight w:val="0"/>
      <w:marTop w:val="0"/>
      <w:marBottom w:val="0"/>
      <w:divBdr>
        <w:top w:val="none" w:sz="0" w:space="0" w:color="auto"/>
        <w:left w:val="none" w:sz="0" w:space="0" w:color="auto"/>
        <w:bottom w:val="none" w:sz="0" w:space="0" w:color="auto"/>
        <w:right w:val="none" w:sz="0" w:space="0" w:color="auto"/>
      </w:divBdr>
    </w:div>
    <w:div w:id="1131483721">
      <w:bodyDiv w:val="1"/>
      <w:marLeft w:val="0"/>
      <w:marRight w:val="0"/>
      <w:marTop w:val="0"/>
      <w:marBottom w:val="0"/>
      <w:divBdr>
        <w:top w:val="none" w:sz="0" w:space="0" w:color="auto"/>
        <w:left w:val="none" w:sz="0" w:space="0" w:color="auto"/>
        <w:bottom w:val="none" w:sz="0" w:space="0" w:color="auto"/>
        <w:right w:val="none" w:sz="0" w:space="0" w:color="auto"/>
      </w:divBdr>
    </w:div>
    <w:div w:id="1137605253">
      <w:bodyDiv w:val="1"/>
      <w:marLeft w:val="0"/>
      <w:marRight w:val="0"/>
      <w:marTop w:val="0"/>
      <w:marBottom w:val="0"/>
      <w:divBdr>
        <w:top w:val="none" w:sz="0" w:space="0" w:color="auto"/>
        <w:left w:val="none" w:sz="0" w:space="0" w:color="auto"/>
        <w:bottom w:val="none" w:sz="0" w:space="0" w:color="auto"/>
        <w:right w:val="none" w:sz="0" w:space="0" w:color="auto"/>
      </w:divBdr>
    </w:div>
    <w:div w:id="1145313133">
      <w:bodyDiv w:val="1"/>
      <w:marLeft w:val="0"/>
      <w:marRight w:val="0"/>
      <w:marTop w:val="0"/>
      <w:marBottom w:val="0"/>
      <w:divBdr>
        <w:top w:val="none" w:sz="0" w:space="0" w:color="auto"/>
        <w:left w:val="none" w:sz="0" w:space="0" w:color="auto"/>
        <w:bottom w:val="none" w:sz="0" w:space="0" w:color="auto"/>
        <w:right w:val="none" w:sz="0" w:space="0" w:color="auto"/>
      </w:divBdr>
    </w:div>
    <w:div w:id="1162625275">
      <w:bodyDiv w:val="1"/>
      <w:marLeft w:val="0"/>
      <w:marRight w:val="0"/>
      <w:marTop w:val="0"/>
      <w:marBottom w:val="0"/>
      <w:divBdr>
        <w:top w:val="none" w:sz="0" w:space="0" w:color="auto"/>
        <w:left w:val="none" w:sz="0" w:space="0" w:color="auto"/>
        <w:bottom w:val="none" w:sz="0" w:space="0" w:color="auto"/>
        <w:right w:val="none" w:sz="0" w:space="0" w:color="auto"/>
      </w:divBdr>
    </w:div>
    <w:div w:id="1181703073">
      <w:bodyDiv w:val="1"/>
      <w:marLeft w:val="0"/>
      <w:marRight w:val="0"/>
      <w:marTop w:val="0"/>
      <w:marBottom w:val="0"/>
      <w:divBdr>
        <w:top w:val="none" w:sz="0" w:space="0" w:color="auto"/>
        <w:left w:val="none" w:sz="0" w:space="0" w:color="auto"/>
        <w:bottom w:val="none" w:sz="0" w:space="0" w:color="auto"/>
        <w:right w:val="none" w:sz="0" w:space="0" w:color="auto"/>
      </w:divBdr>
    </w:div>
    <w:div w:id="1182205564">
      <w:bodyDiv w:val="1"/>
      <w:marLeft w:val="0"/>
      <w:marRight w:val="0"/>
      <w:marTop w:val="0"/>
      <w:marBottom w:val="0"/>
      <w:divBdr>
        <w:top w:val="none" w:sz="0" w:space="0" w:color="auto"/>
        <w:left w:val="none" w:sz="0" w:space="0" w:color="auto"/>
        <w:bottom w:val="none" w:sz="0" w:space="0" w:color="auto"/>
        <w:right w:val="none" w:sz="0" w:space="0" w:color="auto"/>
      </w:divBdr>
    </w:div>
    <w:div w:id="1223640665">
      <w:bodyDiv w:val="1"/>
      <w:marLeft w:val="0"/>
      <w:marRight w:val="0"/>
      <w:marTop w:val="0"/>
      <w:marBottom w:val="0"/>
      <w:divBdr>
        <w:top w:val="none" w:sz="0" w:space="0" w:color="auto"/>
        <w:left w:val="none" w:sz="0" w:space="0" w:color="auto"/>
        <w:bottom w:val="none" w:sz="0" w:space="0" w:color="auto"/>
        <w:right w:val="none" w:sz="0" w:space="0" w:color="auto"/>
      </w:divBdr>
    </w:div>
    <w:div w:id="1237932868">
      <w:bodyDiv w:val="1"/>
      <w:marLeft w:val="0"/>
      <w:marRight w:val="0"/>
      <w:marTop w:val="0"/>
      <w:marBottom w:val="0"/>
      <w:divBdr>
        <w:top w:val="none" w:sz="0" w:space="0" w:color="auto"/>
        <w:left w:val="none" w:sz="0" w:space="0" w:color="auto"/>
        <w:bottom w:val="none" w:sz="0" w:space="0" w:color="auto"/>
        <w:right w:val="none" w:sz="0" w:space="0" w:color="auto"/>
      </w:divBdr>
    </w:div>
    <w:div w:id="1241911787">
      <w:bodyDiv w:val="1"/>
      <w:marLeft w:val="0"/>
      <w:marRight w:val="0"/>
      <w:marTop w:val="0"/>
      <w:marBottom w:val="0"/>
      <w:divBdr>
        <w:top w:val="none" w:sz="0" w:space="0" w:color="auto"/>
        <w:left w:val="none" w:sz="0" w:space="0" w:color="auto"/>
        <w:bottom w:val="none" w:sz="0" w:space="0" w:color="auto"/>
        <w:right w:val="none" w:sz="0" w:space="0" w:color="auto"/>
      </w:divBdr>
    </w:div>
    <w:div w:id="1245140899">
      <w:bodyDiv w:val="1"/>
      <w:marLeft w:val="0"/>
      <w:marRight w:val="0"/>
      <w:marTop w:val="0"/>
      <w:marBottom w:val="0"/>
      <w:divBdr>
        <w:top w:val="none" w:sz="0" w:space="0" w:color="auto"/>
        <w:left w:val="none" w:sz="0" w:space="0" w:color="auto"/>
        <w:bottom w:val="none" w:sz="0" w:space="0" w:color="auto"/>
        <w:right w:val="none" w:sz="0" w:space="0" w:color="auto"/>
      </w:divBdr>
    </w:div>
    <w:div w:id="1253853942">
      <w:bodyDiv w:val="1"/>
      <w:marLeft w:val="0"/>
      <w:marRight w:val="0"/>
      <w:marTop w:val="0"/>
      <w:marBottom w:val="0"/>
      <w:divBdr>
        <w:top w:val="none" w:sz="0" w:space="0" w:color="auto"/>
        <w:left w:val="none" w:sz="0" w:space="0" w:color="auto"/>
        <w:bottom w:val="none" w:sz="0" w:space="0" w:color="auto"/>
        <w:right w:val="none" w:sz="0" w:space="0" w:color="auto"/>
      </w:divBdr>
    </w:div>
    <w:div w:id="1256548914">
      <w:bodyDiv w:val="1"/>
      <w:marLeft w:val="0"/>
      <w:marRight w:val="0"/>
      <w:marTop w:val="0"/>
      <w:marBottom w:val="0"/>
      <w:divBdr>
        <w:top w:val="none" w:sz="0" w:space="0" w:color="auto"/>
        <w:left w:val="none" w:sz="0" w:space="0" w:color="auto"/>
        <w:bottom w:val="none" w:sz="0" w:space="0" w:color="auto"/>
        <w:right w:val="none" w:sz="0" w:space="0" w:color="auto"/>
      </w:divBdr>
    </w:div>
    <w:div w:id="1274089464">
      <w:bodyDiv w:val="1"/>
      <w:marLeft w:val="0"/>
      <w:marRight w:val="0"/>
      <w:marTop w:val="0"/>
      <w:marBottom w:val="0"/>
      <w:divBdr>
        <w:top w:val="none" w:sz="0" w:space="0" w:color="auto"/>
        <w:left w:val="none" w:sz="0" w:space="0" w:color="auto"/>
        <w:bottom w:val="none" w:sz="0" w:space="0" w:color="auto"/>
        <w:right w:val="none" w:sz="0" w:space="0" w:color="auto"/>
      </w:divBdr>
    </w:div>
    <w:div w:id="1275594372">
      <w:bodyDiv w:val="1"/>
      <w:marLeft w:val="0"/>
      <w:marRight w:val="0"/>
      <w:marTop w:val="0"/>
      <w:marBottom w:val="0"/>
      <w:divBdr>
        <w:top w:val="none" w:sz="0" w:space="0" w:color="auto"/>
        <w:left w:val="none" w:sz="0" w:space="0" w:color="auto"/>
        <w:bottom w:val="none" w:sz="0" w:space="0" w:color="auto"/>
        <w:right w:val="none" w:sz="0" w:space="0" w:color="auto"/>
      </w:divBdr>
    </w:div>
    <w:div w:id="1290549286">
      <w:bodyDiv w:val="1"/>
      <w:marLeft w:val="0"/>
      <w:marRight w:val="0"/>
      <w:marTop w:val="0"/>
      <w:marBottom w:val="0"/>
      <w:divBdr>
        <w:top w:val="none" w:sz="0" w:space="0" w:color="auto"/>
        <w:left w:val="none" w:sz="0" w:space="0" w:color="auto"/>
        <w:bottom w:val="none" w:sz="0" w:space="0" w:color="auto"/>
        <w:right w:val="none" w:sz="0" w:space="0" w:color="auto"/>
      </w:divBdr>
    </w:div>
    <w:div w:id="1320496794">
      <w:bodyDiv w:val="1"/>
      <w:marLeft w:val="0"/>
      <w:marRight w:val="0"/>
      <w:marTop w:val="0"/>
      <w:marBottom w:val="0"/>
      <w:divBdr>
        <w:top w:val="none" w:sz="0" w:space="0" w:color="auto"/>
        <w:left w:val="none" w:sz="0" w:space="0" w:color="auto"/>
        <w:bottom w:val="none" w:sz="0" w:space="0" w:color="auto"/>
        <w:right w:val="none" w:sz="0" w:space="0" w:color="auto"/>
      </w:divBdr>
    </w:div>
    <w:div w:id="1323898560">
      <w:bodyDiv w:val="1"/>
      <w:marLeft w:val="0"/>
      <w:marRight w:val="0"/>
      <w:marTop w:val="0"/>
      <w:marBottom w:val="0"/>
      <w:divBdr>
        <w:top w:val="none" w:sz="0" w:space="0" w:color="auto"/>
        <w:left w:val="none" w:sz="0" w:space="0" w:color="auto"/>
        <w:bottom w:val="none" w:sz="0" w:space="0" w:color="auto"/>
        <w:right w:val="none" w:sz="0" w:space="0" w:color="auto"/>
      </w:divBdr>
    </w:div>
    <w:div w:id="1330671052">
      <w:bodyDiv w:val="1"/>
      <w:marLeft w:val="0"/>
      <w:marRight w:val="0"/>
      <w:marTop w:val="0"/>
      <w:marBottom w:val="0"/>
      <w:divBdr>
        <w:top w:val="none" w:sz="0" w:space="0" w:color="auto"/>
        <w:left w:val="none" w:sz="0" w:space="0" w:color="auto"/>
        <w:bottom w:val="none" w:sz="0" w:space="0" w:color="auto"/>
        <w:right w:val="none" w:sz="0" w:space="0" w:color="auto"/>
      </w:divBdr>
    </w:div>
    <w:div w:id="1358115293">
      <w:bodyDiv w:val="1"/>
      <w:marLeft w:val="0"/>
      <w:marRight w:val="0"/>
      <w:marTop w:val="0"/>
      <w:marBottom w:val="0"/>
      <w:divBdr>
        <w:top w:val="none" w:sz="0" w:space="0" w:color="auto"/>
        <w:left w:val="none" w:sz="0" w:space="0" w:color="auto"/>
        <w:bottom w:val="none" w:sz="0" w:space="0" w:color="auto"/>
        <w:right w:val="none" w:sz="0" w:space="0" w:color="auto"/>
      </w:divBdr>
    </w:div>
    <w:div w:id="1366566787">
      <w:bodyDiv w:val="1"/>
      <w:marLeft w:val="0"/>
      <w:marRight w:val="0"/>
      <w:marTop w:val="0"/>
      <w:marBottom w:val="0"/>
      <w:divBdr>
        <w:top w:val="none" w:sz="0" w:space="0" w:color="auto"/>
        <w:left w:val="none" w:sz="0" w:space="0" w:color="auto"/>
        <w:bottom w:val="none" w:sz="0" w:space="0" w:color="auto"/>
        <w:right w:val="none" w:sz="0" w:space="0" w:color="auto"/>
      </w:divBdr>
    </w:div>
    <w:div w:id="1382703684">
      <w:bodyDiv w:val="1"/>
      <w:marLeft w:val="0"/>
      <w:marRight w:val="0"/>
      <w:marTop w:val="0"/>
      <w:marBottom w:val="0"/>
      <w:divBdr>
        <w:top w:val="none" w:sz="0" w:space="0" w:color="auto"/>
        <w:left w:val="none" w:sz="0" w:space="0" w:color="auto"/>
        <w:bottom w:val="none" w:sz="0" w:space="0" w:color="auto"/>
        <w:right w:val="none" w:sz="0" w:space="0" w:color="auto"/>
      </w:divBdr>
    </w:div>
    <w:div w:id="1405033862">
      <w:bodyDiv w:val="1"/>
      <w:marLeft w:val="0"/>
      <w:marRight w:val="0"/>
      <w:marTop w:val="0"/>
      <w:marBottom w:val="0"/>
      <w:divBdr>
        <w:top w:val="none" w:sz="0" w:space="0" w:color="auto"/>
        <w:left w:val="none" w:sz="0" w:space="0" w:color="auto"/>
        <w:bottom w:val="none" w:sz="0" w:space="0" w:color="auto"/>
        <w:right w:val="none" w:sz="0" w:space="0" w:color="auto"/>
      </w:divBdr>
    </w:div>
    <w:div w:id="1409419333">
      <w:bodyDiv w:val="1"/>
      <w:marLeft w:val="0"/>
      <w:marRight w:val="0"/>
      <w:marTop w:val="0"/>
      <w:marBottom w:val="0"/>
      <w:divBdr>
        <w:top w:val="none" w:sz="0" w:space="0" w:color="auto"/>
        <w:left w:val="none" w:sz="0" w:space="0" w:color="auto"/>
        <w:bottom w:val="none" w:sz="0" w:space="0" w:color="auto"/>
        <w:right w:val="none" w:sz="0" w:space="0" w:color="auto"/>
      </w:divBdr>
    </w:div>
    <w:div w:id="1414620349">
      <w:bodyDiv w:val="1"/>
      <w:marLeft w:val="0"/>
      <w:marRight w:val="0"/>
      <w:marTop w:val="0"/>
      <w:marBottom w:val="0"/>
      <w:divBdr>
        <w:top w:val="none" w:sz="0" w:space="0" w:color="auto"/>
        <w:left w:val="none" w:sz="0" w:space="0" w:color="auto"/>
        <w:bottom w:val="none" w:sz="0" w:space="0" w:color="auto"/>
        <w:right w:val="none" w:sz="0" w:space="0" w:color="auto"/>
      </w:divBdr>
    </w:div>
    <w:div w:id="1427578041">
      <w:bodyDiv w:val="1"/>
      <w:marLeft w:val="0"/>
      <w:marRight w:val="0"/>
      <w:marTop w:val="0"/>
      <w:marBottom w:val="0"/>
      <w:divBdr>
        <w:top w:val="none" w:sz="0" w:space="0" w:color="auto"/>
        <w:left w:val="none" w:sz="0" w:space="0" w:color="auto"/>
        <w:bottom w:val="none" w:sz="0" w:space="0" w:color="auto"/>
        <w:right w:val="none" w:sz="0" w:space="0" w:color="auto"/>
      </w:divBdr>
    </w:div>
    <w:div w:id="1438065585">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8814079">
      <w:bodyDiv w:val="1"/>
      <w:marLeft w:val="0"/>
      <w:marRight w:val="0"/>
      <w:marTop w:val="0"/>
      <w:marBottom w:val="0"/>
      <w:divBdr>
        <w:top w:val="none" w:sz="0" w:space="0" w:color="auto"/>
        <w:left w:val="none" w:sz="0" w:space="0" w:color="auto"/>
        <w:bottom w:val="none" w:sz="0" w:space="0" w:color="auto"/>
        <w:right w:val="none" w:sz="0" w:space="0" w:color="auto"/>
      </w:divBdr>
    </w:div>
    <w:div w:id="1449395336">
      <w:bodyDiv w:val="1"/>
      <w:marLeft w:val="0"/>
      <w:marRight w:val="0"/>
      <w:marTop w:val="0"/>
      <w:marBottom w:val="0"/>
      <w:divBdr>
        <w:top w:val="none" w:sz="0" w:space="0" w:color="auto"/>
        <w:left w:val="none" w:sz="0" w:space="0" w:color="auto"/>
        <w:bottom w:val="none" w:sz="0" w:space="0" w:color="auto"/>
        <w:right w:val="none" w:sz="0" w:space="0" w:color="auto"/>
      </w:divBdr>
    </w:div>
    <w:div w:id="1519351655">
      <w:bodyDiv w:val="1"/>
      <w:marLeft w:val="0"/>
      <w:marRight w:val="0"/>
      <w:marTop w:val="0"/>
      <w:marBottom w:val="0"/>
      <w:divBdr>
        <w:top w:val="none" w:sz="0" w:space="0" w:color="auto"/>
        <w:left w:val="none" w:sz="0" w:space="0" w:color="auto"/>
        <w:bottom w:val="none" w:sz="0" w:space="0" w:color="auto"/>
        <w:right w:val="none" w:sz="0" w:space="0" w:color="auto"/>
      </w:divBdr>
    </w:div>
    <w:div w:id="1519544628">
      <w:bodyDiv w:val="1"/>
      <w:marLeft w:val="0"/>
      <w:marRight w:val="0"/>
      <w:marTop w:val="0"/>
      <w:marBottom w:val="0"/>
      <w:divBdr>
        <w:top w:val="none" w:sz="0" w:space="0" w:color="auto"/>
        <w:left w:val="none" w:sz="0" w:space="0" w:color="auto"/>
        <w:bottom w:val="none" w:sz="0" w:space="0" w:color="auto"/>
        <w:right w:val="none" w:sz="0" w:space="0" w:color="auto"/>
      </w:divBdr>
    </w:div>
    <w:div w:id="1539202657">
      <w:bodyDiv w:val="1"/>
      <w:marLeft w:val="0"/>
      <w:marRight w:val="0"/>
      <w:marTop w:val="0"/>
      <w:marBottom w:val="0"/>
      <w:divBdr>
        <w:top w:val="none" w:sz="0" w:space="0" w:color="auto"/>
        <w:left w:val="none" w:sz="0" w:space="0" w:color="auto"/>
        <w:bottom w:val="none" w:sz="0" w:space="0" w:color="auto"/>
        <w:right w:val="none" w:sz="0" w:space="0" w:color="auto"/>
      </w:divBdr>
    </w:div>
    <w:div w:id="1558660905">
      <w:bodyDiv w:val="1"/>
      <w:marLeft w:val="0"/>
      <w:marRight w:val="0"/>
      <w:marTop w:val="0"/>
      <w:marBottom w:val="0"/>
      <w:divBdr>
        <w:top w:val="none" w:sz="0" w:space="0" w:color="auto"/>
        <w:left w:val="none" w:sz="0" w:space="0" w:color="auto"/>
        <w:bottom w:val="none" w:sz="0" w:space="0" w:color="auto"/>
        <w:right w:val="none" w:sz="0" w:space="0" w:color="auto"/>
      </w:divBdr>
    </w:div>
    <w:div w:id="1577326650">
      <w:bodyDiv w:val="1"/>
      <w:marLeft w:val="0"/>
      <w:marRight w:val="0"/>
      <w:marTop w:val="0"/>
      <w:marBottom w:val="0"/>
      <w:divBdr>
        <w:top w:val="none" w:sz="0" w:space="0" w:color="auto"/>
        <w:left w:val="none" w:sz="0" w:space="0" w:color="auto"/>
        <w:bottom w:val="none" w:sz="0" w:space="0" w:color="auto"/>
        <w:right w:val="none" w:sz="0" w:space="0" w:color="auto"/>
      </w:divBdr>
    </w:div>
    <w:div w:id="1607535979">
      <w:bodyDiv w:val="1"/>
      <w:marLeft w:val="0"/>
      <w:marRight w:val="0"/>
      <w:marTop w:val="0"/>
      <w:marBottom w:val="0"/>
      <w:divBdr>
        <w:top w:val="none" w:sz="0" w:space="0" w:color="auto"/>
        <w:left w:val="none" w:sz="0" w:space="0" w:color="auto"/>
        <w:bottom w:val="none" w:sz="0" w:space="0" w:color="auto"/>
        <w:right w:val="none" w:sz="0" w:space="0" w:color="auto"/>
      </w:divBdr>
    </w:div>
    <w:div w:id="1618176952">
      <w:bodyDiv w:val="1"/>
      <w:marLeft w:val="0"/>
      <w:marRight w:val="0"/>
      <w:marTop w:val="0"/>
      <w:marBottom w:val="0"/>
      <w:divBdr>
        <w:top w:val="none" w:sz="0" w:space="0" w:color="auto"/>
        <w:left w:val="none" w:sz="0" w:space="0" w:color="auto"/>
        <w:bottom w:val="none" w:sz="0" w:space="0" w:color="auto"/>
        <w:right w:val="none" w:sz="0" w:space="0" w:color="auto"/>
      </w:divBdr>
    </w:div>
    <w:div w:id="1660233669">
      <w:bodyDiv w:val="1"/>
      <w:marLeft w:val="0"/>
      <w:marRight w:val="0"/>
      <w:marTop w:val="0"/>
      <w:marBottom w:val="0"/>
      <w:divBdr>
        <w:top w:val="none" w:sz="0" w:space="0" w:color="auto"/>
        <w:left w:val="none" w:sz="0" w:space="0" w:color="auto"/>
        <w:bottom w:val="none" w:sz="0" w:space="0" w:color="auto"/>
        <w:right w:val="none" w:sz="0" w:space="0" w:color="auto"/>
      </w:divBdr>
    </w:div>
    <w:div w:id="1666205262">
      <w:bodyDiv w:val="1"/>
      <w:marLeft w:val="0"/>
      <w:marRight w:val="0"/>
      <w:marTop w:val="0"/>
      <w:marBottom w:val="0"/>
      <w:divBdr>
        <w:top w:val="none" w:sz="0" w:space="0" w:color="auto"/>
        <w:left w:val="none" w:sz="0" w:space="0" w:color="auto"/>
        <w:bottom w:val="none" w:sz="0" w:space="0" w:color="auto"/>
        <w:right w:val="none" w:sz="0" w:space="0" w:color="auto"/>
      </w:divBdr>
    </w:div>
    <w:div w:id="1707371767">
      <w:bodyDiv w:val="1"/>
      <w:marLeft w:val="0"/>
      <w:marRight w:val="0"/>
      <w:marTop w:val="0"/>
      <w:marBottom w:val="0"/>
      <w:divBdr>
        <w:top w:val="none" w:sz="0" w:space="0" w:color="auto"/>
        <w:left w:val="none" w:sz="0" w:space="0" w:color="auto"/>
        <w:bottom w:val="none" w:sz="0" w:space="0" w:color="auto"/>
        <w:right w:val="none" w:sz="0" w:space="0" w:color="auto"/>
      </w:divBdr>
    </w:div>
    <w:div w:id="1726837295">
      <w:bodyDiv w:val="1"/>
      <w:marLeft w:val="0"/>
      <w:marRight w:val="0"/>
      <w:marTop w:val="0"/>
      <w:marBottom w:val="0"/>
      <w:divBdr>
        <w:top w:val="none" w:sz="0" w:space="0" w:color="auto"/>
        <w:left w:val="none" w:sz="0" w:space="0" w:color="auto"/>
        <w:bottom w:val="none" w:sz="0" w:space="0" w:color="auto"/>
        <w:right w:val="none" w:sz="0" w:space="0" w:color="auto"/>
      </w:divBdr>
    </w:div>
    <w:div w:id="1741638900">
      <w:bodyDiv w:val="1"/>
      <w:marLeft w:val="0"/>
      <w:marRight w:val="0"/>
      <w:marTop w:val="0"/>
      <w:marBottom w:val="0"/>
      <w:divBdr>
        <w:top w:val="none" w:sz="0" w:space="0" w:color="auto"/>
        <w:left w:val="none" w:sz="0" w:space="0" w:color="auto"/>
        <w:bottom w:val="none" w:sz="0" w:space="0" w:color="auto"/>
        <w:right w:val="none" w:sz="0" w:space="0" w:color="auto"/>
      </w:divBdr>
    </w:div>
    <w:div w:id="1747875453">
      <w:bodyDiv w:val="1"/>
      <w:marLeft w:val="0"/>
      <w:marRight w:val="0"/>
      <w:marTop w:val="0"/>
      <w:marBottom w:val="0"/>
      <w:divBdr>
        <w:top w:val="none" w:sz="0" w:space="0" w:color="auto"/>
        <w:left w:val="none" w:sz="0" w:space="0" w:color="auto"/>
        <w:bottom w:val="none" w:sz="0" w:space="0" w:color="auto"/>
        <w:right w:val="none" w:sz="0" w:space="0" w:color="auto"/>
      </w:divBdr>
    </w:div>
    <w:div w:id="1778408548">
      <w:bodyDiv w:val="1"/>
      <w:marLeft w:val="0"/>
      <w:marRight w:val="0"/>
      <w:marTop w:val="0"/>
      <w:marBottom w:val="0"/>
      <w:divBdr>
        <w:top w:val="none" w:sz="0" w:space="0" w:color="auto"/>
        <w:left w:val="none" w:sz="0" w:space="0" w:color="auto"/>
        <w:bottom w:val="none" w:sz="0" w:space="0" w:color="auto"/>
        <w:right w:val="none" w:sz="0" w:space="0" w:color="auto"/>
      </w:divBdr>
    </w:div>
    <w:div w:id="1778521265">
      <w:bodyDiv w:val="1"/>
      <w:marLeft w:val="0"/>
      <w:marRight w:val="0"/>
      <w:marTop w:val="0"/>
      <w:marBottom w:val="0"/>
      <w:divBdr>
        <w:top w:val="none" w:sz="0" w:space="0" w:color="auto"/>
        <w:left w:val="none" w:sz="0" w:space="0" w:color="auto"/>
        <w:bottom w:val="none" w:sz="0" w:space="0" w:color="auto"/>
        <w:right w:val="none" w:sz="0" w:space="0" w:color="auto"/>
      </w:divBdr>
    </w:div>
    <w:div w:id="1780639913">
      <w:bodyDiv w:val="1"/>
      <w:marLeft w:val="0"/>
      <w:marRight w:val="0"/>
      <w:marTop w:val="0"/>
      <w:marBottom w:val="0"/>
      <w:divBdr>
        <w:top w:val="none" w:sz="0" w:space="0" w:color="auto"/>
        <w:left w:val="none" w:sz="0" w:space="0" w:color="auto"/>
        <w:bottom w:val="none" w:sz="0" w:space="0" w:color="auto"/>
        <w:right w:val="none" w:sz="0" w:space="0" w:color="auto"/>
      </w:divBdr>
    </w:div>
    <w:div w:id="1790053855">
      <w:bodyDiv w:val="1"/>
      <w:marLeft w:val="0"/>
      <w:marRight w:val="0"/>
      <w:marTop w:val="0"/>
      <w:marBottom w:val="0"/>
      <w:divBdr>
        <w:top w:val="none" w:sz="0" w:space="0" w:color="auto"/>
        <w:left w:val="none" w:sz="0" w:space="0" w:color="auto"/>
        <w:bottom w:val="none" w:sz="0" w:space="0" w:color="auto"/>
        <w:right w:val="none" w:sz="0" w:space="0" w:color="auto"/>
      </w:divBdr>
    </w:div>
    <w:div w:id="1791703791">
      <w:bodyDiv w:val="1"/>
      <w:marLeft w:val="0"/>
      <w:marRight w:val="0"/>
      <w:marTop w:val="0"/>
      <w:marBottom w:val="0"/>
      <w:divBdr>
        <w:top w:val="none" w:sz="0" w:space="0" w:color="auto"/>
        <w:left w:val="none" w:sz="0" w:space="0" w:color="auto"/>
        <w:bottom w:val="none" w:sz="0" w:space="0" w:color="auto"/>
        <w:right w:val="none" w:sz="0" w:space="0" w:color="auto"/>
      </w:divBdr>
    </w:div>
    <w:div w:id="1848057232">
      <w:bodyDiv w:val="1"/>
      <w:marLeft w:val="0"/>
      <w:marRight w:val="0"/>
      <w:marTop w:val="0"/>
      <w:marBottom w:val="0"/>
      <w:divBdr>
        <w:top w:val="none" w:sz="0" w:space="0" w:color="auto"/>
        <w:left w:val="none" w:sz="0" w:space="0" w:color="auto"/>
        <w:bottom w:val="none" w:sz="0" w:space="0" w:color="auto"/>
        <w:right w:val="none" w:sz="0" w:space="0" w:color="auto"/>
      </w:divBdr>
    </w:div>
    <w:div w:id="1854808051">
      <w:bodyDiv w:val="1"/>
      <w:marLeft w:val="0"/>
      <w:marRight w:val="0"/>
      <w:marTop w:val="0"/>
      <w:marBottom w:val="0"/>
      <w:divBdr>
        <w:top w:val="none" w:sz="0" w:space="0" w:color="auto"/>
        <w:left w:val="none" w:sz="0" w:space="0" w:color="auto"/>
        <w:bottom w:val="none" w:sz="0" w:space="0" w:color="auto"/>
        <w:right w:val="none" w:sz="0" w:space="0" w:color="auto"/>
      </w:divBdr>
    </w:div>
    <w:div w:id="1862087048">
      <w:bodyDiv w:val="1"/>
      <w:marLeft w:val="0"/>
      <w:marRight w:val="0"/>
      <w:marTop w:val="0"/>
      <w:marBottom w:val="0"/>
      <w:divBdr>
        <w:top w:val="none" w:sz="0" w:space="0" w:color="auto"/>
        <w:left w:val="none" w:sz="0" w:space="0" w:color="auto"/>
        <w:bottom w:val="none" w:sz="0" w:space="0" w:color="auto"/>
        <w:right w:val="none" w:sz="0" w:space="0" w:color="auto"/>
      </w:divBdr>
    </w:div>
    <w:div w:id="1868248640">
      <w:bodyDiv w:val="1"/>
      <w:marLeft w:val="0"/>
      <w:marRight w:val="0"/>
      <w:marTop w:val="0"/>
      <w:marBottom w:val="0"/>
      <w:divBdr>
        <w:top w:val="none" w:sz="0" w:space="0" w:color="auto"/>
        <w:left w:val="none" w:sz="0" w:space="0" w:color="auto"/>
        <w:bottom w:val="none" w:sz="0" w:space="0" w:color="auto"/>
        <w:right w:val="none" w:sz="0" w:space="0" w:color="auto"/>
      </w:divBdr>
    </w:div>
    <w:div w:id="1881897225">
      <w:bodyDiv w:val="1"/>
      <w:marLeft w:val="0"/>
      <w:marRight w:val="0"/>
      <w:marTop w:val="0"/>
      <w:marBottom w:val="0"/>
      <w:divBdr>
        <w:top w:val="none" w:sz="0" w:space="0" w:color="auto"/>
        <w:left w:val="none" w:sz="0" w:space="0" w:color="auto"/>
        <w:bottom w:val="none" w:sz="0" w:space="0" w:color="auto"/>
        <w:right w:val="none" w:sz="0" w:space="0" w:color="auto"/>
      </w:divBdr>
    </w:div>
    <w:div w:id="1885170293">
      <w:bodyDiv w:val="1"/>
      <w:marLeft w:val="0"/>
      <w:marRight w:val="0"/>
      <w:marTop w:val="0"/>
      <w:marBottom w:val="0"/>
      <w:divBdr>
        <w:top w:val="none" w:sz="0" w:space="0" w:color="auto"/>
        <w:left w:val="none" w:sz="0" w:space="0" w:color="auto"/>
        <w:bottom w:val="none" w:sz="0" w:space="0" w:color="auto"/>
        <w:right w:val="none" w:sz="0" w:space="0" w:color="auto"/>
      </w:divBdr>
    </w:div>
    <w:div w:id="1906991026">
      <w:bodyDiv w:val="1"/>
      <w:marLeft w:val="0"/>
      <w:marRight w:val="0"/>
      <w:marTop w:val="0"/>
      <w:marBottom w:val="0"/>
      <w:divBdr>
        <w:top w:val="none" w:sz="0" w:space="0" w:color="auto"/>
        <w:left w:val="none" w:sz="0" w:space="0" w:color="auto"/>
        <w:bottom w:val="none" w:sz="0" w:space="0" w:color="auto"/>
        <w:right w:val="none" w:sz="0" w:space="0" w:color="auto"/>
      </w:divBdr>
    </w:div>
    <w:div w:id="1939410195">
      <w:bodyDiv w:val="1"/>
      <w:marLeft w:val="0"/>
      <w:marRight w:val="0"/>
      <w:marTop w:val="0"/>
      <w:marBottom w:val="0"/>
      <w:divBdr>
        <w:top w:val="none" w:sz="0" w:space="0" w:color="auto"/>
        <w:left w:val="none" w:sz="0" w:space="0" w:color="auto"/>
        <w:bottom w:val="none" w:sz="0" w:space="0" w:color="auto"/>
        <w:right w:val="none" w:sz="0" w:space="0" w:color="auto"/>
      </w:divBdr>
    </w:div>
    <w:div w:id="1940259784">
      <w:bodyDiv w:val="1"/>
      <w:marLeft w:val="0"/>
      <w:marRight w:val="0"/>
      <w:marTop w:val="0"/>
      <w:marBottom w:val="0"/>
      <w:divBdr>
        <w:top w:val="none" w:sz="0" w:space="0" w:color="auto"/>
        <w:left w:val="none" w:sz="0" w:space="0" w:color="auto"/>
        <w:bottom w:val="none" w:sz="0" w:space="0" w:color="auto"/>
        <w:right w:val="none" w:sz="0" w:space="0" w:color="auto"/>
      </w:divBdr>
    </w:div>
    <w:div w:id="1983074989">
      <w:bodyDiv w:val="1"/>
      <w:marLeft w:val="0"/>
      <w:marRight w:val="0"/>
      <w:marTop w:val="0"/>
      <w:marBottom w:val="0"/>
      <w:divBdr>
        <w:top w:val="none" w:sz="0" w:space="0" w:color="auto"/>
        <w:left w:val="none" w:sz="0" w:space="0" w:color="auto"/>
        <w:bottom w:val="none" w:sz="0" w:space="0" w:color="auto"/>
        <w:right w:val="none" w:sz="0" w:space="0" w:color="auto"/>
      </w:divBdr>
    </w:div>
    <w:div w:id="1983540761">
      <w:bodyDiv w:val="1"/>
      <w:marLeft w:val="0"/>
      <w:marRight w:val="0"/>
      <w:marTop w:val="0"/>
      <w:marBottom w:val="0"/>
      <w:divBdr>
        <w:top w:val="none" w:sz="0" w:space="0" w:color="auto"/>
        <w:left w:val="none" w:sz="0" w:space="0" w:color="auto"/>
        <w:bottom w:val="none" w:sz="0" w:space="0" w:color="auto"/>
        <w:right w:val="none" w:sz="0" w:space="0" w:color="auto"/>
      </w:divBdr>
    </w:div>
    <w:div w:id="1996687464">
      <w:bodyDiv w:val="1"/>
      <w:marLeft w:val="0"/>
      <w:marRight w:val="0"/>
      <w:marTop w:val="0"/>
      <w:marBottom w:val="0"/>
      <w:divBdr>
        <w:top w:val="none" w:sz="0" w:space="0" w:color="auto"/>
        <w:left w:val="none" w:sz="0" w:space="0" w:color="auto"/>
        <w:bottom w:val="none" w:sz="0" w:space="0" w:color="auto"/>
        <w:right w:val="none" w:sz="0" w:space="0" w:color="auto"/>
      </w:divBdr>
    </w:div>
    <w:div w:id="2014411544">
      <w:bodyDiv w:val="1"/>
      <w:marLeft w:val="0"/>
      <w:marRight w:val="0"/>
      <w:marTop w:val="0"/>
      <w:marBottom w:val="0"/>
      <w:divBdr>
        <w:top w:val="none" w:sz="0" w:space="0" w:color="auto"/>
        <w:left w:val="none" w:sz="0" w:space="0" w:color="auto"/>
        <w:bottom w:val="none" w:sz="0" w:space="0" w:color="auto"/>
        <w:right w:val="none" w:sz="0" w:space="0" w:color="auto"/>
      </w:divBdr>
    </w:div>
    <w:div w:id="2034761788">
      <w:bodyDiv w:val="1"/>
      <w:marLeft w:val="0"/>
      <w:marRight w:val="0"/>
      <w:marTop w:val="0"/>
      <w:marBottom w:val="0"/>
      <w:divBdr>
        <w:top w:val="none" w:sz="0" w:space="0" w:color="auto"/>
        <w:left w:val="none" w:sz="0" w:space="0" w:color="auto"/>
        <w:bottom w:val="none" w:sz="0" w:space="0" w:color="auto"/>
        <w:right w:val="none" w:sz="0" w:space="0" w:color="auto"/>
      </w:divBdr>
    </w:div>
    <w:div w:id="2107382766">
      <w:bodyDiv w:val="1"/>
      <w:marLeft w:val="0"/>
      <w:marRight w:val="0"/>
      <w:marTop w:val="0"/>
      <w:marBottom w:val="0"/>
      <w:divBdr>
        <w:top w:val="none" w:sz="0" w:space="0" w:color="auto"/>
        <w:left w:val="none" w:sz="0" w:space="0" w:color="auto"/>
        <w:bottom w:val="none" w:sz="0" w:space="0" w:color="auto"/>
        <w:right w:val="none" w:sz="0" w:space="0" w:color="auto"/>
      </w:divBdr>
    </w:div>
    <w:div w:id="2108306826">
      <w:bodyDiv w:val="1"/>
      <w:marLeft w:val="0"/>
      <w:marRight w:val="0"/>
      <w:marTop w:val="0"/>
      <w:marBottom w:val="0"/>
      <w:divBdr>
        <w:top w:val="none" w:sz="0" w:space="0" w:color="auto"/>
        <w:left w:val="none" w:sz="0" w:space="0" w:color="auto"/>
        <w:bottom w:val="none" w:sz="0" w:space="0" w:color="auto"/>
        <w:right w:val="none" w:sz="0" w:space="0" w:color="auto"/>
      </w:divBdr>
    </w:div>
    <w:div w:id="2115635652">
      <w:bodyDiv w:val="1"/>
      <w:marLeft w:val="0"/>
      <w:marRight w:val="0"/>
      <w:marTop w:val="0"/>
      <w:marBottom w:val="0"/>
      <w:divBdr>
        <w:top w:val="none" w:sz="0" w:space="0" w:color="auto"/>
        <w:left w:val="none" w:sz="0" w:space="0" w:color="auto"/>
        <w:bottom w:val="none" w:sz="0" w:space="0" w:color="auto"/>
        <w:right w:val="none" w:sz="0" w:space="0" w:color="auto"/>
      </w:divBdr>
    </w:div>
    <w:div w:id="2127849801">
      <w:bodyDiv w:val="1"/>
      <w:marLeft w:val="0"/>
      <w:marRight w:val="0"/>
      <w:marTop w:val="0"/>
      <w:marBottom w:val="0"/>
      <w:divBdr>
        <w:top w:val="none" w:sz="0" w:space="0" w:color="auto"/>
        <w:left w:val="none" w:sz="0" w:space="0" w:color="auto"/>
        <w:bottom w:val="none" w:sz="0" w:space="0" w:color="auto"/>
        <w:right w:val="none" w:sz="0" w:space="0" w:color="auto"/>
      </w:divBdr>
    </w:div>
    <w:div w:id="213255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curia.europa.eu/juris/document/document.jsf?text=&amp;docid=72270&amp;pageIndex=0&amp;doclang=EN&amp;mode=lst&amp;dir=&amp;occ=first&amp;part=1&amp;cid=9945922" TargetMode="External"/><Relationship Id="rId117" Type="http://schemas.openxmlformats.org/officeDocument/2006/relationships/header" Target="header3.xml"/><Relationship Id="rId21" Type="http://schemas.openxmlformats.org/officeDocument/2006/relationships/hyperlink" Target="https://curia.europa.eu/juris/document/document.jsf?text=&amp;docid=45721&amp;pageIndex=0&amp;doclang=EN&amp;mode=lst&amp;dir=&amp;occ=first&amp;part=1&amp;cid=10763343" TargetMode="External"/><Relationship Id="rId42" Type="http://schemas.openxmlformats.org/officeDocument/2006/relationships/hyperlink" Target="https://curia.europa.eu/juris/document/document.jsf?text=&amp;docid=184891&amp;pageIndex=0&amp;doclang=EN&amp;mode=lst&amp;dir=&amp;occ=first&amp;part=1&amp;cid=9777324" TargetMode="External"/><Relationship Id="rId47" Type="http://schemas.openxmlformats.org/officeDocument/2006/relationships/hyperlink" Target="https://curia.europa.eu/juris/document/document.jsf?text=&amp;docid=60336&amp;pageIndex=0&amp;doclang=EN&amp;mode=lst&amp;dir=&amp;occ=first&amp;part=1&amp;cid=1728241" TargetMode="External"/><Relationship Id="rId63" Type="http://schemas.openxmlformats.org/officeDocument/2006/relationships/hyperlink" Target="https://curia.europa.eu/juris/document/document.jsf?text=&amp;docid=125226&amp;pageIndex=0&amp;doclang=EN&amp;mode=lst&amp;dir=&amp;occ=first&amp;part=1&amp;cid=9889670" TargetMode="External"/><Relationship Id="rId68" Type="http://schemas.openxmlformats.org/officeDocument/2006/relationships/hyperlink" Target="https://curia.europa.eu/juris/document/document.jsf?text=C-98%252F14&amp;docid=164955&amp;pageIndex=0&amp;doclang=EN&amp;mode=req&amp;dir=&amp;occ=first&amp;part=1&amp;cid=9889670" TargetMode="External"/><Relationship Id="rId84" Type="http://schemas.openxmlformats.org/officeDocument/2006/relationships/hyperlink" Target="https://curia.europa.eu/juris/document/document.jsf?text=&amp;docid=81369&amp;pageIndex=0&amp;doclang=en&amp;mode=lst&amp;dir=&amp;occ=first&amp;part=1&amp;cid=10904675" TargetMode="External"/><Relationship Id="rId89" Type="http://schemas.openxmlformats.org/officeDocument/2006/relationships/hyperlink" Target="https://curia.europa.eu/juris/document/document.jsf?text=&amp;docid=47026&amp;pageIndex=0&amp;doclang=EN&amp;mode=lst&amp;dir=&amp;occ=first&amp;part=1&amp;cid=8919687" TargetMode="External"/><Relationship Id="rId112" Type="http://schemas.openxmlformats.org/officeDocument/2006/relationships/hyperlink" Target="https://curia.europa.eu/juris/document/document.jsf?text=&amp;docid=74815&amp;pageIndex=0&amp;doclang=EN&amp;mode=lst&amp;dir=&amp;occ=first&amp;part=1&amp;cid=12991943" TargetMode="External"/><Relationship Id="rId16" Type="http://schemas.openxmlformats.org/officeDocument/2006/relationships/hyperlink" Target="https://curia.europa.eu/juris/showPdf.jsf?text=&amp;docid=100042&amp;pageIndex=0&amp;doclang=EN&amp;mode=lst&amp;dir=&amp;occ=first&amp;part=1&amp;cid=10811412" TargetMode="External"/><Relationship Id="rId107" Type="http://schemas.openxmlformats.org/officeDocument/2006/relationships/hyperlink" Target="https://curia.europa.eu/juris/document/document.jsf?text=&amp;docid=217670&amp;pageIndex=0&amp;doclang=EN&amp;mode=lst&amp;dir=&amp;occ=first&amp;part=1&amp;cid=10880021" TargetMode="External"/><Relationship Id="rId11" Type="http://schemas.openxmlformats.org/officeDocument/2006/relationships/hyperlink" Target="https://curia.europa.eu/juris/document/document.jsf?text=&amp;docid=174105&amp;pageIndex=0&amp;doclang=EN&amp;mode=lst&amp;dir=&amp;occ=first&amp;part=1&amp;cid=10904675" TargetMode="External"/><Relationship Id="rId32" Type="http://schemas.openxmlformats.org/officeDocument/2006/relationships/hyperlink" Target="https://curia.europa.eu/juris/document/document.jsf?text=&amp;docid=187343&amp;pageIndex=0&amp;doclang=EN&amp;mode=lst&amp;dir=&amp;occ=first&amp;part=1&amp;cid=9777324" TargetMode="External"/><Relationship Id="rId37" Type="http://schemas.openxmlformats.org/officeDocument/2006/relationships/hyperlink" Target="https://curia.europa.eu/juris/document/document.jsf?text=&amp;docid=85136&amp;pageIndex=0&amp;doclang=EN&amp;mode=lst&amp;dir=&amp;occ=first&amp;part=1&amp;cid=15388659" TargetMode="External"/><Relationship Id="rId53" Type="http://schemas.openxmlformats.org/officeDocument/2006/relationships/hyperlink" Target="https://curia.europa.eu/juris/document/document.jsf?text=&amp;docid=217670&amp;pageIndex=0&amp;doclang=EN&amp;mode=lst&amp;dir=&amp;occ=first&amp;part=1&amp;cid=10880021" TargetMode="External"/><Relationship Id="rId58" Type="http://schemas.openxmlformats.org/officeDocument/2006/relationships/hyperlink" Target="https://curia.europa.eu/juris/document/document.jsf?text=&amp;docid=296555&amp;pageIndex=0&amp;doclang=EN&amp;mode=lst&amp;dir=&amp;occ=first&amp;part=1&amp;cid=14002600" TargetMode="External"/><Relationship Id="rId74" Type="http://schemas.openxmlformats.org/officeDocument/2006/relationships/hyperlink" Target="https://curia.europa.eu/juris/showPdf.jsf?text=&amp;docid=98918&amp;pageIndex=0&amp;doclang=EN&amp;mode=lst&amp;dir=&amp;occ=first&amp;part=1&amp;cid=12994086" TargetMode="External"/><Relationship Id="rId79" Type="http://schemas.openxmlformats.org/officeDocument/2006/relationships/hyperlink" Target="https://curia.europa.eu/juris/showPdf.jsf?text=&amp;docid=44625&amp;pageIndex=0&amp;doclang=en&amp;mode=lst&amp;dir=&amp;occ=first&amp;part=1&amp;cid=7836692" TargetMode="External"/><Relationship Id="rId102" Type="http://schemas.openxmlformats.org/officeDocument/2006/relationships/hyperlink" Target="https://curia.europa.eu/juris/document/document.jsf?docid=59571&amp;mode=req&amp;pageIndex=1&amp;dir=&amp;occ=first&amp;part=1&amp;text=&amp;doclang=EN&amp;cid=8886921" TargetMode="External"/><Relationship Id="rId5" Type="http://schemas.openxmlformats.org/officeDocument/2006/relationships/webSettings" Target="webSettings.xml"/><Relationship Id="rId90" Type="http://schemas.openxmlformats.org/officeDocument/2006/relationships/hyperlink" Target="https://curia.europa.eu/juris/document/document.jsf?text=&amp;docid=59577&amp;pageIndex=0&amp;doclang=FR&amp;mode=lst&amp;dir=&amp;occ=first&amp;part=1&amp;cid=12994086" TargetMode="External"/><Relationship Id="rId95" Type="http://schemas.openxmlformats.org/officeDocument/2006/relationships/hyperlink" Target="https://curia.europa.eu/juris/document/document.jsf?text=&amp;docid=133244&amp;pageIndex=0&amp;doclang=EN&amp;mode=lst&amp;dir=&amp;occ=first&amp;part=1&amp;cid=10904675" TargetMode="External"/><Relationship Id="rId22" Type="http://schemas.openxmlformats.org/officeDocument/2006/relationships/hyperlink" Target="https://curia.europa.eu/juris/document/document.jsf?text=&amp;docid=45811&amp;pageIndex=0&amp;doclang=EN&amp;mode=lst&amp;dir=&amp;occ=first&amp;part=1&amp;cid=8919687" TargetMode="External"/><Relationship Id="rId27" Type="http://schemas.openxmlformats.org/officeDocument/2006/relationships/hyperlink" Target="https://curia.europa.eu/juris/document/document.jsf?text=&amp;docid=81451&amp;pageIndex=0&amp;doclang=EN&amp;mode=lst&amp;dir=&amp;occ=first&amp;part=1&amp;cid=9945922" TargetMode="External"/><Relationship Id="rId43" Type="http://schemas.openxmlformats.org/officeDocument/2006/relationships/hyperlink" Target="https://curia.europa.eu/juris/document/document.jsf?text=&amp;docid=187343&amp;pageIndex=0&amp;doclang=EN&amp;mode=lst&amp;dir=&amp;occ=first&amp;part=1&amp;cid=9777324" TargetMode="External"/><Relationship Id="rId48" Type="http://schemas.openxmlformats.org/officeDocument/2006/relationships/hyperlink" Target="https://curia.europa.eu/juris/document/document.jsf?text=&amp;docid=174105&amp;pageIndex=0&amp;doclang=EN&amp;mode=lst&amp;dir=&amp;occ=first&amp;part=1&amp;cid=10904675" TargetMode="External"/><Relationship Id="rId64" Type="http://schemas.openxmlformats.org/officeDocument/2006/relationships/hyperlink" Target="https://curia.europa.eu/juris/document/document.jsf?text=&amp;docid=184891&amp;pageIndex=0&amp;doclang=EN&amp;mode=lst&amp;dir=&amp;occ=first&amp;part=1&amp;cid=9777324" TargetMode="External"/><Relationship Id="rId69" Type="http://schemas.openxmlformats.org/officeDocument/2006/relationships/hyperlink" Target="https://curia.europa.eu/juris/document/document.jsf?text=&amp;docid=232154&amp;pageIndex=0&amp;doclang=EN&amp;mode=lst&amp;dir=&amp;occ=first&amp;part=1&amp;cid=10904675" TargetMode="External"/><Relationship Id="rId113" Type="http://schemas.openxmlformats.org/officeDocument/2006/relationships/header" Target="header1.xml"/><Relationship Id="rId118" Type="http://schemas.openxmlformats.org/officeDocument/2006/relationships/footer" Target="footer3.xml"/><Relationship Id="rId80" Type="http://schemas.openxmlformats.org/officeDocument/2006/relationships/hyperlink" Target="https://curia.europa.eu/juris/document/document.jsf?text=&amp;docid=58142&amp;pageIndex=0&amp;doclang=EN&amp;mode=lst&amp;dir=&amp;occ=first&amp;part=1&amp;cid=8886921" TargetMode="External"/><Relationship Id="rId85" Type="http://schemas.openxmlformats.org/officeDocument/2006/relationships/hyperlink" Target="https://curia.europa.eu/juris/document/document.jsf?text=&amp;docid=133244&amp;pageIndex=0&amp;doclang=en&amp;mode=lst&amp;dir=&amp;occ=first&amp;part=1&amp;cid=10904675" TargetMode="External"/><Relationship Id="rId12" Type="http://schemas.openxmlformats.org/officeDocument/2006/relationships/hyperlink" Target="https://eur-lex.europa.eu/legal-content/EN/TXT/PDF/?uri=CELEX:61994CJ0194" TargetMode="External"/><Relationship Id="rId17" Type="http://schemas.openxmlformats.org/officeDocument/2006/relationships/hyperlink" Target="https://curia.europa.eu/juris/showPdf.jsf?text=&amp;docid=99992&amp;pageIndex=0&amp;doclang=EN&amp;mode=lst&amp;dir=&amp;occ=first&amp;part=1&amp;cid=10811412" TargetMode="External"/><Relationship Id="rId33" Type="http://schemas.openxmlformats.org/officeDocument/2006/relationships/hyperlink" Target="https://curia.europa.eu/juris/document/document.jsf?text=&amp;docid=206117&amp;pageIndex=0&amp;doclang=EN&amp;mode=lst&amp;dir=&amp;occ=first&amp;part=1&amp;cid=9777324" TargetMode="External"/><Relationship Id="rId38" Type="http://schemas.openxmlformats.org/officeDocument/2006/relationships/hyperlink" Target="https://curia.europa.eu/juris/document/document.jsf?text=&amp;docid=125226&amp;pageIndex=0&amp;doclang=EN&amp;mode=lst&amp;dir=&amp;occ=first&amp;part=1&amp;cid=9889670" TargetMode="External"/><Relationship Id="rId59" Type="http://schemas.openxmlformats.org/officeDocument/2006/relationships/hyperlink" Target="https://curia.europa.eu/juris/showPdf.jsf?text=&amp;docid=43725&amp;pageIndex=0&amp;doclang=EN&amp;mode=lst&amp;dir=&amp;occ=first&amp;part=1&amp;cid=10811412" TargetMode="External"/><Relationship Id="rId103" Type="http://schemas.openxmlformats.org/officeDocument/2006/relationships/hyperlink" Target="https://curia.europa.eu/juris/document/document.jsf?text=&amp;docid=133244&amp;pageIndex=0&amp;doclang=EN&amp;mode=lst&amp;dir=&amp;occ=first&amp;part=1&amp;cid=10904675" TargetMode="External"/><Relationship Id="rId108" Type="http://schemas.openxmlformats.org/officeDocument/2006/relationships/hyperlink" Target="https://curia.europa.eu/juris/document/document.jsf?text=&amp;docid=45692&amp;pageIndex=0&amp;doclang=EN&amp;mode=lst&amp;dir=&amp;occ=first&amp;part=1&amp;cid=10763343" TargetMode="External"/><Relationship Id="rId54" Type="http://schemas.openxmlformats.org/officeDocument/2006/relationships/hyperlink" Target="https://curia.europa.eu/juris/document/document.jsf?text=&amp;docid=221791&amp;pageIndex=0&amp;doclang=EN&amp;mode=lst&amp;dir=&amp;occ=first&amp;part=1&amp;cid=10861227" TargetMode="External"/><Relationship Id="rId70" Type="http://schemas.openxmlformats.org/officeDocument/2006/relationships/hyperlink" Target="https://curia.europa.eu/juris/document/document.jsf?text=&amp;docid=268786&amp;pageIndex=0&amp;doclang=EN&amp;mode=lst&amp;dir=&amp;occ=first&amp;part=1&amp;cid=14061944" TargetMode="External"/><Relationship Id="rId75" Type="http://schemas.openxmlformats.org/officeDocument/2006/relationships/hyperlink" Target="https://curia.europa.eu/juris/showPdf.jsf?text=&amp;docid=98889&amp;pageIndex=0&amp;doclang=EN&amp;mode=lst&amp;dir=&amp;occ=first&amp;part=1&amp;cid=12994086" TargetMode="External"/><Relationship Id="rId91" Type="http://schemas.openxmlformats.org/officeDocument/2006/relationships/hyperlink" Target="https://curia.europa.eu/juris/document/document.jsf?text=&amp;docid=59577&amp;pageIndex=0&amp;doclang=FR&amp;mode=lst&amp;dir=&amp;occ=first&amp;part=1&amp;cid=12994086" TargetMode="External"/><Relationship Id="rId96" Type="http://schemas.openxmlformats.org/officeDocument/2006/relationships/hyperlink" Target="https://curia.europa.eu/juris/showPdf.jsf?text=&amp;docid=100042&amp;pageIndex=0&amp;doclang=EN&amp;mode=lst&amp;dir=&amp;occ=first&amp;part=1&amp;cid=10811412"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curia.europa.eu/juris/document/document.jsf?text=&amp;docid=45877&amp;pageIndex=0&amp;doclang=EN&amp;mode=lst&amp;dir=&amp;occ=first&amp;part=1&amp;cid=8919687" TargetMode="External"/><Relationship Id="rId28" Type="http://schemas.openxmlformats.org/officeDocument/2006/relationships/hyperlink" Target="https://curia.europa.eu/juris/document/document.jsf?text=&amp;docid=85136&amp;pageIndex=0&amp;doclang=EN&amp;mode=lst&amp;dir=&amp;occ=first&amp;part=1&amp;cid=15388659" TargetMode="External"/><Relationship Id="rId49" Type="http://schemas.openxmlformats.org/officeDocument/2006/relationships/hyperlink" Target="https://curia.europa.eu/juris/document/document.jsf?text=&amp;docid=184507&amp;pageIndex=0&amp;doclang=EN&amp;mode=lst&amp;dir=&amp;occ=first&amp;part=1&amp;cid=9889670" TargetMode="External"/><Relationship Id="rId114" Type="http://schemas.openxmlformats.org/officeDocument/2006/relationships/header" Target="header2.xml"/><Relationship Id="rId119" Type="http://schemas.openxmlformats.org/officeDocument/2006/relationships/fontTable" Target="fontTable.xml"/><Relationship Id="rId10" Type="http://schemas.openxmlformats.org/officeDocument/2006/relationships/hyperlink" Target="https://eur-lex.europa.eu/eli/dir/1983/189/oj/eng" TargetMode="External"/><Relationship Id="rId31" Type="http://schemas.openxmlformats.org/officeDocument/2006/relationships/hyperlink" Target="https://curia.europa.eu/juris/document/document.jsf?text=&amp;docid=184891&amp;pageIndex=0&amp;doclang=EN&amp;mode=lst&amp;dir=&amp;occ=first&amp;part=1&amp;cid=9777324" TargetMode="External"/><Relationship Id="rId44" Type="http://schemas.openxmlformats.org/officeDocument/2006/relationships/hyperlink" Target="https://curia.europa.eu/juris/document/document.jsf?text=C-727%252F17&amp;docid=226861&amp;pageIndex=0&amp;doclang=EN&amp;mode=req&amp;dir=&amp;occ=first&amp;part=1&amp;cid=9761408" TargetMode="External"/><Relationship Id="rId52" Type="http://schemas.openxmlformats.org/officeDocument/2006/relationships/hyperlink" Target="https://curia.europa.eu/juris/document/document.jsf?text=&amp;docid=206117&amp;pageIndex=0&amp;doclang=EN&amp;mode=lst&amp;dir=&amp;occ=first&amp;part=1&amp;cid=9777324" TargetMode="External"/><Relationship Id="rId60" Type="http://schemas.openxmlformats.org/officeDocument/2006/relationships/hyperlink" Target="https://curia.europa.eu/juris/document/document.jsf?text=&amp;docid=58142&amp;pageIndex=0&amp;doclang=EN&amp;mode=lst&amp;dir=&amp;occ=first&amp;part=1&amp;cid=8886921" TargetMode="External"/><Relationship Id="rId65" Type="http://schemas.openxmlformats.org/officeDocument/2006/relationships/hyperlink" Target="https://curia.europa.eu/juris/document/document.jsf?text=C-727%252F17&amp;docid=226861&amp;pageIndex=0&amp;doclang=EN&amp;mode=req&amp;dir=&amp;occ=first&amp;part=1&amp;cid=9761408" TargetMode="External"/><Relationship Id="rId73" Type="http://schemas.openxmlformats.org/officeDocument/2006/relationships/hyperlink" Target="https://curia.europa.eu/juris/showPdf.jsf?text=&amp;docid=98488&amp;pageIndex=0&amp;doclang=EN&amp;mode=lst&amp;dir=&amp;occ=first&amp;part=1&amp;cid=12994086" TargetMode="External"/><Relationship Id="rId78" Type="http://schemas.openxmlformats.org/officeDocument/2006/relationships/hyperlink" Target="https://curia.europa.eu/juris/showPdf.jsf?text=&amp;docid=98765&amp;pageIndex=0&amp;doclang=EN&amp;mode=lst&amp;dir=&amp;occ=first&amp;part=1&amp;cid=10811412" TargetMode="External"/><Relationship Id="rId81" Type="http://schemas.openxmlformats.org/officeDocument/2006/relationships/hyperlink" Target="https://curia.europa.eu/juris/document/document.jsf?text=&amp;docid=296555&amp;pageIndex=0&amp;doclang=en&amp;mode=lst&amp;dir=&amp;occ=first&amp;part=1&amp;cid=14002600" TargetMode="External"/><Relationship Id="rId86" Type="http://schemas.openxmlformats.org/officeDocument/2006/relationships/hyperlink" Target="https://curia.europa.eu/juris/document/document.jsf?text=&amp;docid=154825&amp;pageIndex=0&amp;doclang=EN&amp;mode=lst&amp;dir=&amp;occ=first&amp;part=1&amp;cid=9889670" TargetMode="External"/><Relationship Id="rId94" Type="http://schemas.openxmlformats.org/officeDocument/2006/relationships/hyperlink" Target="https://curia.europa.eu/juris/document/document.jsf?text=&amp;docid=271072&amp;pageIndex=0&amp;doclang=EN&amp;mode=lst&amp;dir=&amp;occ=first&amp;part=1&amp;cid=14061944" TargetMode="External"/><Relationship Id="rId99" Type="http://schemas.openxmlformats.org/officeDocument/2006/relationships/hyperlink" Target="https://curia.europa.eu/juris/showPdf.jsf?text=&amp;docid=99809&amp;pageIndex=0&amp;doclang=en&amp;mode=lst&amp;dir=&amp;occ=first&amp;part=1&amp;cid=10904675" TargetMode="External"/><Relationship Id="rId101" Type="http://schemas.openxmlformats.org/officeDocument/2006/relationships/hyperlink" Target="https://curia.europa.eu/juris/document/document.jsf?text=&amp;docid=47386&amp;pageIndex=0&amp;doclang=EN&amp;mode=lst&amp;dir=&amp;occ=first&amp;part=1&amp;cid=8919687" TargetMode="External"/><Relationship Id="rId4" Type="http://schemas.openxmlformats.org/officeDocument/2006/relationships/settings" Target="settings.xml"/><Relationship Id="rId9" Type="http://schemas.openxmlformats.org/officeDocument/2006/relationships/hyperlink" Target="https://eur-lex.europa.eu/legal-content/EN/TXT/PDF/?uri=CELEX:01998L0034-19980805" TargetMode="External"/><Relationship Id="rId13" Type="http://schemas.openxmlformats.org/officeDocument/2006/relationships/hyperlink" Target="https://curia.europa.eu/juris/showPdf.jsf?text=&amp;docid=100864&amp;pageIndex=0&amp;doclang=EN&amp;mode=lst&amp;dir=&amp;occ=first&amp;part=1&amp;cid=10811412" TargetMode="External"/><Relationship Id="rId18" Type="http://schemas.openxmlformats.org/officeDocument/2006/relationships/hyperlink" Target="https://curia.europa.eu/juris/document/document.jsf?text=&amp;docid=44578&amp;pageIndex=0&amp;doclang=EN&amp;mode=lst&amp;dir=&amp;occ=first&amp;part=1&amp;cid=10779034" TargetMode="External"/><Relationship Id="rId39" Type="http://schemas.openxmlformats.org/officeDocument/2006/relationships/hyperlink" Target="https://curia.europa.eu/juris/document/document.jsf?text=&amp;docid=154825&amp;pageIndex=0&amp;doclang=EN&amp;mode=lst&amp;dir=&amp;occ=first&amp;part=1&amp;cid=9889670" TargetMode="External"/><Relationship Id="rId109" Type="http://schemas.openxmlformats.org/officeDocument/2006/relationships/hyperlink" Target="https://curia.europa.eu/juris/document/document.jsf?text=&amp;docid=165924&amp;pageIndex=0&amp;doclang=EN&amp;mode=lst&amp;dir=&amp;occ=first&amp;part=1&amp;cid=12979947" TargetMode="External"/><Relationship Id="rId34" Type="http://schemas.openxmlformats.org/officeDocument/2006/relationships/hyperlink" Target="https://curia.europa.eu/juris/document/document.jsf?text=C-727%252F17&amp;docid=226861&amp;pageIndex=0&amp;doclang=EN&amp;mode=req&amp;dir=&amp;occ=first&amp;part=1&amp;cid=9761408" TargetMode="External"/><Relationship Id="rId50" Type="http://schemas.openxmlformats.org/officeDocument/2006/relationships/hyperlink" Target="https://curia.europa.eu/juris/document/document.jsf?text=&amp;docid=198047&amp;pageIndex=0&amp;doclang=EN&amp;mode=lst&amp;dir=&amp;occ=first&amp;part=1&amp;cid=10880021" TargetMode="External"/><Relationship Id="rId55" Type="http://schemas.openxmlformats.org/officeDocument/2006/relationships/hyperlink" Target="https://curia.europa.eu/juris/document/document.jsf?text=&amp;docid=232725&amp;pageIndex=0&amp;doclang=EN&amp;mode=lst&amp;dir=&amp;occ=first&amp;part=1&amp;cid=7847310" TargetMode="External"/><Relationship Id="rId76" Type="http://schemas.openxmlformats.org/officeDocument/2006/relationships/hyperlink" Target="https://curia.europa.eu/juris/document/document.jsf?text=&amp;docid=59577&amp;pageIndex=0&amp;doclang=FR&amp;mode=lst&amp;dir=&amp;occ=first&amp;part=1&amp;cid=12994086" TargetMode="External"/><Relationship Id="rId97" Type="http://schemas.openxmlformats.org/officeDocument/2006/relationships/hyperlink" Target="https://curia.europa.eu/juris/document/document.jsf?text=&amp;docid=43935&amp;pageIndex=0&amp;doclang=EN&amp;mode=lst&amp;dir=&amp;occ=first&amp;part=1&amp;cid=10779034" TargetMode="External"/><Relationship Id="rId104" Type="http://schemas.openxmlformats.org/officeDocument/2006/relationships/hyperlink" Target="https://curia.europa.eu/juris/document/document.jsf?text=&amp;docid=174105&amp;pageIndex=0&amp;doclang=EN&amp;mode=lst&amp;dir=&amp;occ=first&amp;part=1&amp;cid=10904675"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curia.europa.eu/juris/document/document.jsf?text=&amp;docid=60336&amp;pageIndex=0&amp;doclang=EN&amp;mode=lst&amp;dir=&amp;occ=first&amp;part=1&amp;cid=1728241" TargetMode="External"/><Relationship Id="rId92" Type="http://schemas.openxmlformats.org/officeDocument/2006/relationships/hyperlink" Target="https://curia.europa.eu/juris/document/document.jsf?text=&amp;docid=232150&amp;pageIndex=0&amp;doclang=EN&amp;mode=lst&amp;dir=&amp;occ=first&amp;part=1&amp;cid=12985433" TargetMode="External"/><Relationship Id="rId2" Type="http://schemas.openxmlformats.org/officeDocument/2006/relationships/numbering" Target="numbering.xml"/><Relationship Id="rId29" Type="http://schemas.openxmlformats.org/officeDocument/2006/relationships/hyperlink" Target="https://curia.europa.eu/juris/document/document.jsf?text=&amp;docid=125226&amp;pageIndex=0&amp;doclang=EN&amp;mode=lst&amp;dir=&amp;occ=first&amp;part=1&amp;cid=9889670" TargetMode="External"/><Relationship Id="rId24" Type="http://schemas.openxmlformats.org/officeDocument/2006/relationships/hyperlink" Target="https://curia.europa.eu/juris/document/document.jsf?text=&amp;docid=47386&amp;pageIndex=0&amp;doclang=EN&amp;mode=lst&amp;dir=&amp;occ=first&amp;part=1&amp;cid=8919687" TargetMode="External"/><Relationship Id="rId40" Type="http://schemas.openxmlformats.org/officeDocument/2006/relationships/hyperlink" Target="https://curia.europa.eu/juris/document/document.jsf?text=C-98%252F14&amp;docid=164955&amp;pageIndex=0&amp;doclang=EN&amp;mode=req&amp;dir=&amp;occ=first&amp;part=1&amp;cid=9889670" TargetMode="External"/><Relationship Id="rId45" Type="http://schemas.openxmlformats.org/officeDocument/2006/relationships/hyperlink" Target="https://curia.europa.eu/juris/document/document.jsf?text=&amp;docid=267738&amp;pageIndex=0&amp;doclang=EN&amp;mode=lst&amp;dir=&amp;occ=first&amp;part=1&amp;cid=14061944" TargetMode="External"/><Relationship Id="rId66" Type="http://schemas.openxmlformats.org/officeDocument/2006/relationships/hyperlink" Target="https://curia.europa.eu/juris/showPdf.jsf?text=&amp;docid=100864&amp;pageIndex=0&amp;doclang=EN&amp;mode=lst&amp;dir=&amp;occ=first&amp;part=1&amp;cid=10811412" TargetMode="External"/><Relationship Id="rId87" Type="http://schemas.openxmlformats.org/officeDocument/2006/relationships/hyperlink" Target="https://curia.europa.eu/juris/showPdf.jsf?text=&amp;docid=99992&amp;pageIndex=0&amp;doclang=EN&amp;mode=lst&amp;dir=&amp;occ=first&amp;part=1&amp;cid=10811412" TargetMode="External"/><Relationship Id="rId110" Type="http://schemas.openxmlformats.org/officeDocument/2006/relationships/hyperlink" Target="https://curia.europa.eu/juris/document/document.jsf?text=&amp;docid=280771&amp;pageIndex=0&amp;doclang=EN&amp;mode=lst&amp;dir=&amp;occ=first&amp;part=1&amp;cid=14061944" TargetMode="External"/><Relationship Id="rId115" Type="http://schemas.openxmlformats.org/officeDocument/2006/relationships/footer" Target="footer1.xml"/><Relationship Id="rId61" Type="http://schemas.openxmlformats.org/officeDocument/2006/relationships/hyperlink" Target="https://curia.europa.eu/juris/document/document.jsf?docid=59571&amp;mode=req&amp;pageIndex=1&amp;dir=&amp;occ=first&amp;part=1&amp;text=&amp;doclang=EN&amp;cid=8886921" TargetMode="External"/><Relationship Id="rId82" Type="http://schemas.openxmlformats.org/officeDocument/2006/relationships/hyperlink" Target="https://curia.europa.eu/juris/showPdf.jsf?text=&amp;docid=43725&amp;pageIndex=0&amp;doclang=en&amp;mode=lst&amp;dir=&amp;occ=first&amp;part=1&amp;cid=10904675" TargetMode="External"/><Relationship Id="rId19" Type="http://schemas.openxmlformats.org/officeDocument/2006/relationships/hyperlink" Target="https://curia.europa.eu/juris/document/document.jsf?text=&amp;docid=47026&amp;pageIndex=0&amp;doclang=EN&amp;mode=lst&amp;dir=&amp;occ=first&amp;part=1&amp;cid=8919687" TargetMode="External"/><Relationship Id="rId14" Type="http://schemas.openxmlformats.org/officeDocument/2006/relationships/hyperlink" Target="https://curia.europa.eu/juris/document/document.jsf?text=&amp;docid=45811&amp;pageIndex=0&amp;doclang=EN&amp;mode=lst&amp;dir=&amp;occ=first&amp;part=1&amp;cid=8919687" TargetMode="External"/><Relationship Id="rId30" Type="http://schemas.openxmlformats.org/officeDocument/2006/relationships/hyperlink" Target="https://curia.europa.eu/juris/document/document.jsf?text=&amp;docid=154825&amp;pageIndex=0&amp;doclang=EN&amp;mode=lst&amp;dir=&amp;occ=first&amp;part=1&amp;cid=9889670" TargetMode="External"/><Relationship Id="rId35" Type="http://schemas.openxmlformats.org/officeDocument/2006/relationships/hyperlink" Target="https://curia.europa.eu/juris/document/document.jsf?text=&amp;docid=232725&amp;pageIndex=0&amp;doclang=EN&amp;mode=lst&amp;dir=&amp;occ=first&amp;part=1&amp;cid=7847310" TargetMode="External"/><Relationship Id="rId56" Type="http://schemas.openxmlformats.org/officeDocument/2006/relationships/hyperlink" Target="https://curia.europa.eu/juris/document/document.jsf?text=&amp;docid=234921&amp;pageIndex=0&amp;doclang=EN&amp;mode=lst&amp;dir=&amp;occ=first&amp;part=1&amp;cid=10811412" TargetMode="External"/><Relationship Id="rId77" Type="http://schemas.openxmlformats.org/officeDocument/2006/relationships/hyperlink" Target="https://curia.europa.eu/juris/document/document.jsf?text=&amp;docid=185545&amp;pageIndex=0&amp;doclang=EN&amp;mode=lst&amp;dir=&amp;occ=first&amp;part=1&amp;cid=13138882" TargetMode="External"/><Relationship Id="rId100" Type="http://schemas.openxmlformats.org/officeDocument/2006/relationships/hyperlink" Target="https://curia.europa.eu/juris/document/document.jsf?text=&amp;docid=43935&amp;pageIndex=0&amp;doclang=EN&amp;mode=lst&amp;dir=&amp;occ=first&amp;part=1&amp;cid=10779034" TargetMode="External"/><Relationship Id="rId105" Type="http://schemas.openxmlformats.org/officeDocument/2006/relationships/hyperlink" Target="https://curia.europa.eu/juris/document/document.jsf?text=&amp;docid=177362&amp;pageIndex=0&amp;doclang=FR&amp;mode=lst&amp;dir=&amp;occ=first&amp;part=1&amp;cid=12982840" TargetMode="External"/><Relationship Id="rId8" Type="http://schemas.openxmlformats.org/officeDocument/2006/relationships/hyperlink" Target="https://eur-lex.europa.eu/eli/dir/2015/1535/oj/eng" TargetMode="External"/><Relationship Id="rId51" Type="http://schemas.openxmlformats.org/officeDocument/2006/relationships/hyperlink" Target="https://curia.europa.eu/juris/document/document.jsf?text=&amp;docid=200882&amp;pageIndex=0&amp;doclang=EN&amp;mode=lst&amp;dir=&amp;occ=first&amp;part=1&amp;cid=10880021" TargetMode="External"/><Relationship Id="rId72" Type="http://schemas.openxmlformats.org/officeDocument/2006/relationships/hyperlink" Target="https://curia.europa.eu/juris/document/document.jsf?text=&amp;docid=217670&amp;pageIndex=0&amp;doclang=EN&amp;mode=lst&amp;dir=&amp;occ=first&amp;part=1&amp;cid=10880021" TargetMode="External"/><Relationship Id="rId93" Type="http://schemas.openxmlformats.org/officeDocument/2006/relationships/hyperlink" Target="https://curia.europa.eu/juris/document/document.jsf?text=&amp;docid=226981&amp;pageIndex=0&amp;doclang=EN&amp;mode=lst&amp;dir=&amp;occ=first&amp;part=1&amp;cid=5973987" TargetMode="External"/><Relationship Id="rId98" Type="http://schemas.openxmlformats.org/officeDocument/2006/relationships/hyperlink" Target="https://curia.europa.eu/juris/document/document.jsf?text=&amp;docid=58142&amp;pageIndex=0&amp;doclang=EN&amp;mode=lst&amp;dir=&amp;occ=first&amp;part=1&amp;cid=8886921" TargetMode="External"/><Relationship Id="rId3" Type="http://schemas.openxmlformats.org/officeDocument/2006/relationships/styles" Target="styles.xml"/><Relationship Id="rId25" Type="http://schemas.openxmlformats.org/officeDocument/2006/relationships/hyperlink" Target="https://curia.europa.eu/juris/document/document.jsf?text=&amp;docid=59577&amp;pageIndex=0&amp;doclang=FR&amp;mode=lst&amp;dir=&amp;occ=first&amp;part=1&amp;cid=12994086" TargetMode="External"/><Relationship Id="rId46" Type="http://schemas.openxmlformats.org/officeDocument/2006/relationships/hyperlink" Target="https://curia.europa.eu/juris/document/document.jsf?text=&amp;docid=271072&amp;pageIndex=0&amp;doclang=EN&amp;mode=lst&amp;dir=&amp;occ=first&amp;part=1&amp;cid=14061944" TargetMode="External"/><Relationship Id="rId67" Type="http://schemas.openxmlformats.org/officeDocument/2006/relationships/hyperlink" Target="https://curia.europa.eu/juris/document/document.jsf?text=&amp;docid=154825&amp;pageIndex=0&amp;doclang=EN&amp;mode=lst&amp;dir=&amp;occ=first&amp;part=1&amp;cid=9889670" TargetMode="External"/><Relationship Id="rId116" Type="http://schemas.openxmlformats.org/officeDocument/2006/relationships/footer" Target="footer2.xml"/><Relationship Id="rId20" Type="http://schemas.openxmlformats.org/officeDocument/2006/relationships/hyperlink" Target="https://curia.europa.eu/juris/document/document.jsf?text=&amp;docid=45692&amp;pageIndex=0&amp;doclang=EN&amp;mode=lst&amp;dir=&amp;occ=first&amp;part=1&amp;cid=10763343" TargetMode="External"/><Relationship Id="rId41" Type="http://schemas.openxmlformats.org/officeDocument/2006/relationships/hyperlink" Target="https://curia.europa.eu/juris/document/document.jsf?text=&amp;docid=184507&amp;pageIndex=0&amp;doclang=EN&amp;mode=lst&amp;dir=&amp;occ=first&amp;part=1&amp;cid=9889670" TargetMode="External"/><Relationship Id="rId62" Type="http://schemas.openxmlformats.org/officeDocument/2006/relationships/hyperlink" Target="https://curia.europa.eu/juris/document/document.jsf?text=&amp;docid=63941&amp;pageIndex=0&amp;doclang=EN&amp;mode=lst&amp;dir=&amp;occ=first&amp;part=1&amp;cid=8886921" TargetMode="External"/><Relationship Id="rId83" Type="http://schemas.openxmlformats.org/officeDocument/2006/relationships/hyperlink" Target="https://curia.europa.eu/juris/document/document.jsf?text=&amp;docid=43839&amp;pageIndex=0&amp;doclang=EN&amp;mode=lst&amp;dir=&amp;occ=first&amp;part=1&amp;cid=10811412" TargetMode="External"/><Relationship Id="rId88" Type="http://schemas.openxmlformats.org/officeDocument/2006/relationships/hyperlink" Target="https://curia.europa.eu/juris/document/document.jsf?text=&amp;docid=45692&amp;pageIndex=0&amp;doclang=EN&amp;mode=lst&amp;dir=&amp;occ=first&amp;part=1&amp;cid=10763343" TargetMode="External"/><Relationship Id="rId111" Type="http://schemas.openxmlformats.org/officeDocument/2006/relationships/hyperlink" Target="https://curia.europa.eu/juris/document/document.jsf?text=C-98%252F14&amp;docid=164955&amp;pageIndex=0&amp;doclang=EN&amp;mode=req&amp;dir=&amp;occ=first&amp;part=1&amp;cid=9889670" TargetMode="External"/><Relationship Id="rId15" Type="http://schemas.openxmlformats.org/officeDocument/2006/relationships/hyperlink" Target="https://curia.europa.eu/juris/document/document.jsf?text=&amp;docid=234921&amp;pageIndex=0&amp;doclang=EN&amp;mode=lst&amp;dir=&amp;occ=first&amp;part=1&amp;cid=7739074" TargetMode="External"/><Relationship Id="rId36" Type="http://schemas.openxmlformats.org/officeDocument/2006/relationships/hyperlink" Target="https://curia.europa.eu/juris/document/document.jsf?text=&amp;docid=58142&amp;pageIndex=0&amp;doclang=EN&amp;mode=lst&amp;dir=&amp;occ=first&amp;part=1&amp;cid=8886921" TargetMode="External"/><Relationship Id="rId57" Type="http://schemas.openxmlformats.org/officeDocument/2006/relationships/hyperlink" Target="https://curia.europa.eu/juris/document/document.jsf?text=&amp;docid=283281&amp;pageIndex=0&amp;doclang=EN&amp;mode=lst&amp;dir=&amp;occ=first&amp;part=1&amp;cid=14054161" TargetMode="External"/><Relationship Id="rId106" Type="http://schemas.openxmlformats.org/officeDocument/2006/relationships/hyperlink" Target="https://curia.europa.eu/juris/document/document.jsf?text=&amp;docid=187343&amp;pageIndex=0&amp;doclang=EN&amp;mode=lst&amp;dir=&amp;occ=first&amp;part=1&amp;cid=9777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2775D-4CE0-4D03-B06F-D0E027526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32170</Words>
  <Characters>174042</Characters>
  <Application>Microsoft Office Word</Application>
  <DocSecurity>0</DocSecurity>
  <Lines>3053</Lines>
  <Paragraphs>900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205312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 Brice (GROW)</dc:creator>
  <cp:keywords/>
  <dc:description/>
  <cp:lastModifiedBy>ANTOSOVA Sarka (GROW)</cp:lastModifiedBy>
  <cp:revision>2</cp:revision>
  <cp:lastPrinted>2025-05-13T14:46:00Z</cp:lastPrinted>
  <dcterms:created xsi:type="dcterms:W3CDTF">2025-09-23T15:13:00Z</dcterms:created>
  <dcterms:modified xsi:type="dcterms:W3CDTF">2025-09-23T15:13:00Z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2025-04-02T09:32:03Z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b0298679-eda4-43ad-8f56-7a14780fa596</vt:lpwstr>
  </property>
  <property fmtid="{D5CDD505-2E9C-101B-9397-08002B2CF9AE}" pid="8" name="MSIP_Label_6bd9ddd1-4d20-43f6-abfa-fc3c07406f94_ContentBits">
    <vt:lpwstr>0</vt:lpwstr>
  </property>
</Properties>
</file>