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8DBCD" w14:textId="77777777" w:rsidR="003741D1" w:rsidRDefault="003741D1" w:rsidP="003741D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------IND- 2020 0087 F-- SK- ------ 20200429 --- --- FINAL </w:t>
      </w:r>
    </w:p>
    <w:p w14:paraId="484526EE" w14:textId="77777777" w:rsidR="00A65212" w:rsidRPr="003741D1" w:rsidRDefault="00C90E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18. novembra 2019</w:t>
      </w:r>
    </w:p>
    <w:p w14:paraId="1FF3620A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5704CA7C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6DD8E15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Úradný vestník Francúzskej republiky č. 0267 zo 17. novembra 2019</w:t>
      </w:r>
    </w:p>
    <w:p w14:paraId="344AC9B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28263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 č. 16</w:t>
      </w:r>
    </w:p>
    <w:p w14:paraId="034E546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0815F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402AF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Výnos z 15. novembra 2019 o zobrazovaní špecifickej rýchlosti absorpcie rádiových zariadení a o informovaní spotrebiteľov</w:t>
      </w:r>
    </w:p>
    <w:p w14:paraId="4CBDC63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69D61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NOR: SSAP1834792A</w:t>
      </w:r>
    </w:p>
    <w:p w14:paraId="22470D5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AD7AC6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EFDD78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ELI:https://www.legifrance.gouv.fr/eli/arrete/2019/11/15/SSAP1834792A/jo/texte</w:t>
      </w:r>
    </w:p>
    <w:p w14:paraId="4B42A71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711150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560175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26D2D9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17BD04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5F2116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Ministerka solidarity a zdravotníctva a minister hospodárstva a financií,</w:t>
      </w:r>
    </w:p>
    <w:p w14:paraId="32918B0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90951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smernicu Európskeho parlamentu a Rady (EÚ) 2014/53/EÚ zo 16. apríla 2014 o harmonizácii právnych predpisov členských štátov týkajúcich sa sprístupňovania rádiových zariadení na trhu, ktorou sa zrušuje smernica 1999/5/ES,</w:t>
      </w:r>
    </w:p>
    <w:p w14:paraId="09B4C80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6B3C0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smernicu Európskeho parlamentu a Rady (EÚ) 2015/1535 z 9. septembra 2015, ktorou sa stanovuje postup pri poskytovaní informácií v oblasti technických predpisov a pravidiel vzťahujúcich sa na služby informačnej spoločnosti,</w:t>
      </w:r>
    </w:p>
    <w:p w14:paraId="67EABB8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2A4B7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zákonník o poštách a elektronických komunikáciách, najmä na jeho články R. 9, R. 20-11 a R. 20-19,</w:t>
      </w:r>
    </w:p>
    <w:p w14:paraId="789E115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0CDD4C" w14:textId="77777777" w:rsidR="00A65212" w:rsidRPr="00DE329A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DE329A">
        <w:rPr>
          <w:rFonts w:ascii="Arial" w:hAnsi="Arial"/>
          <w:spacing w:val="-4"/>
          <w:sz w:val="24"/>
          <w:szCs w:val="24"/>
        </w:rPr>
        <w:t>so zreteľom na nariadenie č. 2010-1207 z 12. októbra 2010 zmenené nariadením č. 2019-1186 z 15. novembra 2019 o zobrazovaní špecifickej rýchlosti absorpcie rádiových zariadení,</w:t>
      </w:r>
    </w:p>
    <w:p w14:paraId="7F92959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81615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výnos z 8. októbra 2003 o informovaní spotrebiteľov o koncových rádiových zariadeniach podľa článku R. 20-10 zákonníka o poštách a telekomunikáciách,</w:t>
      </w:r>
    </w:p>
    <w:p w14:paraId="3F7F921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13FCC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výnos z 8. októbra 2003, ktorým sa stanovujú technické špecifikácie pre koncové rádiové zariadenia,</w:t>
      </w:r>
    </w:p>
    <w:p w14:paraId="45D6481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99AC9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výnos z 12. októbra 2010 o zobrazovaní špecifickej rýchlosti absorpcie koncových rádiových zariadení,</w:t>
      </w:r>
    </w:p>
    <w:p w14:paraId="4A7E38A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51244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oznámenie č. 2018/0087/F adresované Európskej komisii v súlade so smernicou (EÚ) 2015/1535,</w:t>
      </w:r>
    </w:p>
    <w:p w14:paraId="2EEAADE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1E9AD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pripomienky predložené počas verejnej konzultácie, ktorá sa uskutočnila v dňoch od 16. apríla do 13. mája 2018 podľa článku L. 123-19-1 zákonníka o životnom prostredí,</w:t>
      </w:r>
    </w:p>
    <w:p w14:paraId="3D27D43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06452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so zreteľom na stanovisko Úradu pre reguláciu elektronických komunikácií a pôšt č. 2019-0964 zo 4. júla 2019,</w:t>
      </w:r>
    </w:p>
    <w:p w14:paraId="579717C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78BCE8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vydávajú tento výnos: </w:t>
      </w:r>
    </w:p>
    <w:p w14:paraId="64F3FB47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FBBB50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4DFB2E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Článok 1</w:t>
      </w:r>
    </w:p>
    <w:p w14:paraId="3CA9C4CA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F523F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332510" w14:textId="77777777" w:rsidR="00A65212" w:rsidRPr="00DE329A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DE329A">
        <w:rPr>
          <w:rFonts w:ascii="Arial" w:hAnsi="Arial"/>
          <w:spacing w:val="-4"/>
          <w:sz w:val="24"/>
          <w:szCs w:val="24"/>
        </w:rPr>
        <w:t>Uvedený výnos z 8. októbra 2003 o informovaní spotrebiteľov o koncových rádiových zariadeniach podľa článku R. 20-10 zákonníka o poštách a telekomunikáciách sa mení takto:</w:t>
      </w:r>
    </w:p>
    <w:p w14:paraId="2C21990D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9511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 V názve sa vypúšťa slovo: „koncových“, odkaz: „článku R. 20-10“ sa nahrádza odkazom: „článku R. 20-11“ a slovo: „telekomunikáciách“ sa nahrádza slovami: „elektronických komunikáciách“;</w:t>
      </w:r>
    </w:p>
    <w:p w14:paraId="3AA83F7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9676FD" w14:textId="77777777" w:rsidR="00A65212" w:rsidRPr="00DE329A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DE329A">
        <w:rPr>
          <w:rFonts w:ascii="Arial" w:hAnsi="Arial"/>
          <w:spacing w:val="-4"/>
          <w:sz w:val="24"/>
          <w:szCs w:val="24"/>
        </w:rPr>
        <w:t>2. Článok 1 sa upravuje takto: „Hodnota alebo hodnoty špecifickej rýchlosti absorpcie rádiových zariadení, ktorých vyžiarený výkon je väčší ako 20 mW a pri ktorých možno odôvodnene predpokladať, že sa budú používať vo vzdialenosti do 20 cm od hlavy alebo inej časti ľudského tela, sa čitateľne, zrozumiteľne a viditeľne uvádzajú v návode na použitie rádiových zariadení uvedených do prevádzky, ktoré sú určené na použitie vo Francúzsku. “;</w:t>
      </w:r>
    </w:p>
    <w:p w14:paraId="1E5FB6C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4D01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 V článku 2 sa za slovami: „návode na použitie“ vypúšťa slovo: „koncových“;</w:t>
      </w:r>
    </w:p>
    <w:p w14:paraId="42DF87E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6D6D5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 Príloha sa vypúšťa a nahrádza sa prílohou pripojenou k tomuto výnosu. </w:t>
      </w:r>
    </w:p>
    <w:p w14:paraId="4508032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6D2476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Článok 2</w:t>
      </w:r>
    </w:p>
    <w:p w14:paraId="791CBF65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E7818C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61BB70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Uvedený výnos z 8. októbra 2003, ktorým sa stanovujú technické špecifikácie pre koncové rádiové zariadenia, sa mení takto:</w:t>
      </w:r>
    </w:p>
    <w:p w14:paraId="2A60A0E3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08FF3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 V názve výnosu a v názve jeho prílohy sa vypúšťa slovo: „koncové“;</w:t>
      </w:r>
    </w:p>
    <w:p w14:paraId="6C33467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22C4C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 Článok 1 sa upravuje takto: „Rádiové zariadenia, ktorých vyžiarený výkon je vyšší ako 20 mW a pri ktorých možno odôvodnene predpokladať, že sa budú používať vo vzdialenosti do 20 cm od hlavy alebo inej časti ľudského tela, sa môžu uviesť do prevádzky iba vtedy, ak sú v súlade s technickými špecifikáciami uvedenými v prílohe k tomuto výnosu. “;</w:t>
      </w:r>
    </w:p>
    <w:p w14:paraId="7EE4E5A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4A46AD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 V prílohe sa za tretí stĺpec tabuľky vkladá tento stĺpec:</w:t>
      </w:r>
    </w:p>
    <w:p w14:paraId="728637FB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1E8FEC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30"/>
      </w:tblGrid>
      <w:tr w:rsidR="00A65212" w:rsidRPr="003741D1" w14:paraId="39FFE2F8" w14:textId="77777777">
        <w:trPr>
          <w:gridAfter w:val="1"/>
          <w:wAfter w:w="2" w:type="dxa"/>
          <w:trHeight w:val="276"/>
        </w:trPr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840E67" w14:textId="77777777" w:rsidR="00A65212" w:rsidRPr="008E2269" w:rsidRDefault="00A65212" w:rsidP="00DE329A">
            <w:pPr>
              <w:keepNext/>
              <w:keepLines/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A294BB4" w14:textId="77777777" w:rsidR="00A65212" w:rsidRPr="008E2269" w:rsidRDefault="00C90EA9" w:rsidP="00DE329A">
            <w:pPr>
              <w:keepNext/>
              <w:keepLines/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Lokálna hodnota SAR pre končatiny</w:t>
            </w:r>
          </w:p>
          <w:p w14:paraId="0D49FA68" w14:textId="77777777" w:rsidR="00A65212" w:rsidRPr="008E2269" w:rsidRDefault="00A65212" w:rsidP="00DE329A">
            <w:pPr>
              <w:keepNext/>
              <w:keepLines/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A181C3B" w14:textId="77777777" w:rsidR="00A65212" w:rsidRPr="008E2269" w:rsidRDefault="00C90EA9" w:rsidP="00DE329A">
            <w:pPr>
              <w:keepNext/>
              <w:keepLines/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(W/kg)</w:t>
            </w:r>
          </w:p>
        </w:tc>
      </w:tr>
      <w:tr w:rsidR="00A65212" w:rsidRPr="008E2269" w14:paraId="3FBF0EE4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B30E46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8376686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0650D62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212" w:rsidRPr="008E2269" w14:paraId="35052B79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FAB13B4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11F9E36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61A11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6DD66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C7AE0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“. </w:t>
      </w:r>
    </w:p>
    <w:p w14:paraId="1D6B70D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D4855E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Článok 3</w:t>
      </w:r>
    </w:p>
    <w:p w14:paraId="1D0D2B26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3D113F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CB5974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Vyššie uvedený výnos z 12. októbra 2010 sa mení takto:</w:t>
      </w:r>
    </w:p>
    <w:p w14:paraId="7633A07D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A0C41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 V názve sa vypúšťa slovo: „koncové“;</w:t>
      </w:r>
    </w:p>
    <w:p w14:paraId="738F506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0BE258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 Článok 1 sa mení takto:</w:t>
      </w:r>
    </w:p>
    <w:p w14:paraId="4EF737E3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27EB3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Prvý pododsek sa nahrádza pododsekom v tomto znení: „Hodnota alebo hodnoty špecifickej rýchlosti absorpcie rádiových zariadení, ktorých vyžiarený výkon je väčší ako 20 mW a pri ktorých možno odôvodnene predpokladať, že sa budú používať vo vzdialenosti do 20 cm od hlavy alebo inej časti ľudského tela, sa uvádzajú v bezprostrednej blízkosti zariadenia, na ktoré sa vzťahujú: “;</w:t>
      </w:r>
    </w:p>
    <w:p w14:paraId="7F77581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7B9D1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V poslednom pododseku sa za slová: „výraz SAR“ vkladajú slová: „v závislosti od prípadu slovo hlava, slovo trup alebo slovo končatiny“;</w:t>
      </w:r>
    </w:p>
    <w:p w14:paraId="41452A8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7D7455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 Článok 2 sa mení takto:</w:t>
      </w:r>
    </w:p>
    <w:p w14:paraId="08E49AF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192D5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 V prvom pododseku sa vypúšťajú slová: „a v akejkoľvek reklame“.</w:t>
      </w:r>
    </w:p>
    <w:p w14:paraId="71ED9DB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C7CB3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Druhý pododsek sa nahrádza pododsekom v tomto znení: „Miestna špecifická rýchlosť absorpcie (SAR) kvantifikuje úroveň vystavenia používateľa elektromagnetickým vlnám, ktoré sú vyžarované príslušným zariadením. Maximálna povolená hodnota SAR je 2 W/kg v prípade hlavy a trupu a 4 W/kg v prípade končatín. “;</w:t>
      </w:r>
    </w:p>
    <w:p w14:paraId="62CC127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ED210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 Článok 3 sa zrušuje. </w:t>
      </w:r>
    </w:p>
    <w:p w14:paraId="291882B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5BDF1B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Článok 4</w:t>
      </w:r>
    </w:p>
    <w:p w14:paraId="5B8AD7DD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8816F1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E51DB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Tento výnos nadobúda účinnosť 1. júla 2020. </w:t>
      </w:r>
    </w:p>
    <w:p w14:paraId="4BB1497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5D756F" w14:textId="77777777" w:rsidR="00A65212" w:rsidRPr="00E75A83" w:rsidRDefault="00C90EA9" w:rsidP="00DE329A">
      <w:pPr>
        <w:keepNext/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Príloha</w:t>
      </w:r>
    </w:p>
    <w:p w14:paraId="7B6F1D87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CCCE22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0CE58F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PRÍLOHA</w:t>
      </w:r>
    </w:p>
    <w:p w14:paraId="15CF9EDB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0DED6E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DRUHY INFORMÁCIÍ, KTORÉ MUSIA BYŤ UVEDENÉ V ČASTI „UPOZORNENIA TÝKAJÚCE SA POUŽÍVANIA ZARIADENIA“</w:t>
      </w:r>
    </w:p>
    <w:p w14:paraId="065A85CF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CBF871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A. – Informácie týkajúce sa bezpečnosti používateľov a osôb, ktoré nie sú používateľmi </w:t>
      </w:r>
    </w:p>
    <w:p w14:paraId="0106E145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FCBBD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Dodržiavanie obmedzení používania na určitých miestach (nemocnice, lietadlá, čerpacie stanice, školské zariadenia atď.).</w:t>
      </w:r>
    </w:p>
    <w:p w14:paraId="1DBF855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6B5C9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 prípade mobilných telefónov pripomienka zákazu držania mobilného telefónu vodičom počas jazdy.</w:t>
      </w:r>
    </w:p>
    <w:p w14:paraId="4CCC85C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3499C7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Opatrenia pre osoby s elektronickými implantátmi (kardiostimulátory, inzulínové pumpy, neurostimulátory atď.) týkajúce sa najmä vzdialenosti medzi rádiovým zariadením a implantátom (15 centimetrov v prípade najsilnejších zdrojov expozície, ako sú napr. mobilné telefóny). </w:t>
      </w:r>
    </w:p>
    <w:p w14:paraId="45FC3E8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F6EB8C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B. – Informácie o správaní, ktoré je potrebné dodržať, aby bolo vystavenie žiareniu vyžarovanému rádiovými zariadeniami čo najnižšie </w:t>
      </w:r>
    </w:p>
    <w:p w14:paraId="33B75066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941A5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Používať rádiové zariadenie za dobrých podmienok príjmu s cieľom znížiť množstvo prijatého žiarenia.</w:t>
      </w:r>
    </w:p>
    <w:p w14:paraId="3EC2774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66E78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Používať handsfree súpravu alebo reproduktor, ak sú kompatibilné s rádiovým zariadením.</w:t>
      </w:r>
    </w:p>
    <w:p w14:paraId="17CD5F9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D80DA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Dbať na to, aby deti a dospievajúci používali rádiové zariadenia, ako sú mobilné telefóny, v rozumnej miere, napríklad vyhýbaním sa nočnej komunikácii a obmedzením frekvencie a trvania hovorov.</w:t>
      </w:r>
    </w:p>
    <w:p w14:paraId="478F85B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08DDF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Držať rádiové zariadenia v dostatočnej vzdialenosti od brucha tehotných žien.</w:t>
      </w:r>
    </w:p>
    <w:p w14:paraId="3737766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C690C1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Držať rádiové zariadenia v dostatočnej vzdialenosti od spodnej časti brucha dospievajúcich osôb. </w:t>
      </w:r>
      <w:bookmarkStart w:id="0" w:name="_GoBack"/>
      <w:bookmarkEnd w:id="0"/>
    </w:p>
    <w:p w14:paraId="0DAC2A9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E97FC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D6AD6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Dňa 15. novembra 2019. </w:t>
      </w:r>
    </w:p>
    <w:p w14:paraId="1EC6712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EEC16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Ministerka pre solidaritu a zdravotníctvo, </w:t>
      </w:r>
    </w:p>
    <w:p w14:paraId="0B7D572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Agnès Buzyn </w:t>
      </w:r>
    </w:p>
    <w:p w14:paraId="6285D78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AB084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 hospodárstva a financií, </w:t>
      </w:r>
    </w:p>
    <w:p w14:paraId="13694D4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Bruno Le Maire </w:t>
      </w:r>
    </w:p>
    <w:sectPr w:rsidR="00A65212" w:rsidRPr="00E75A83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B1364" w14:textId="77777777" w:rsidR="007B614A" w:rsidRDefault="007B614A" w:rsidP="00262748">
      <w:pPr>
        <w:spacing w:after="0" w:line="240" w:lineRule="auto"/>
      </w:pPr>
      <w:r>
        <w:separator/>
      </w:r>
    </w:p>
  </w:endnote>
  <w:endnote w:type="continuationSeparator" w:id="0">
    <w:p w14:paraId="700BF9AF" w14:textId="77777777" w:rsidR="007B614A" w:rsidRDefault="007B614A" w:rsidP="0026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6938E" w14:textId="77777777" w:rsidR="007B614A" w:rsidRDefault="007B614A" w:rsidP="00262748">
      <w:pPr>
        <w:spacing w:after="0" w:line="240" w:lineRule="auto"/>
      </w:pPr>
      <w:r>
        <w:separator/>
      </w:r>
    </w:p>
  </w:footnote>
  <w:footnote w:type="continuationSeparator" w:id="0">
    <w:p w14:paraId="3B46F5DE" w14:textId="77777777" w:rsidR="007B614A" w:rsidRDefault="007B614A" w:rsidP="00262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0D"/>
    <w:rsid w:val="00262748"/>
    <w:rsid w:val="002E0907"/>
    <w:rsid w:val="003741D1"/>
    <w:rsid w:val="005A28DA"/>
    <w:rsid w:val="007B614A"/>
    <w:rsid w:val="00836ACB"/>
    <w:rsid w:val="008E2269"/>
    <w:rsid w:val="00933E0D"/>
    <w:rsid w:val="00A65212"/>
    <w:rsid w:val="00C90EA9"/>
    <w:rsid w:val="00DE329A"/>
    <w:rsid w:val="00E75A83"/>
    <w:rsid w:val="00E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37CEC16F"/>
  <w14:defaultImageDpi w14:val="0"/>
  <w15:docId w15:val="{353C9429-4ADD-4209-B866-22E5519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48"/>
  </w:style>
  <w:style w:type="paragraph" w:styleId="Footer">
    <w:name w:val="footer"/>
    <w:basedOn w:val="Normal"/>
    <w:link w:val="Foot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48"/>
  </w:style>
  <w:style w:type="paragraph" w:styleId="PlainText">
    <w:name w:val="Plain Text"/>
    <w:basedOn w:val="Normal"/>
    <w:link w:val="PlainTextChar"/>
    <w:uiPriority w:val="99"/>
    <w:semiHidden/>
    <w:unhideWhenUsed/>
    <w:rsid w:val="003741D1"/>
    <w:pPr>
      <w:spacing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1D1"/>
    <w:rPr>
      <w:rFonts w:ascii="Consolas" w:eastAsia="Times New Roman" w:hAnsi="Consolas"/>
      <w:sz w:val="21"/>
      <w:szCs w:val="21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Diana STOICA</cp:lastModifiedBy>
  <cp:revision>4</cp:revision>
  <dcterms:created xsi:type="dcterms:W3CDTF">2020-01-13T05:33:00Z</dcterms:created>
  <dcterms:modified xsi:type="dcterms:W3CDTF">2020-04-29T14:03:00Z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10:24:37 CET 2019</vt:lpwstr>
  </property>
  <property fmtid="{D5CDD505-2E9C-101B-9397-08002B2CF9AE}" pid="3" name="jforVersion">
    <vt:lpwstr>jfor V0.7.2rc1 - see http://www.jfor.org</vt:lpwstr>
  </property>
</Properties>
</file>