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27" w:rsidRPr="00C77E4C" w:rsidRDefault="00ED0627" w:rsidP="00ED0627">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------IND- 2020 0338 F-- SK- ------ 20200612 --- --- PROJET</w:t>
      </w:r>
    </w:p>
    <w:p w:rsidR="007606BC" w:rsidRPr="00EC1FD0" w:rsidRDefault="008E1D2E" w:rsidP="008E1D2E">
      <w:pPr>
        <w:jc w:val="center"/>
        <w:rPr>
          <w:b/>
          <w:rFonts w:ascii="Arial" w:hAnsi="Arial" w:cs="Arial"/>
        </w:rPr>
      </w:pPr>
      <w:r>
        <w:rPr>
          <w:b/>
          <w:rFonts w:ascii="Arial" w:hAnsi="Arial"/>
        </w:rPr>
        <w:t xml:space="preserve">Zákon o transparentnosti informácií o poľnohospodárskych a potravinových výrobkoch (konečné znenie prijaté Národným zhromaždením 27. mája 2020)</w:t>
      </w:r>
    </w:p>
    <w:p w:rsidR="008E1D2E" w:rsidRPr="00EC1FD0" w:rsidRDefault="008E1D2E" w:rsidP="008E1D2E">
      <w:pPr>
        <w:jc w:val="center"/>
        <w:rPr>
          <w:b/>
          <w:rFonts w:ascii="Arial" w:hAnsi="Arial" w:cs="Arial"/>
        </w:rPr>
      </w:pPr>
      <w:r>
        <w:rPr>
          <w:b/>
          <w:rFonts w:ascii="Arial" w:hAnsi="Arial"/>
        </w:rPr>
        <w:t xml:space="preserve">-</w:t>
      </w:r>
    </w:p>
    <w:p w:rsidR="008E1D2E" w:rsidRPr="00EC1FD0" w:rsidRDefault="008E1D2E" w:rsidP="008E1D2E">
      <w:pPr>
        <w:jc w:val="center"/>
        <w:rPr>
          <w:rFonts w:ascii="Arial" w:hAnsi="Arial" w:cs="Arial"/>
        </w:rPr>
      </w:pPr>
      <w:r>
        <w:rPr>
          <w:rFonts w:ascii="Arial" w:hAnsi="Arial"/>
        </w:rPr>
        <w:t xml:space="preserve">Ustanovenia zákona, ktoré sú predmetom oznámenia</w:t>
      </w:r>
    </w:p>
    <w:p w:rsidR="008E1D2E" w:rsidRDefault="008E1D2E"/>
    <w:p w:rsidR="008E1D2E" w:rsidRPr="008E1D2E" w:rsidRDefault="008E1D2E"/>
    <w:p w:rsidR="008E1D2E" w:rsidRPr="008E1D2E" w:rsidRDefault="008E1D2E" w:rsidP="00ED0627">
      <w:pPr>
        <w:keepNext/>
        <w:keepLines/>
        <w:jc w:val="both"/>
        <w:rPr>
          <w:b/>
          <w:rFonts w:ascii="Arial" w:hAnsi="Arial" w:cs="Arial"/>
        </w:rPr>
      </w:pPr>
      <w:r>
        <w:rPr>
          <w:b/>
          <w:rFonts w:ascii="Arial" w:hAnsi="Arial"/>
        </w:rPr>
        <w:t xml:space="preserve">Článok 1</w:t>
      </w:r>
    </w:p>
    <w:p w:rsidR="008E1D2E" w:rsidRPr="008E1D2E" w:rsidRDefault="008E1D2E" w:rsidP="008E1D2E">
      <w:pPr>
        <w:jc w:val="both"/>
        <w:rPr>
          <w:rFonts w:ascii="Arial" w:hAnsi="Arial" w:cs="Arial"/>
        </w:rPr>
      </w:pPr>
      <w:r>
        <w:rPr>
          <w:rFonts w:ascii="Arial" w:hAnsi="Arial"/>
        </w:rPr>
        <w:t xml:space="preserve">Článok L. 412-1 spotrebiteľského zákonníka sa mení takto:</w:t>
      </w:r>
    </w:p>
    <w:p w:rsidR="008E1D2E" w:rsidRDefault="008E1D2E" w:rsidP="008E1D2E">
      <w:pPr>
        <w:jc w:val="both"/>
        <w:rPr>
          <w:rFonts w:ascii="Arial" w:hAnsi="Arial" w:cs="Arial"/>
        </w:rPr>
      </w:pPr>
      <w:r>
        <w:rPr>
          <w:rFonts w:ascii="Arial" w:hAnsi="Arial"/>
        </w:rPr>
        <w:t xml:space="preserve">1. Za bod 3 ods. I sa vkladá bod 3a v tomto znení:</w:t>
      </w:r>
    </w:p>
    <w:p w:rsidR="008E1D2E" w:rsidRDefault="008E1D2E" w:rsidP="008E1D2E">
      <w:pPr>
        <w:jc w:val="both"/>
        <w:rPr>
          <w:rFonts w:ascii="Arial" w:hAnsi="Arial" w:cs="Arial"/>
        </w:rPr>
      </w:pPr>
      <w:r>
        <w:rPr>
          <w:rFonts w:ascii="Arial" w:hAnsi="Arial"/>
        </w:rPr>
        <w:t xml:space="preserve">„3a Pokiaľ ide o akékoľvek zápisy balených potravín, postupy sprístupnenia príslušných informácií verejnosti online osobou zodpovednou za prvé uvedenie na trh sa vykonávajú za podmienok stanovených v knihe III zákonníka o vzťahoch medzi verejnosťou a administratívou;“</w:t>
      </w:r>
    </w:p>
    <w:p w:rsidR="008E1D2E" w:rsidRDefault="008E1D2E" w:rsidP="008E1D2E">
      <w:pPr>
        <w:jc w:val="both"/>
        <w:rPr>
          <w:rFonts w:ascii="Arial" w:hAnsi="Arial" w:cs="Arial"/>
        </w:rPr>
      </w:pPr>
      <w:r>
        <w:rPr>
          <w:rFonts w:ascii="Arial" w:hAnsi="Arial"/>
        </w:rPr>
        <w:t xml:space="preserve">2. Bod II sa dopĺňa o jeden pododsek v tomto znení:</w:t>
      </w:r>
      <w:r>
        <w:rPr>
          <w:rFonts w:ascii="Arial" w:hAnsi="Arial"/>
        </w:rPr>
        <w:t xml:space="preserve"> </w:t>
      </w:r>
    </w:p>
    <w:p w:rsidR="008E1D2E" w:rsidRDefault="008E1D2E" w:rsidP="008E1D2E">
      <w:pPr>
        <w:jc w:val="both"/>
        <w:rPr>
          <w:rFonts w:ascii="Arial" w:hAnsi="Arial" w:cs="Arial"/>
        </w:rPr>
      </w:pPr>
      <w:r>
        <w:rPr>
          <w:rFonts w:ascii="Arial" w:hAnsi="Arial"/>
        </w:rPr>
        <w:t xml:space="preserve">„Pokiaľ ide o informácie uvedené v bode 3a toho istého odseku I, v týchto nariadeniach sa stanovujú najmä miesto sprístupnenia a formát údajov s cieľom vytvoriť databázu, ku ktorej budú mať otvorený prístup všetci používatelia, a umožniť slobodné opakované použitie týchto údajov.“</w:t>
      </w:r>
    </w:p>
    <w:p w:rsidR="007F3528" w:rsidRPr="008E1D2E" w:rsidRDefault="007F3528" w:rsidP="008E1D2E">
      <w:pPr>
        <w:jc w:val="both"/>
      </w:pPr>
    </w:p>
    <w:p w:rsidR="008E1D2E" w:rsidRPr="008E1D2E" w:rsidRDefault="008E1D2E" w:rsidP="00ED0627">
      <w:pPr>
        <w:keepNext/>
        <w:keepLines/>
        <w:jc w:val="both"/>
        <w:rPr>
          <w:b/>
          <w:rFonts w:ascii="Arial" w:hAnsi="Arial" w:cs="Arial"/>
        </w:rPr>
      </w:pPr>
      <w:r>
        <w:rPr>
          <w:b/>
          <w:rFonts w:ascii="Arial" w:hAnsi="Arial"/>
        </w:rPr>
        <w:t xml:space="preserve">Článok 2</w:t>
      </w:r>
      <w:r>
        <w:rPr>
          <w:b/>
          <w:rFonts w:ascii="Arial" w:hAnsi="Arial"/>
        </w:rPr>
        <w:t xml:space="preserve"> </w:t>
      </w:r>
    </w:p>
    <w:p w:rsidR="008E1D2E" w:rsidRDefault="008E1D2E" w:rsidP="008E1D2E">
      <w:pPr>
        <w:jc w:val="both"/>
        <w:rPr>
          <w:rFonts w:ascii="Arial" w:hAnsi="Arial" w:cs="Arial"/>
        </w:rPr>
      </w:pPr>
      <w:r>
        <w:rPr>
          <w:rFonts w:ascii="Arial" w:hAnsi="Arial"/>
        </w:rPr>
        <w:t xml:space="preserve">I. – Za prvý pododsek článku L. 412-4 spotrebiteľského zákonníka sa vkladajú tri pododseky v tomto znení:</w:t>
      </w:r>
    </w:p>
    <w:p w:rsidR="008E1D2E" w:rsidRDefault="008E1D2E" w:rsidP="008E1D2E">
      <w:pPr>
        <w:jc w:val="both"/>
        <w:rPr>
          <w:rFonts w:ascii="Arial" w:hAnsi="Arial" w:cs="Arial"/>
        </w:rPr>
      </w:pPr>
      <w:r>
        <w:rPr>
          <w:rFonts w:ascii="Arial" w:hAnsi="Arial"/>
        </w:rPr>
        <w:t xml:space="preserve">„Označenie krajiny pôvodu je takisto povinné v prípade výrobkov, ktoré obsahujú kakao v surovom alebo modifikovanom stave a ktoré sú určené na ľudskú spotrebu.</w:t>
      </w:r>
    </w:p>
    <w:p w:rsidR="008E1D2E" w:rsidRDefault="008E1D2E" w:rsidP="008E1D2E">
      <w:pPr>
        <w:jc w:val="both"/>
        <w:rPr>
          <w:rFonts w:ascii="Arial" w:hAnsi="Arial" w:cs="Arial"/>
        </w:rPr>
      </w:pPr>
      <w:r>
        <w:rPr>
          <w:rFonts w:ascii="Arial" w:hAnsi="Arial"/>
        </w:rPr>
        <w:t xml:space="preserve">„V prípade medu pozostávajúceho zo zmesi medov pôvodom z viac ako jedného členského štátu Európskej únie alebo z tretej krajiny, na etikete sa v klesajúcom poradí vyznačia krajiny pôvodu zberu.</w:t>
      </w:r>
    </w:p>
    <w:p w:rsidR="008E1D2E" w:rsidRDefault="008E1D2E" w:rsidP="008E1D2E">
      <w:pPr>
        <w:jc w:val="both"/>
        <w:rPr>
          <w:rFonts w:ascii="Arial" w:hAnsi="Arial" w:cs="Arial"/>
        </w:rPr>
      </w:pPr>
      <w:r>
        <w:rPr>
          <w:rFonts w:ascii="Arial" w:hAnsi="Arial"/>
        </w:rPr>
        <w:t xml:space="preserve">„Tretí pododsek sa vzťahuje aj na materskú kašičku.“</w:t>
      </w:r>
    </w:p>
    <w:p w:rsidR="008E1D2E" w:rsidRDefault="008E1D2E" w:rsidP="008E1D2E">
      <w:pPr>
        <w:jc w:val="both"/>
        <w:rPr>
          <w:rFonts w:ascii="Arial" w:hAnsi="Arial" w:cs="Arial"/>
        </w:rPr>
      </w:pPr>
      <w:r>
        <w:rPr>
          <w:rFonts w:ascii="Arial" w:hAnsi="Arial"/>
        </w:rPr>
        <w:t xml:space="preserve">II.</w:t>
      </w:r>
      <w:r>
        <w:rPr>
          <w:rFonts w:ascii="Arial" w:hAnsi="Arial"/>
        </w:rPr>
        <w:t xml:space="preserve"> </w:t>
      </w:r>
      <w:r>
        <w:rPr>
          <w:rFonts w:ascii="Arial" w:hAnsi="Arial"/>
        </w:rPr>
        <w:t xml:space="preserve">– Odsek I tohto článku nadobúda účinnosť 1. januára 2021.</w:t>
      </w:r>
      <w:r>
        <w:rPr>
          <w:rFonts w:ascii="Arial" w:hAnsi="Arial"/>
        </w:rPr>
        <w:t xml:space="preserve"> </w:t>
      </w:r>
      <w:r>
        <w:rPr>
          <w:rFonts w:ascii="Arial" w:hAnsi="Arial"/>
        </w:rPr>
        <w:t xml:space="preserve">Počnúc týmto dátumom sa môžu výrobky, ktoré sa zákonne vyrábali alebo predávali pred týmto dátumom a ktorých etikety nie sú v súlade s tretím pododsekom článku L. 412-4 spotrebiteľského zákonníka v znení, ktoré vyplýva z tohto článku, naďalej predávať alebo bezplatne distribuovať až do vyčerpania skladových zásob.</w:t>
      </w:r>
    </w:p>
    <w:p w:rsidR="007F3528" w:rsidRPr="008E1D2E" w:rsidRDefault="007F3528" w:rsidP="008E1D2E">
      <w:pPr>
        <w:jc w:val="both"/>
        <w:rPr>
          <w:rFonts w:ascii="Arial" w:hAnsi="Arial" w:cs="Arial"/>
        </w:rPr>
      </w:pPr>
    </w:p>
    <w:p w:rsidR="008E1D2E" w:rsidRPr="008E1D2E" w:rsidRDefault="008E1D2E" w:rsidP="00ED0627">
      <w:pPr>
        <w:keepNext/>
        <w:keepLines/>
        <w:rPr>
          <w:b/>
          <w:rFonts w:ascii="Arial" w:hAnsi="Arial" w:cs="Arial"/>
        </w:rPr>
      </w:pPr>
      <w:r>
        <w:rPr>
          <w:b/>
          <w:rFonts w:ascii="Arial" w:hAnsi="Arial"/>
        </w:rPr>
        <w:t xml:space="preserve">Článok 5</w:t>
      </w:r>
    </w:p>
    <w:p w:rsidR="008E1D2E" w:rsidRPr="008E1D2E" w:rsidRDefault="008E1D2E" w:rsidP="00ED0627">
      <w:pPr>
        <w:jc w:val="both"/>
        <w:rPr>
          <w:rFonts w:ascii="Arial" w:hAnsi="Arial" w:cs="Arial"/>
        </w:rPr>
      </w:pPr>
      <w:r>
        <w:rPr>
          <w:rFonts w:ascii="Arial" w:hAnsi="Arial"/>
        </w:rPr>
        <w:t xml:space="preserve">Časť 2 kapitoly II hlavy I knihy IV spotrebiteľského zákonníka sa dopĺňa o článok L. 412-10 v tomto znení:</w:t>
      </w:r>
    </w:p>
    <w:p w:rsidR="008E1D2E" w:rsidRDefault="008E1D2E" w:rsidP="008E1D2E">
      <w:pPr>
        <w:jc w:val="both"/>
        <w:rPr>
          <w:rFonts w:ascii="Arial" w:hAnsi="Arial" w:cs="Arial"/>
        </w:rPr>
      </w:pPr>
      <w:r>
        <w:rPr>
          <w:rFonts w:ascii="Arial" w:hAnsi="Arial"/>
        </w:rPr>
        <w:t xml:space="preserve">„Článok L. 412-10.</w:t>
      </w:r>
      <w:r>
        <w:rPr>
          <w:rFonts w:ascii="Arial" w:hAnsi="Arial"/>
        </w:rPr>
        <w:t xml:space="preserve"> </w:t>
      </w:r>
      <w:r>
        <w:rPr>
          <w:rFonts w:ascii="Arial" w:hAnsi="Arial"/>
        </w:rPr>
        <w:t xml:space="preserve">– Názvy používané na označenie potravín živočíšneho pôvodu sa nemôžu ďalej používať na opis, predaj alebo propagáciu potravín s obsahom rastlinných bielkovín.</w:t>
      </w:r>
      <w:r>
        <w:rPr>
          <w:rFonts w:ascii="Arial" w:hAnsi="Arial"/>
        </w:rPr>
        <w:t xml:space="preserve"> </w:t>
      </w:r>
      <w:r>
        <w:rPr>
          <w:rFonts w:ascii="Arial" w:hAnsi="Arial"/>
        </w:rPr>
        <w:t xml:space="preserve">V nariadení sa stanovuje limitná hodnota rastlinných bielkovín, po prekročení ktorej nie je možné tieto názvy používať.</w:t>
      </w:r>
      <w:r>
        <w:rPr>
          <w:rFonts w:ascii="Arial" w:hAnsi="Arial"/>
        </w:rPr>
        <w:t xml:space="preserve"> </w:t>
      </w:r>
      <w:r>
        <w:rPr>
          <w:rFonts w:ascii="Arial" w:hAnsi="Arial"/>
        </w:rPr>
        <w:t xml:space="preserve">V tomto nariadení sú takisto uvedené podmienky uplatňovania tohto článku a sankcie vyplývajúce z jeho porušenia.“</w:t>
      </w:r>
    </w:p>
    <w:p w:rsidR="007F3528" w:rsidRDefault="007F3528" w:rsidP="008E1D2E">
      <w:pPr>
        <w:jc w:val="both"/>
        <w:rPr>
          <w:rFonts w:ascii="Arial" w:hAnsi="Arial" w:cs="Arial"/>
        </w:rPr>
      </w:pPr>
    </w:p>
    <w:p w:rsidR="008E1D2E" w:rsidRPr="008E1D2E" w:rsidRDefault="008E1D2E" w:rsidP="00ED0627">
      <w:pPr>
        <w:keepNext/>
        <w:keepLines/>
        <w:jc w:val="both"/>
        <w:rPr>
          <w:b/>
          <w:rFonts w:ascii="Arial" w:hAnsi="Arial" w:cs="Arial"/>
        </w:rPr>
      </w:pPr>
      <w:r>
        <w:rPr>
          <w:b/>
          <w:rFonts w:ascii="Arial" w:hAnsi="Arial"/>
        </w:rPr>
        <w:t xml:space="preserve">Článok 6</w:t>
      </w:r>
    </w:p>
    <w:p w:rsidR="008E1D2E" w:rsidRDefault="008E1D2E" w:rsidP="008E1D2E">
      <w:pPr>
        <w:jc w:val="both"/>
        <w:rPr>
          <w:rFonts w:ascii="Arial" w:hAnsi="Arial" w:cs="Arial"/>
        </w:rPr>
      </w:pPr>
      <w:r>
        <w:rPr>
          <w:rFonts w:ascii="Arial" w:hAnsi="Arial"/>
        </w:rPr>
        <w:t xml:space="preserve">Článok L. 641-19 poľnohospodárskeho zákonníka a zákonníka o námornom rybolove sa dopĺňa jedným pododsekom v tomto znení:</w:t>
      </w:r>
    </w:p>
    <w:p w:rsidR="008E1D2E" w:rsidRDefault="008E1D2E" w:rsidP="008E1D2E">
      <w:pPr>
        <w:jc w:val="both"/>
        <w:rPr>
          <w:rFonts w:ascii="Arial" w:hAnsi="Arial" w:cs="Arial"/>
        </w:rPr>
      </w:pPr>
      <w:r>
        <w:rPr>
          <w:rFonts w:ascii="Arial" w:hAnsi="Arial"/>
        </w:rPr>
        <w:t xml:space="preserve">„Pokiaľ ide o farmárske syry, v prípade, že sa proces dozrievania uskutočnil mimo poľnohospodárskeho podniku tradičnými spôsobmi, informácie pre spotrebiteľa sa musia doplniť o údaje uvedené v prvom pododseku v súlade s postupmi stanovenými v nariadení.“</w:t>
      </w:r>
    </w:p>
    <w:p w:rsidR="007F3528" w:rsidRDefault="007F3528" w:rsidP="008E1D2E">
      <w:pPr>
        <w:jc w:val="both"/>
        <w:rPr>
          <w:rFonts w:ascii="Arial" w:hAnsi="Arial" w:cs="Arial"/>
        </w:rPr>
      </w:pPr>
    </w:p>
    <w:p w:rsidR="008E1D2E" w:rsidRPr="008E1D2E" w:rsidRDefault="008E1D2E" w:rsidP="00ED0627">
      <w:pPr>
        <w:keepNext/>
        <w:keepLines/>
        <w:jc w:val="both"/>
        <w:rPr>
          <w:b/>
          <w:rFonts w:ascii="Arial" w:hAnsi="Arial" w:cs="Arial"/>
        </w:rPr>
      </w:pPr>
      <w:r>
        <w:rPr>
          <w:b/>
          <w:rFonts w:ascii="Arial" w:hAnsi="Arial"/>
        </w:rPr>
        <w:t xml:space="preserve">Článok 8</w:t>
      </w:r>
    </w:p>
    <w:p w:rsidR="008E1D2E" w:rsidRDefault="008E1D2E" w:rsidP="008E1D2E">
      <w:pPr>
        <w:jc w:val="both"/>
        <w:rPr>
          <w:rFonts w:ascii="Arial" w:hAnsi="Arial" w:cs="Arial"/>
        </w:rPr>
      </w:pPr>
      <w:r>
        <w:rPr>
          <w:rFonts w:ascii="Arial" w:hAnsi="Arial"/>
        </w:rPr>
        <w:t xml:space="preserve">I. – Časť 2 kapitoly II hlavy I knihy IV spotrebiteľského zákonníka sa dopĺňa o článok L. 412-11 v tomto znení:</w:t>
      </w:r>
    </w:p>
    <w:p w:rsidR="008E1D2E" w:rsidRDefault="008E1D2E" w:rsidP="008E1D2E">
      <w:pPr>
        <w:jc w:val="both"/>
        <w:rPr>
          <w:rFonts w:ascii="Arial" w:hAnsi="Arial" w:cs="Arial"/>
        </w:rPr>
      </w:pPr>
      <w:r>
        <w:rPr>
          <w:rFonts w:ascii="Arial" w:hAnsi="Arial"/>
        </w:rPr>
        <w:t xml:space="preserve">„L. 412-11.– Prevádzkovatelia zariadení, ktorí sú držiteľmi licencie na predaj alkoholických nápojov na konzumáciu na mieste alebo mimo miesta predaja, alebo ktorí sú držiteľmi licencie na poskytovanie reštauračných služieb, uvedú na nápojovom lístku alebo akomkoľvek inom zozname pôvod a v prípade potreby aj názov chráneného označenia pôvodu alebo chráneného zemepisného označenia vín určených na predaj vo fľašiach, v džbánoch alebo v pohári.“</w:t>
      </w:r>
    </w:p>
    <w:p w:rsidR="008E1D2E" w:rsidRDefault="008E1D2E" w:rsidP="008E1D2E">
      <w:pPr>
        <w:jc w:val="both"/>
        <w:rPr>
          <w:rFonts w:ascii="Arial" w:hAnsi="Arial" w:cs="Arial"/>
        </w:rPr>
      </w:pPr>
      <w:r>
        <w:rPr>
          <w:rFonts w:ascii="Arial" w:hAnsi="Arial"/>
        </w:rPr>
        <w:t xml:space="preserve">II.</w:t>
      </w:r>
      <w:r>
        <w:rPr>
          <w:rFonts w:ascii="Arial" w:hAnsi="Arial"/>
        </w:rPr>
        <w:t xml:space="preserve"> </w:t>
      </w:r>
      <w:r>
        <w:rPr>
          <w:rFonts w:ascii="Arial" w:hAnsi="Arial"/>
        </w:rPr>
        <w:t xml:space="preserve">– Odsek I tohto článku nadobúda účinnosť 1. júna 2020.</w:t>
      </w:r>
    </w:p>
    <w:p w:rsidR="007F3528" w:rsidRDefault="007F3528" w:rsidP="008E1D2E">
      <w:pPr>
        <w:jc w:val="both"/>
        <w:rPr>
          <w:rFonts w:ascii="Arial" w:hAnsi="Arial" w:cs="Arial"/>
        </w:rPr>
      </w:pPr>
    </w:p>
    <w:p w:rsidR="007F3528" w:rsidRDefault="007F3528" w:rsidP="00ED0627">
      <w:pPr>
        <w:keepNext/>
        <w:keepLines/>
        <w:jc w:val="both"/>
        <w:rPr>
          <w:b/>
          <w:rFonts w:ascii="Arial" w:hAnsi="Arial" w:cs="Arial"/>
        </w:rPr>
      </w:pPr>
      <w:r>
        <w:rPr>
          <w:b/>
          <w:rFonts w:ascii="Arial" w:hAnsi="Arial"/>
        </w:rPr>
        <w:t xml:space="preserve">Článok 9</w:t>
      </w:r>
    </w:p>
    <w:p w:rsidR="007F3528" w:rsidRDefault="007F3528" w:rsidP="008E1D2E">
      <w:pPr>
        <w:jc w:val="both"/>
        <w:rPr>
          <w:rFonts w:ascii="Arial" w:hAnsi="Arial" w:cs="Arial"/>
        </w:rPr>
      </w:pPr>
      <w:r>
        <w:rPr>
          <w:rFonts w:ascii="Arial" w:hAnsi="Arial"/>
        </w:rPr>
        <w:t xml:space="preserve">Časť 2 kapitoly II hlavy I knihy IV spotrebiteľského zákonníka sa dopĺňa o článok L. 412-12 v tomto znení:</w:t>
      </w:r>
    </w:p>
    <w:p w:rsidR="007F3528" w:rsidRPr="007F3528" w:rsidRDefault="007F3528" w:rsidP="008E1D2E">
      <w:pPr>
        <w:jc w:val="both"/>
        <w:rPr>
          <w:rFonts w:ascii="Arial" w:hAnsi="Arial" w:cs="Arial"/>
        </w:rPr>
      </w:pPr>
      <w:r>
        <w:rPr>
          <w:rFonts w:ascii="Arial" w:hAnsi="Arial"/>
        </w:rPr>
        <w:t xml:space="preserve">„Článok L. 412-12.</w:t>
      </w:r>
      <w:r>
        <w:rPr>
          <w:rFonts w:ascii="Arial" w:hAnsi="Arial"/>
        </w:rPr>
        <w:t xml:space="preserve"> </w:t>
      </w:r>
      <w:r>
        <w:rPr>
          <w:rFonts w:ascii="Arial" w:hAnsi="Arial"/>
        </w:rPr>
        <w:t xml:space="preserve">– Názov a adresa výrobcu piva sa na etikete vyznačia tak, aby spotrebiteľ nebol žiadnym spôsobom, vrátane celkovej podoby etikety, uvádzaný do omylu, pokiaľ ide o pôvod piva.</w:t>
      </w:r>
      <w:r>
        <w:rPr>
          <w:rFonts w:ascii="Arial" w:hAnsi="Arial"/>
        </w:rPr>
        <w:t xml:space="preserve"> </w:t>
      </w:r>
      <w:r>
        <w:rPr>
          <w:rFonts w:ascii="Arial" w:hAnsi="Arial"/>
        </w:rPr>
        <w:t xml:space="preserve">“</w:t>
      </w:r>
    </w:p>
    <w:sectPr w:rsidR="007F3528" w:rsidRPr="007F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2E"/>
    <w:rsid w:val="005C36B3"/>
    <w:rsid w:val="007606BC"/>
    <w:rsid w:val="007F3528"/>
    <w:rsid w:val="008E1D2E"/>
    <w:rsid w:val="00BC7E60"/>
    <w:rsid w:val="00D83FCF"/>
    <w:rsid w:val="00EC1FD0"/>
    <w:rsid w:val="00ED0627"/>
    <w:rsid w:val="00F305D0"/>
    <w:rsid w:val="00F84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A8E3-CCB1-44D8-880B-71115CD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Ke, Tingting</cp:lastModifiedBy>
  <cp:revision>1</cp:revision>
  <dcterms:created xsi:type="dcterms:W3CDTF">2020-06-03T17:11:00Z</dcterms:created>
  <dcterms:modified xsi:type="dcterms:W3CDTF">2020-06-05T09:01:00Z</dcterms:modified>
</cp:coreProperties>
</file>