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7677"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Asetus nro 2022-539, annettu 13. huhtikuuta 2022, hiilidioksidipäästöjen kompensoinnista ja hiilineutraaliutta koskevista väittämistä mainonnassa</w:t>
      </w:r>
    </w:p>
    <w:p w14:paraId="0C4784C2"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NOR: TRER2209794D</w:t>
      </w:r>
      <w:r>
        <w:rPr>
          <w:rFonts w:ascii="Times New Roman" w:hAnsi="Times New Roman"/>
          <w:sz w:val="24"/>
        </w:rPr>
        <w:br/>
        <w:t>ELI: https://www.legifrance.gouv.fr/eli/decret/2022/4/13/TRER2209794D/jo/texte</w:t>
      </w:r>
      <w:r>
        <w:rPr>
          <w:rFonts w:ascii="Times New Roman" w:hAnsi="Times New Roman"/>
          <w:sz w:val="24"/>
        </w:rPr>
        <w:br/>
        <w:t>Alias: https://www.legifrance.gouv.fr/eli/decret/2022/4/13/2022-539/jo/texte</w:t>
      </w:r>
      <w:r>
        <w:rPr>
          <w:rFonts w:ascii="Times New Roman" w:hAnsi="Times New Roman"/>
          <w:sz w:val="24"/>
        </w:rPr>
        <w:br/>
        <w:t>JORF No 0088, 14. huhtikuuta 2022</w:t>
      </w:r>
      <w:r>
        <w:rPr>
          <w:rFonts w:ascii="Times New Roman" w:hAnsi="Times New Roman"/>
          <w:sz w:val="24"/>
        </w:rPr>
        <w:br/>
        <w:t>Teksti nro 17</w:t>
      </w:r>
    </w:p>
    <w:p w14:paraId="2EBCAB91"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Kohderyhmä: mainostajat. </w:t>
      </w:r>
      <w:r>
        <w:rPr>
          <w:rFonts w:ascii="Times New Roman" w:hAnsi="Times New Roman"/>
          <w:sz w:val="24"/>
        </w:rPr>
        <w:br/>
        <w:t xml:space="preserve">Aihe: ilmastonmuutoksen torjunnasta ja sen vaikutusten sietokyvyn vahvistamisesta 22. elokuuta 2021 annetulla lailla nro 2021-1104 12 §:n säädellyn mainostajien tuotteiden ja palveluiden hiilineutraaliutta koskevan viestinnän toteuttamista koskevat yksityiskohtaiset säännöt. </w:t>
      </w:r>
      <w:r>
        <w:rPr>
          <w:rFonts w:ascii="Times New Roman" w:hAnsi="Times New Roman"/>
          <w:sz w:val="24"/>
        </w:rPr>
        <w:br/>
        <w:t xml:space="preserve">Voimaantulo: asetus tulee voimaan 1. tammikuuta 2023. </w:t>
      </w:r>
      <w:r>
        <w:rPr>
          <w:rFonts w:ascii="Times New Roman" w:hAnsi="Times New Roman"/>
          <w:sz w:val="24"/>
        </w:rPr>
        <w:br/>
        <w:t xml:space="preserve">Huomautus: asetuksessa vahvistetaan yksityiskohtaiset säännöt, jotka koskevat mainostajien tuotteiden tai palvelujen hiilineutraaliutta koskevaa viestintää. Siinä säädetään myös näitä väitteitä koskevista vastaväitteistä avoimuuden varmistamiseksi yleisölle sekä viherpesun riskin estämiseksi. Sitä sovelletaan kaikkiin mainoksiin, jotka julkaistaan tekstin voimaantulon jälkeen. </w:t>
      </w:r>
      <w:r>
        <w:rPr>
          <w:rFonts w:ascii="Times New Roman" w:hAnsi="Times New Roman"/>
          <w:sz w:val="24"/>
        </w:rPr>
        <w:br/>
        <w:t xml:space="preserve">Viitteet: tällä asetuksella muutettuun ympäristölakiin voi tutustua sen muutoksen jälkeisessä muodossa Légifrancen verkkosivustolla (ttps://www.legifrance.gouv.fr). </w:t>
      </w:r>
    </w:p>
    <w:p w14:paraId="170EB025"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Pääministeri, joka</w:t>
      </w:r>
      <w:r>
        <w:rPr>
          <w:rFonts w:ascii="Times New Roman" w:hAnsi="Times New Roman"/>
          <w:sz w:val="24"/>
        </w:rPr>
        <w:br/>
        <w:t>ekologisen siirtymän ministerin kertomuksen perusteella,</w:t>
      </w:r>
      <w:r>
        <w:rPr>
          <w:rFonts w:ascii="Times New Roman" w:hAnsi="Times New Roman"/>
          <w:sz w:val="24"/>
        </w:rPr>
        <w:br/>
        <w:t>ottaa huomioon teknisiä määräyksiä ja tietoyhteiskunnan palveluja koskevia määräyksiä koskevien tietojen toimittamisessa noudatettavasta menettelystä 9. päivänä syyskuuta 2015 annetun Euroopan parlamentin ja neuvoston direktiivin (EU) 2015/1535 ja erityisesti ilmoituksen nro 2021/904/F,</w:t>
      </w:r>
      <w:r>
        <w:rPr>
          <w:rFonts w:ascii="Times New Roman" w:hAnsi="Times New Roman"/>
          <w:sz w:val="24"/>
        </w:rPr>
        <w:br/>
        <w:t>ottaa huomioon ympäristölain,</w:t>
      </w:r>
      <w:r>
        <w:rPr>
          <w:rFonts w:ascii="Times New Roman" w:hAnsi="Times New Roman"/>
          <w:sz w:val="24"/>
        </w:rPr>
        <w:br/>
        <w:t>ottaa huomioon ilmastonmuutoksen torjunnasta ja sen vaikutusten sietokyvyn vahvistamisesta 22. elokuuta 2021 annetun lain nro 2021-1104 ja erityisesti sen 12 ja 147 §:n,</w:t>
      </w:r>
      <w:r>
        <w:rPr>
          <w:rFonts w:ascii="Times New Roman" w:hAnsi="Times New Roman"/>
          <w:sz w:val="24"/>
        </w:rPr>
        <w:br/>
        <w:t>ottaa huomioon yksittäisten hallinnollisten päätösten hajauttamisesta ekologisesta ja solidaarisesta siirtymästä, alueellisesta yhteenkuuluvuudesta sekä suhteista paikallis- ja alueviranomaisiin vastaaville ministereille 15. tammikuuta 1997 annetun asetuksen nro 97-34 2 §:n ensimmäisen momentin täytäntöönpanosta 19. joulukuuta 1997 annetun asetuksen nro 97-1198,</w:t>
      </w:r>
      <w:r>
        <w:rPr>
          <w:rFonts w:ascii="Times New Roman" w:hAnsi="Times New Roman"/>
          <w:sz w:val="24"/>
        </w:rPr>
        <w:br/>
        <w:t>ottaa huomioon kansallisista hiilibudjeteista ja kansallisesta vähähiilisyysstrategiasta 21. huhtikuuta 2020 annetun asetuksen nro 2020-457,</w:t>
      </w:r>
      <w:r>
        <w:rPr>
          <w:rFonts w:ascii="Times New Roman" w:hAnsi="Times New Roman"/>
          <w:sz w:val="24"/>
        </w:rPr>
        <w:br/>
        <w:t>ottaa huomioon ympäristölain L. 123-19-1 §:n mukaisesti 20.1.2022–10.2.2022 järjestetyssä julkisessa kuulemisessa esitetyt huomautukset,</w:t>
      </w:r>
      <w:r>
        <w:rPr>
          <w:rFonts w:ascii="Times New Roman" w:hAnsi="Times New Roman"/>
          <w:sz w:val="24"/>
        </w:rPr>
        <w:br/>
        <w:t>säätää seuraavaa:</w:t>
      </w:r>
    </w:p>
    <w:p w14:paraId="29884672" w14:textId="77777777" w:rsidR="002A3E9F" w:rsidRPr="002A3E9F" w:rsidRDefault="002A3E9F" w:rsidP="00EF2EA1">
      <w:pPr>
        <w:keepNext/>
        <w:spacing w:before="100" w:beforeAutospacing="1" w:after="100" w:afterAutospacing="1" w:line="240" w:lineRule="auto"/>
        <w:ind w:left="448"/>
        <w:outlineLvl w:val="3"/>
        <w:rPr>
          <w:rFonts w:ascii="Times New Roman" w:eastAsia="Times New Roman" w:hAnsi="Times New Roman" w:cs="Times New Roman"/>
          <w:b/>
          <w:bCs/>
          <w:sz w:val="24"/>
          <w:szCs w:val="24"/>
        </w:rPr>
      </w:pPr>
      <w:r>
        <w:rPr>
          <w:rFonts w:ascii="Times New Roman" w:hAnsi="Times New Roman"/>
          <w:b/>
          <w:sz w:val="24"/>
        </w:rPr>
        <w:lastRenderedPageBreak/>
        <w:t>1 §</w:t>
      </w:r>
    </w:p>
    <w:p w14:paraId="6C03566F"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Lisätään ympäristölain II osan II osaston IX lukuun 9 jakso seuraavasti:</w:t>
      </w:r>
    </w:p>
    <w:p w14:paraId="5717C40D"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”9 jakso ”Ympäristöväitteet”</w:t>
      </w:r>
    </w:p>
    <w:p w14:paraId="45C91DEF" w14:textId="3D62B8E5"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D. 229-106 §. - Mainostajan, joka väittää mainoksessa, että tuote tai palvelu on ”hiilineutraali”, ”nollahiilinen”, ”hiilijalanjäljetön”, ”ilmastoneutraali”, ”täysin kompensoitu” tai ”100% kompensoitu” taikka käyttää mitä tahansa merkitykseltään tai laajuudeltaan vastaavaa sanamuotoa, on noudatettava tämän jakson säännöksiä.</w:t>
      </w:r>
      <w:r>
        <w:rPr>
          <w:rFonts w:ascii="Times New Roman" w:hAnsi="Times New Roman"/>
          <w:sz w:val="24"/>
        </w:rPr>
        <w:br/>
      </w:r>
      <w:r w:rsidR="0019672D" w:rsidRPr="0019672D">
        <w:rPr>
          <w:rFonts w:ascii="Times New Roman" w:hAnsi="Times New Roman"/>
          <w:sz w:val="24"/>
        </w:rPr>
        <w:t>”</w:t>
      </w:r>
      <w:r>
        <w:rPr>
          <w:rFonts w:ascii="Times New Roman" w:hAnsi="Times New Roman"/>
          <w:sz w:val="24"/>
        </w:rPr>
        <w:t>Tätä jaksoa sovelletaan mainoskirjeisiin ja painettuihin mainosmateriaaleihin, mainosjulisteisiin, lehtijulkaisuissa julkaistuihin mainoksiin, elokuvateattereissa esitettyihin mainoksiin, televisio- tai radiopalveluissa ja verkkoviestintäpalveluissa esitettyihin mainoksiin sekä väittämiin tuotepakkauksissa.</w:t>
      </w:r>
    </w:p>
    <w:p w14:paraId="4F8E334A" w14:textId="1994DD13"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19672D" w:rsidRPr="0019672D">
        <w:rPr>
          <w:rFonts w:ascii="Times New Roman" w:hAnsi="Times New Roman"/>
          <w:sz w:val="24"/>
        </w:rPr>
        <w:t>”</w:t>
      </w:r>
      <w:r>
        <w:rPr>
          <w:rFonts w:ascii="Times New Roman" w:hAnsi="Times New Roman"/>
          <w:sz w:val="24"/>
        </w:rPr>
        <w:t>D. 229-107 §. - Edellä D. 229-106 §:ssä tarkoitetun mainostajan on laadittava kyseistä tuotetta tai palvelua koskeva kasvihuonekaasupäästötase, joka kattaa tämän koko elinkaaren. Tase saatetaan ajan tasalle vuosittain.</w:t>
      </w:r>
      <w:r>
        <w:rPr>
          <w:rFonts w:ascii="Times New Roman" w:hAnsi="Times New Roman"/>
          <w:sz w:val="24"/>
        </w:rPr>
        <w:br/>
      </w:r>
      <w:r w:rsidR="0019672D" w:rsidRPr="0019672D">
        <w:rPr>
          <w:rFonts w:ascii="Times New Roman" w:hAnsi="Times New Roman"/>
          <w:sz w:val="24"/>
        </w:rPr>
        <w:t>”</w:t>
      </w:r>
      <w:r>
        <w:rPr>
          <w:rFonts w:ascii="Times New Roman" w:hAnsi="Times New Roman"/>
          <w:sz w:val="24"/>
        </w:rPr>
        <w:t>Tase on laadittava standardin NF EN ISO 14067 tai minkä tahansa muun kyseisen standardin vaatimuksia vastaavan standardin mukaisesti. Näitä vaatimuksia voidaan täydentää ympäristöasioista vastaavan ministerin määräyksellä, jotta päästötaseen menetelmä vastaisi tämän lain L. 541-9-11 §:ssä säädettyä ympäristömerkintöjen menetelmää.</w:t>
      </w:r>
    </w:p>
    <w:p w14:paraId="1D527314" w14:textId="5003AD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19672D" w:rsidRPr="0019672D">
        <w:rPr>
          <w:rFonts w:ascii="Times New Roman" w:hAnsi="Times New Roman"/>
          <w:sz w:val="24"/>
        </w:rPr>
        <w:t>”</w:t>
      </w:r>
      <w:r>
        <w:rPr>
          <w:rFonts w:ascii="Times New Roman" w:hAnsi="Times New Roman"/>
          <w:sz w:val="24"/>
        </w:rPr>
        <w:t>D. 229-108 §. - Edellä D. 229-106 §:ssä tarkoitetun mainostajan on julkaistava julkisella verkkoviestintäsivustollaan tai vaihtoehtoisesti mobiilisovelluksessaan yhteenvetoraportti, jossa kuvataan mainostetun tuotteen tai palvelun hiilijalanjälki ja keinot, joilla kasvihuonekaasupäästöjä ensisijaisesti vältetään, sitten vähennetään ja lopuksi kompensoidaan. Kertomuksessa on oltava kolme liitettä, joissa eritellään sen sisältö ja jotka esitetään seuraavassa järjestyksessä:</w:t>
      </w:r>
      <w:r>
        <w:rPr>
          <w:rFonts w:ascii="Times New Roman" w:hAnsi="Times New Roman"/>
          <w:sz w:val="24"/>
        </w:rPr>
        <w:br/>
        <w:t>”(1) Liite, jossa esitetään D. 229-107 §:ssä säädetyn taseen tulokset ja yhteenveto kyseisen taseen laatimisessa käytetyistä menetelmistä. Tiivistelmässä on erityisesti täsmennettävä kyseisen tuotteen tai palvelun määrittelyssä käytetty soveltamisala, käytetyt toiminnalliset tai ilmoitetut yksiköt, kyseisen järjestelmän rajat, käsittelymenetelmä elinkaaren lopussa sekä huomioon otetut verkoista kulutetun sähkön tai kaasun päästötiedot. Siinä on yksilöitävä maat tai maantieteelliset alueet, joissa päästöt ja kansainvälisen liikenteen päästöt tapahtuvat, siltä osin kuin tällaisia tietoja on saatavilla;</w:t>
      </w:r>
      <w:r>
        <w:rPr>
          <w:rFonts w:ascii="Times New Roman" w:hAnsi="Times New Roman"/>
          <w:sz w:val="24"/>
        </w:rPr>
        <w:br/>
        <w:t>”(2) Liite, jossa esitetään mainostettuun tuotteeseen tai palveluun liittyvien kasvihuonekaasupäästöjen vähentämistavoite ja määrälliset vuotuiset edistymistavoitteet vähintään kymmenen vuoden ajan tämän jakson mukaisen raportin julkaisemisen jälkeen; Tämän jakson mukaisen ensimmäisen kertomuksen julkaisemisen jälkeen on joka viides vuosi vahvistettava päivitetty vähentämistavoite, joka kattaa seuraavan kymmenen vuoden jakson;</w:t>
      </w:r>
      <w:r>
        <w:rPr>
          <w:rFonts w:ascii="Times New Roman" w:hAnsi="Times New Roman"/>
          <w:sz w:val="24"/>
        </w:rPr>
        <w:br/>
      </w:r>
      <w:r w:rsidR="0019672D" w:rsidRPr="0019672D">
        <w:rPr>
          <w:rFonts w:ascii="Times New Roman" w:hAnsi="Times New Roman"/>
          <w:sz w:val="24"/>
        </w:rPr>
        <w:t>”</w:t>
      </w:r>
      <w:r w:rsidR="0019672D">
        <w:rPr>
          <w:rFonts w:ascii="Times New Roman" w:hAnsi="Times New Roman"/>
          <w:sz w:val="24"/>
        </w:rPr>
        <w:t>(</w:t>
      </w:r>
      <w:r>
        <w:rPr>
          <w:rFonts w:ascii="Times New Roman" w:hAnsi="Times New Roman"/>
          <w:sz w:val="24"/>
        </w:rPr>
        <w:t xml:space="preserve">3) liite, jossa esitetään yksityiskohtaisesti jäännöspäästöjen kompensaatiomenettelyt ja </w:t>
      </w:r>
      <w:r>
        <w:rPr>
          <w:rFonts w:ascii="Times New Roman" w:hAnsi="Times New Roman"/>
          <w:sz w:val="24"/>
        </w:rPr>
        <w:lastRenderedPageBreak/>
        <w:t>täsmennetään erityisesti kompensaatiohankkeiden luonne ja kuvaus.  Liitteessä esitetään myös tietoja niiden kustannuksista luokiteltuina seuraaviin kategorioihin: alle 10 €/tCO2, 10–40 €/tVO2, yli 40 €/tCO2. Liitteessä osoitetaan, että kompensoinnilla vähennettyjen tai talteen otettujen päästöjen määrä vastaa kaikkien myytyjen ja mainosten kohteena olevien tuotteiden tai palvelujen jäännöspäästöjä. Liitteessä täsmennetään myös keinot, joita mainostaja käyttää varmistaakseen, ettei se laske kahteen kertaan näiden hankkeiden mahdollistamaa kompensaatiota. Siinä vahvistetaan erityisesti menetelmät vähennettyjen ja talteen otettujen päästöjen poistamiseksi markkinoilta, kun käytetään päästöhyvityksiä. Lopuksi liitteessä esitetään yksityiskohtaisesti toimet, joilla pyritään varmistamaan paras mahdollinen johdonmukaisuus niiden maantieteellisten alueiden välillä, joilla hankkeet toteutetaan ja joilla päästöt tapahtuvat.</w:t>
      </w:r>
      <w:r>
        <w:rPr>
          <w:rFonts w:ascii="Times New Roman" w:hAnsi="Times New Roman"/>
          <w:sz w:val="24"/>
        </w:rPr>
        <w:br/>
      </w:r>
      <w:r w:rsidR="0019672D" w:rsidRPr="0019672D">
        <w:rPr>
          <w:rFonts w:ascii="Times New Roman" w:hAnsi="Times New Roman"/>
          <w:sz w:val="24"/>
        </w:rPr>
        <w:t>”</w:t>
      </w:r>
      <w:r>
        <w:rPr>
          <w:rFonts w:ascii="Times New Roman" w:hAnsi="Times New Roman"/>
          <w:sz w:val="24"/>
        </w:rPr>
        <w:t>Julkaisu on saatettava ajan tasalle vuosittain tuotteen tai palvelun koko sen markkinointijakson ajan, jonka aikana mainostaja väittää mainoksessa, että kyseinen tuote tai palvelu on hiilineutraali tai mitä tahansa merkitykseltään tai laajuudeltaan vastaavaa sanamuotoa. Ajan tasalle saattamisen avulla voidaan erityisesti seurata tuotteeseen tai palveluun liittyvien päästöjen kehitystä edellä mainittuun vähennyspolkuun verrattuna. Mainostajan on peruttava D. 229-106 §:ssä tarkoitettu väittämä, jos käy ilmi, että tuotteeseen tai palveluun liittyvät yksikköpäästöt ovat ennen kompensointia lisääntyneet kahtena peräkkäisenä vuotena.</w:t>
      </w:r>
      <w:r>
        <w:rPr>
          <w:rFonts w:ascii="Times New Roman" w:hAnsi="Times New Roman"/>
          <w:sz w:val="24"/>
        </w:rPr>
        <w:br/>
        <w:t xml:space="preserve">Julkaisun verkkolinkki tai QR-koodi ilmoitetaan mainoksessa tai pakkauksessa hiilineutraaliusväittämän kanssa. </w:t>
      </w:r>
    </w:p>
    <w:p w14:paraId="7F158DE5" w14:textId="5ACA5310"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19672D" w:rsidRPr="0019672D">
        <w:rPr>
          <w:rFonts w:ascii="Times New Roman" w:hAnsi="Times New Roman"/>
          <w:sz w:val="24"/>
        </w:rPr>
        <w:t>”</w:t>
      </w:r>
      <w:r>
        <w:rPr>
          <w:rFonts w:ascii="Times New Roman" w:hAnsi="Times New Roman"/>
          <w:sz w:val="24"/>
        </w:rPr>
        <w:t>D. 229-109 §. - Edellä D. 229–106 §:ssä tarkoitetuista mainostajan käyttämistä päästöjen kompensointihankkeista aiheutuvien päästöjen vähennysten ja talteenottojen on oltava L. 229–55 §:ssä ja sen täytäntöönpanosäädöksissä vahvistettujen periaatteiden mukaisia.</w:t>
      </w:r>
      <w:r>
        <w:rPr>
          <w:rFonts w:ascii="Times New Roman" w:hAnsi="Times New Roman"/>
          <w:sz w:val="24"/>
        </w:rPr>
        <w:br/>
        <w:t xml:space="preserve">Kompensaatiohankkeet eivät saa haitata luonnon ekosysteemien ja niiden toimintojen säilyttämistä ja ennallistamista. </w:t>
      </w:r>
      <w:r>
        <w:rPr>
          <w:rFonts w:ascii="Times New Roman" w:hAnsi="Times New Roman"/>
          <w:sz w:val="24"/>
        </w:rPr>
        <w:br/>
      </w:r>
      <w:r w:rsidR="0019672D" w:rsidRPr="0019672D">
        <w:rPr>
          <w:rFonts w:ascii="Times New Roman" w:hAnsi="Times New Roman"/>
          <w:sz w:val="24"/>
        </w:rPr>
        <w:t>”</w:t>
      </w:r>
      <w:r>
        <w:rPr>
          <w:rFonts w:ascii="Times New Roman" w:hAnsi="Times New Roman"/>
          <w:sz w:val="24"/>
        </w:rPr>
        <w:t>Vähähiilisyyttä koskevan ”Bas Carbone” -merkinnän käyttöönotosta 28. marraskuuta 2018 annetussa asetuksessa nro 2018-1043 määritettyjen päästövähennysten katsotaan olevan kahden edeltävän momentin mukaisia.</w:t>
      </w:r>
      <w:r>
        <w:rPr>
          <w:rFonts w:ascii="Times New Roman" w:hAnsi="Times New Roman"/>
          <w:sz w:val="24"/>
        </w:rPr>
        <w:br/>
      </w:r>
      <w:r w:rsidR="0019672D" w:rsidRPr="0019672D">
        <w:rPr>
          <w:rFonts w:ascii="Times New Roman" w:hAnsi="Times New Roman"/>
          <w:sz w:val="24"/>
        </w:rPr>
        <w:t>”</w:t>
      </w:r>
      <w:r>
        <w:rPr>
          <w:rFonts w:ascii="Times New Roman" w:hAnsi="Times New Roman"/>
          <w:sz w:val="24"/>
        </w:rPr>
        <w:t>Mainostajat voivat kiinnittää maininnan ”Päästöt kompensoitu Ranskassa” tai minkä tahansa merkitykseltään tai laajuudeltaan vastaavan maininnan vain, jos kompensointihankkeet toteutetaan Ranskassa.”</w:t>
      </w:r>
    </w:p>
    <w:p w14:paraId="78F17CE7"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2 §</w:t>
      </w:r>
    </w:p>
    <w:p w14:paraId="6351ADB7"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Tämä asetus tulee voimaan 1. tammikuuta 2023.</w:t>
      </w:r>
      <w:r>
        <w:rPr>
          <w:rFonts w:ascii="Times New Roman" w:hAnsi="Times New Roman"/>
          <w:sz w:val="24"/>
        </w:rPr>
        <w:br/>
        <w:t>EU:n jäsenvaltioiden alueella toteutettavien hankkeiden rahoitus vastaa 31. joulukuuta 2025 saakka D. 229-109 §:n säännösten mukaista päästövähennysten jakamista mainostajalle, jos mainostaja voi sopimuksella perustella hankkeen tarkastettujen ja todennettujen päästöjen vähennysten ja talteenottojen mahdollisen tunnustamisen. Mainostajan on varmistettava päästöhyvitysvelvoitteidensa noudattaminen, tarvittaessa hankkimalla lisää päästöhyvityksiä, jotka vastaavat hankkeen todennettujen vähennettyjen ja talteen otettujen päästöjen ja rahoitettujen päästövähennysten välistä erotusta.</w:t>
      </w:r>
    </w:p>
    <w:p w14:paraId="4F8232CD" w14:textId="77777777" w:rsidR="002A3E9F" w:rsidRPr="002A3E9F" w:rsidRDefault="002A3E9F" w:rsidP="00EF2EA1">
      <w:pPr>
        <w:keepNext/>
        <w:spacing w:before="100" w:beforeAutospacing="1" w:after="100" w:afterAutospacing="1" w:line="240" w:lineRule="auto"/>
        <w:ind w:left="448"/>
        <w:outlineLvl w:val="3"/>
        <w:rPr>
          <w:rFonts w:ascii="Times New Roman" w:eastAsia="Times New Roman" w:hAnsi="Times New Roman" w:cs="Times New Roman"/>
          <w:b/>
          <w:bCs/>
          <w:sz w:val="24"/>
          <w:szCs w:val="24"/>
        </w:rPr>
      </w:pPr>
      <w:r>
        <w:rPr>
          <w:rFonts w:ascii="Times New Roman" w:hAnsi="Times New Roman"/>
          <w:b/>
          <w:sz w:val="24"/>
        </w:rPr>
        <w:lastRenderedPageBreak/>
        <w:t>3 §</w:t>
      </w:r>
    </w:p>
    <w:p w14:paraId="50E3BCD6"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Ranskan ekologisen siirtymän ministeri vastaa tämän Ranskan tasavallan virallisessa lehdessä julkaistavan asetuksen täytäntöönpanosta.</w:t>
      </w:r>
    </w:p>
    <w:p w14:paraId="4BD039D4"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Annettu 13. huhtikuuta 2022.</w:t>
      </w:r>
    </w:p>
    <w:p w14:paraId="0E475CED"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Pääministerin puolesta:</w:t>
      </w:r>
    </w:p>
    <w:p w14:paraId="62C49A95" w14:textId="7EAE1460"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Ekologisen siirtymän ministeri</w:t>
      </w:r>
      <w:r>
        <w:rPr>
          <w:rFonts w:ascii="Times New Roman" w:hAnsi="Times New Roman"/>
          <w:sz w:val="24"/>
        </w:rPr>
        <w:br/>
        <w:t xml:space="preserve">Barbara </w:t>
      </w:r>
      <w:r w:rsidR="00EF2EA1">
        <w:rPr>
          <w:rFonts w:ascii="Times New Roman" w:hAnsi="Times New Roman"/>
          <w:sz w:val="24"/>
        </w:rPr>
        <w:t>Pompili</w:t>
      </w:r>
    </w:p>
    <w:p w14:paraId="2B6B1F98" w14:textId="77777777" w:rsidR="001A38BC" w:rsidRDefault="001A38BC"/>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19672D"/>
    <w:rsid w:val="001A38BC"/>
    <w:rsid w:val="002A3E9F"/>
    <w:rsid w:val="00EF2E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0A6E"/>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1309</Words>
  <Characters>7463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4</cp:revision>
  <dcterms:created xsi:type="dcterms:W3CDTF">2022-08-01T12:48:00Z</dcterms:created>
  <dcterms:modified xsi:type="dcterms:W3CDTF">2022-08-02T15:12:00Z</dcterms:modified>
</cp:coreProperties>
</file>