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F56" w:rsidRPr="008F61B0" w:rsidRDefault="00C46F56" w:rsidP="00C46F56">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0264 FIN CS- ------ 20200930 --- --- FINAL</w:t>
      </w:r>
      <w:r>
        <w:rPr>
          <w:sz w:val="20"/>
          <w:rFonts w:ascii="Courier New" w:hAnsi="Courier New"/>
        </w:rPr>
        <w:t xml:space="preserve"> </w:t>
      </w:r>
    </w:p>
    <w:p w:rsidR="00253078" w:rsidRPr="00CC049F" w:rsidRDefault="00C7373B" w:rsidP="00F0011B">
      <w:pPr>
        <w:jc w:val="center"/>
        <w:textAlignment w:val="baseline"/>
        <w:rPr>
          <w:b/>
          <w:color w:val="000000"/>
          <w:spacing w:val="20"/>
          <w:sz w:val="56"/>
          <w:rFonts w:ascii="Bodoni MT" w:eastAsia="Bodoni MT" w:hAnsi="Bodoni MT"/>
        </w:rPr>
      </w:pPr>
      <w:r>
        <w:rPr>
          <w:b/>
          <w:color w:val="000000"/>
          <w:sz w:val="56"/>
          <w:rFonts w:ascii="Bodoni MT" w:hAnsi="Bodoni MT"/>
        </w:rPr>
        <w:t xml:space="preserve">SBÍRKA PRÁVNÍCH PŘEDPISŮ FINSKA</w:t>
      </w:r>
    </w:p>
    <w:p w:rsidR="00253078" w:rsidRPr="00F0011B" w:rsidRDefault="00C7373B" w:rsidP="00F0011B">
      <w:pPr>
        <w:pBdr>
          <w:bottom w:val="thinThickThinSmallGap" w:sz="12" w:space="1" w:color="auto"/>
        </w:pBdr>
        <w:jc w:val="center"/>
        <w:textAlignment w:val="baseline"/>
        <w:rPr>
          <w:color w:val="000000"/>
          <w:rFonts w:eastAsia="Times New Roman"/>
        </w:rPr>
      </w:pPr>
      <w:r>
        <w:rPr>
          <w:color w:val="000000"/>
        </w:rPr>
        <w:t xml:space="preserve">Vydáno v Helsinkách, 10. ledna 2020</w:t>
      </w:r>
    </w:p>
    <w:p w:rsidR="00253078" w:rsidRPr="00F0011B" w:rsidRDefault="00C7373B" w:rsidP="00F0011B">
      <w:pPr>
        <w:spacing w:before="720" w:after="240"/>
        <w:jc w:val="center"/>
        <w:textAlignment w:val="baseline"/>
        <w:rPr>
          <w:b/>
          <w:color w:val="000000"/>
          <w:sz w:val="28"/>
          <w:rFonts w:eastAsia="Times New Roman"/>
        </w:rPr>
      </w:pPr>
      <w:r>
        <w:rPr>
          <w:b/>
          <w:color w:val="000000"/>
          <w:sz w:val="28"/>
        </w:rPr>
        <w:t xml:space="preserve">2/2020</w:t>
      </w:r>
    </w:p>
    <w:p w:rsidR="00253078" w:rsidRPr="00F0011B" w:rsidRDefault="00C7373B" w:rsidP="00F0011B">
      <w:pPr>
        <w:jc w:val="center"/>
        <w:textAlignment w:val="baseline"/>
        <w:rPr>
          <w:b/>
          <w:color w:val="000000"/>
          <w:sz w:val="28"/>
          <w:rFonts w:eastAsia="Times New Roman"/>
        </w:rPr>
      </w:pPr>
      <w:r>
        <w:rPr>
          <w:b/>
          <w:color w:val="000000"/>
          <w:sz w:val="28"/>
        </w:rPr>
        <w:t xml:space="preserve">Výnos ministerstva zemědělství a lesnictví,</w:t>
      </w:r>
    </w:p>
    <w:p w:rsidR="00253078" w:rsidRPr="00F0011B" w:rsidRDefault="00C7373B" w:rsidP="00F0011B">
      <w:pPr>
        <w:spacing w:after="240"/>
        <w:jc w:val="center"/>
        <w:textAlignment w:val="baseline"/>
        <w:rPr>
          <w:b/>
          <w:color w:val="000000"/>
          <w:rFonts w:eastAsia="Times New Roman"/>
        </w:rPr>
      </w:pPr>
      <w:r>
        <w:rPr>
          <w:b/>
          <w:color w:val="000000"/>
        </w:rPr>
        <w:t xml:space="preserve">o kontrolách masa</w:t>
      </w:r>
    </w:p>
    <w:p w:rsidR="00253078" w:rsidRPr="00F0011B" w:rsidRDefault="00C7373B" w:rsidP="00F0011B">
      <w:pPr>
        <w:ind w:firstLine="216"/>
        <w:jc w:val="both"/>
        <w:textAlignment w:val="baseline"/>
        <w:rPr>
          <w:color w:val="000000"/>
          <w:rFonts w:eastAsia="Times New Roman"/>
        </w:rPr>
      </w:pPr>
      <w:r>
        <w:rPr>
          <w:color w:val="000000"/>
        </w:rPr>
        <w:t xml:space="preserve">V souladu s rozhodnutím ministerstva zemědělství a lesnictví se na základě § 18 odst. 3 a § 43 odst. 4 zákona o potravinách (23/2006) ve znění § 43 odst. 4 zákona 1397/2019 stanoví následující:</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1</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Rozsah platnosti</w:t>
      </w:r>
    </w:p>
    <w:p w:rsidR="00253078" w:rsidRPr="00F0011B" w:rsidRDefault="00C7373B" w:rsidP="00F0011B">
      <w:pPr>
        <w:ind w:firstLine="216"/>
        <w:jc w:val="both"/>
        <w:textAlignment w:val="baseline"/>
        <w:rPr>
          <w:color w:val="000000"/>
          <w:rFonts w:eastAsia="Times New Roman"/>
        </w:rPr>
      </w:pPr>
      <w:r>
        <w:rPr>
          <w:color w:val="000000"/>
        </w:rPr>
        <w:t xml:space="preserve">Tato vyhláška stanoví inspekce a další úřední kontroly masa domácích kopytníků, drůbeže, sobů a další farmové zvěře, jakož i volně žijící zvěře jak v hospodářstvích původu, tak na jatkách a v zařízeních na zpracování zvěřiny podle § 6 odst. 22 a 23 zákona o potravinách.</w:t>
      </w:r>
    </w:p>
    <w:p w:rsidR="00253078" w:rsidRPr="00F0011B" w:rsidRDefault="00C7373B" w:rsidP="00F0011B">
      <w:pPr>
        <w:ind w:firstLine="216"/>
        <w:jc w:val="both"/>
        <w:textAlignment w:val="baseline"/>
        <w:rPr>
          <w:color w:val="000000"/>
          <w:rFonts w:eastAsia="Times New Roman"/>
        </w:rPr>
      </w:pPr>
      <w:r>
        <w:rPr>
          <w:color w:val="000000"/>
        </w:rPr>
        <w:t xml:space="preserve">Vyhláška doplňuje nařízení Komise v přenesené pravomoci (EU) 2019/624 o zvláštních pravidlech pro provádění úředních kontrol produkce masa a pro produkční a sádkovací oblasti pro živé mlže v souladu s nařízením Evropského parlamentu a Rady (EU) 2017/625 (dále jen</w:t>
      </w:r>
      <w:r>
        <w:rPr>
          <w:color w:val="000000"/>
          <w:i/>
          <w:iCs/>
        </w:rPr>
        <w:t xml:space="preserve"> nařízení Komise v přenesené pravomoci</w:t>
      </w:r>
      <w:r>
        <w:rPr>
          <w:color w:val="000000"/>
        </w:rPr>
        <w:t xml:space="preserve"> (EU) 2019/624), a </w:t>
      </w:r>
      <w:r>
        <w:rPr>
          <w:color w:val="000000"/>
          <w:i/>
          <w:iCs/>
        </w:rPr>
        <w:t xml:space="preserve">prováděcím nařízením Komise</w:t>
      </w:r>
      <w:r>
        <w:rPr>
          <w:color w:val="000000"/>
        </w:rPr>
        <w:t xml:space="preserve"> (EU) 2019/627, kterým se stanoví jednotná praktická opatření pro provádění úředních kontrol produktů živočišného původu určených k lidské spotřebě v souladu s nařízením Evropského parlamentu a Rady (EU) 2017/625 a kterým se mění nařízení Komise (ES) č. 2074/2005, pokud jde o úřední kontroly (dále jen</w:t>
      </w:r>
      <w:r>
        <w:rPr>
          <w:color w:val="000000"/>
          <w:i/>
          <w:iCs/>
        </w:rPr>
        <w:t xml:space="preserve"> prováděcí nařízení Komise</w:t>
      </w:r>
      <w:r>
        <w:rPr>
          <w:color w:val="000000"/>
        </w:rPr>
        <w:t xml:space="preserve"> (EU) 2019/627) a </w:t>
      </w:r>
      <w:r>
        <w:rPr>
          <w:color w:val="000000"/>
          <w:i/>
          <w:iCs/>
        </w:rPr>
        <w:t xml:space="preserve">prováděcí </w:t>
      </w:r>
      <w:r>
        <w:rPr>
          <w:color w:val="000000"/>
          <w:i/>
          <w:iCs/>
        </w:rPr>
        <w:t xml:space="preserve">nařízení Komise</w:t>
      </w:r>
      <w:r>
        <w:rPr>
          <w:color w:val="000000"/>
        </w:rPr>
        <w:t xml:space="preserve"> (EU) 2015/1375, kterým se stanoví zvláštní předpisy pro úřední kontroly trichinel v mase.</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2</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Definice</w:t>
      </w:r>
    </w:p>
    <w:p w:rsidR="00253078" w:rsidRPr="00F0011B" w:rsidRDefault="00C7373B" w:rsidP="00F0011B">
      <w:pPr>
        <w:ind w:firstLine="216"/>
        <w:jc w:val="both"/>
        <w:textAlignment w:val="baseline"/>
        <w:rPr>
          <w:color w:val="000000"/>
          <w:rFonts w:eastAsia="Times New Roman"/>
        </w:rPr>
      </w:pPr>
      <w:r>
        <w:rPr>
          <w:color w:val="000000"/>
        </w:rPr>
        <w:t xml:space="preserve">Pro účely tohoto výnosu platí definice uvedené v zákoně o potravinách a následujících nařízeních a výnosech:</w:t>
      </w:r>
    </w:p>
    <w:p w:rsidR="00253078" w:rsidRPr="00F0011B" w:rsidRDefault="00C7373B" w:rsidP="00F0011B">
      <w:pPr>
        <w:numPr>
          <w:ilvl w:val="0"/>
          <w:numId w:val="1"/>
        </w:numPr>
        <w:tabs>
          <w:tab w:val="clear" w:pos="360"/>
          <w:tab w:val="left" w:pos="576"/>
        </w:tabs>
        <w:ind w:left="0" w:firstLine="216"/>
        <w:jc w:val="both"/>
        <w:textAlignment w:val="baseline"/>
        <w:rPr>
          <w:color w:val="000000"/>
          <w:rFonts w:eastAsia="Times New Roman"/>
        </w:rPr>
      </w:pPr>
      <w:r>
        <w:rPr>
          <w:color w:val="000000"/>
        </w:rPr>
        <w:t xml:space="preserve">nařízení Evropského parlamentu a Rady (ES) č. 853/2004, kterým se stanoví zvláštní hygienická pravidla pro potraviny živočišného původu;</w:t>
      </w:r>
    </w:p>
    <w:p w:rsidR="00F0011B" w:rsidRPr="00F0011B" w:rsidRDefault="00C7373B" w:rsidP="00F0011B">
      <w:pPr>
        <w:numPr>
          <w:ilvl w:val="0"/>
          <w:numId w:val="1"/>
        </w:numPr>
        <w:tabs>
          <w:tab w:val="clear" w:pos="360"/>
          <w:tab w:val="left" w:pos="576"/>
        </w:tabs>
        <w:ind w:left="0" w:firstLine="216"/>
        <w:jc w:val="both"/>
        <w:textAlignment w:val="baseline"/>
        <w:rPr>
          <w:color w:val="000000"/>
          <w:rFonts w:eastAsia="Times New Roman"/>
        </w:rPr>
      </w:pPr>
      <w:r>
        <w:rPr>
          <w:color w:val="000000"/>
        </w:rPr>
        <w:t xml:space="preserve">nařízení Evropského parlamentu a Rady (EU) č. 2017/625 o úředních kontrolách a jiných úředních činnostech k zajištění uplatňování potravinového a krmivového práva a pravidel týkajících se zdraví zvířat a dobrých životních podmínek zvířat, zdraví rostlin a přípravků na ochranu rostlin, novelizující nařízení Evropského parlamentu a Rady (ES) č. 999/2001, (ES) č. 396/2005, (ES) č. 1069/2009, (ES) č. 1107/2009, (EU) č. 1151/2012, (EU) č. 652/2014, (EU) 2016/429 a (EU) 2016/2031, nařízení Rady (ES) č. 1/2005 a (ES) č. 1099/2009 a směrnice Rady 98/58/ES, 1999/74/ES, 2007/43/ES, 2008/119/ES a 2008/120/ES a zrušující nařízení Evropského parlamentu a Rady (ES) č. 854/2004 a (ES) č. 882/2004, směrnice Rady 89/608/EHS, 89/662/EHS, 90/425/EHS, 91/496/EHS, 96/23/ES, 96/93/ES a 97/78/ES a rozhodnutí Rady 92/438/EHS (v dalším textu</w:t>
      </w:r>
      <w:r>
        <w:rPr>
          <w:color w:val="000000"/>
          <w:i/>
          <w:iCs/>
        </w:rPr>
        <w:t xml:space="preserve"> nařízení o úředních kontrolách</w:t>
      </w:r>
      <w:r>
        <w:rPr>
          <w:color w:val="000000"/>
        </w:rPr>
        <w:t xml:space="preserve"> (EU) 2017/625);</w:t>
      </w:r>
    </w:p>
    <w:p w:rsidR="00253078" w:rsidRPr="00F0011B" w:rsidRDefault="00C7373B" w:rsidP="00F0011B">
      <w:pPr>
        <w:numPr>
          <w:ilvl w:val="0"/>
          <w:numId w:val="1"/>
        </w:numPr>
        <w:tabs>
          <w:tab w:val="clear" w:pos="360"/>
          <w:tab w:val="left" w:pos="576"/>
        </w:tabs>
        <w:ind w:left="0" w:firstLine="216"/>
        <w:jc w:val="both"/>
        <w:textAlignment w:val="baseline"/>
        <w:rPr>
          <w:color w:val="000000"/>
          <w:rFonts w:eastAsia="Times New Roman"/>
        </w:rPr>
      </w:pPr>
      <w:r>
        <w:rPr>
          <w:color w:val="000000"/>
        </w:rPr>
        <w:t xml:space="preserve">nařízení Komise v přenesené pravomoci (EU) 2019/624;</w:t>
      </w:r>
    </w:p>
    <w:p w:rsidR="00253078" w:rsidRPr="00F0011B" w:rsidRDefault="00C7373B" w:rsidP="00F0011B">
      <w:pPr>
        <w:numPr>
          <w:ilvl w:val="0"/>
          <w:numId w:val="1"/>
        </w:numPr>
        <w:tabs>
          <w:tab w:val="clear" w:pos="360"/>
          <w:tab w:val="left" w:pos="576"/>
        </w:tabs>
        <w:ind w:left="0" w:firstLine="216"/>
        <w:jc w:val="both"/>
        <w:textAlignment w:val="baseline"/>
        <w:rPr>
          <w:color w:val="000000"/>
          <w:rFonts w:eastAsia="Times New Roman"/>
        </w:rPr>
      </w:pPr>
      <w:r>
        <w:rPr>
          <w:color w:val="000000"/>
        </w:rPr>
        <w:t xml:space="preserve">prováděcí nařízení Komise (EU) 2019/627;</w:t>
      </w:r>
    </w:p>
    <w:p w:rsidR="00253078" w:rsidRPr="00F0011B" w:rsidRDefault="00C7373B" w:rsidP="00F0011B">
      <w:pPr>
        <w:numPr>
          <w:ilvl w:val="0"/>
          <w:numId w:val="1"/>
        </w:numPr>
        <w:tabs>
          <w:tab w:val="clear" w:pos="360"/>
          <w:tab w:val="left" w:pos="576"/>
        </w:tabs>
        <w:ind w:left="0" w:firstLine="216"/>
        <w:jc w:val="both"/>
        <w:textAlignment w:val="baseline"/>
        <w:rPr>
          <w:color w:val="000000"/>
          <w:rFonts w:eastAsia="Times New Roman"/>
        </w:rPr>
      </w:pPr>
      <w:r>
        <w:rPr>
          <w:color w:val="000000"/>
        </w:rPr>
        <w:t xml:space="preserve">výnos ministerstva zemědělství a lesního hospodářství o hygieně potravin v podnicích (795/2014).</w:t>
      </w:r>
    </w:p>
    <w:p w:rsidR="00253078" w:rsidRPr="00F0011B" w:rsidRDefault="00C7373B" w:rsidP="00F0011B">
      <w:pPr>
        <w:ind w:firstLine="216"/>
        <w:jc w:val="both"/>
        <w:textAlignment w:val="baseline"/>
        <w:rPr>
          <w:color w:val="000000"/>
          <w:rFonts w:eastAsia="Times New Roman"/>
        </w:rPr>
      </w:pPr>
      <w:r>
        <w:rPr>
          <w:color w:val="000000"/>
        </w:rPr>
        <w:t xml:space="preserve">Kromě toho se v této vyhlášce</w:t>
      </w:r>
      <w:r>
        <w:rPr>
          <w:color w:val="000000"/>
          <w:i/>
          <w:iCs/>
        </w:rPr>
        <w:t xml:space="preserve"> prohlídkou masa</w:t>
      </w:r>
      <w:r>
        <w:rPr>
          <w:color w:val="000000"/>
        </w:rPr>
        <w:t xml:space="preserve">rozumí prohlídky před porážkou a po porážce podle čl. 17 písm. c) a d) nařízení (EU) 2017/625 o úředních kontrolách.</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3</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Zaměstnanci jatek</w:t>
      </w:r>
    </w:p>
    <w:p w:rsidR="00253078" w:rsidRPr="00F0011B" w:rsidRDefault="00C7373B" w:rsidP="00F0011B">
      <w:pPr>
        <w:ind w:firstLine="216"/>
        <w:jc w:val="both"/>
        <w:textAlignment w:val="baseline"/>
        <w:rPr>
          <w:color w:val="000000"/>
          <w:rFonts w:eastAsia="Times New Roman"/>
        </w:rPr>
      </w:pPr>
      <w:r>
        <w:rPr>
          <w:color w:val="000000"/>
        </w:rPr>
        <w:t xml:space="preserve">Finský úřad pro potraviny může povolit zaměstnancům jatek pro drůbež a farmová zajícovitá zvířata, aby byli nápomocni úřednímu veterinárnímu lékaři při prohlídkách masa podle ustanovení čl. 18 odst. 3 nařízení (EU) 2017/625.</w:t>
      </w:r>
      <w:r>
        <w:rPr>
          <w:color w:val="000000"/>
        </w:rPr>
        <w:t xml:space="preserve"> </w:t>
      </w:r>
      <w:r>
        <w:rPr>
          <w:color w:val="000000"/>
        </w:rPr>
        <w:t xml:space="preserve">Při prohlídkách masa mohou vypomáhat pouze osoby, které úspěšně projdou posouzením výkonnosti pořádaným úředním veterinárním lékařem.</w:t>
      </w:r>
    </w:p>
    <w:p w:rsidR="00253078" w:rsidRPr="00F0011B" w:rsidRDefault="00C7373B" w:rsidP="00F0011B">
      <w:pPr>
        <w:ind w:firstLine="216"/>
        <w:jc w:val="both"/>
        <w:textAlignment w:val="baseline"/>
        <w:rPr>
          <w:color w:val="000000"/>
          <w:rFonts w:eastAsia="Times New Roman"/>
        </w:rPr>
      </w:pPr>
      <w:r>
        <w:rPr>
          <w:color w:val="000000"/>
        </w:rPr>
        <w:t xml:space="preserve">Regionální agentura státní správy může povolit zaměstnancům jatek pro soby, aby byli nápomocni úřednímu veterinárnímu lékaři při prohlídkách masa podle ustanovení čl. 18 odst. 3 nařízení (EU) 2017/625 o úředních kontrolách a čl. 12 odst. 1 písm. c) nařízení Komise v přenesené pravomoci (EU) 2019/624.</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4</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Maximální počet porážek v nízkokapacitních jatkách</w:t>
      </w:r>
    </w:p>
    <w:p w:rsidR="00253078" w:rsidRPr="00F0011B" w:rsidRDefault="00C7373B" w:rsidP="00F0011B">
      <w:pPr>
        <w:ind w:firstLine="216"/>
        <w:jc w:val="both"/>
        <w:textAlignment w:val="baseline"/>
        <w:rPr>
          <w:color w:val="000000"/>
          <w:rFonts w:eastAsia="Times New Roman"/>
        </w:rPr>
      </w:pPr>
      <w:r>
        <w:rPr>
          <w:color w:val="000000"/>
        </w:rPr>
        <w:t xml:space="preserve">Podle čl. 7 odst. 1 písm. b) nařízení Komise v přenesené pravomoci (EU) 2019/624 a čl. 13 odst. 2 nařízení Komise v přenesené pravomoci (EU) 2019/627 může Finský úřad pro potraviny na požádání zvýšit roční maximální počet porážek na jednotlivých nízkokapacitních jatkách na maximálně 3 000 kusů v případě kopytníků nebo 200 000 kusů drůbeže.</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5</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Pitva</w:t>
      </w:r>
    </w:p>
    <w:p w:rsidR="00253078" w:rsidRPr="00F0011B" w:rsidRDefault="00C7373B" w:rsidP="00F0011B">
      <w:pPr>
        <w:ind w:firstLine="216"/>
        <w:jc w:val="both"/>
        <w:textAlignment w:val="baseline"/>
        <w:rPr>
          <w:color w:val="000000"/>
          <w:rFonts w:eastAsia="Times New Roman"/>
        </w:rPr>
      </w:pPr>
      <w:r>
        <w:rPr>
          <w:color w:val="000000"/>
        </w:rPr>
        <w:t xml:space="preserve">Úřední veterinární lékař musí provést pitvu u všech zvířat, která uhynou během přepravy na jatka nebo spontánně na jatkách.</w:t>
      </w:r>
      <w:r>
        <w:rPr>
          <w:color w:val="000000"/>
        </w:rPr>
        <w:t xml:space="preserve"> </w:t>
      </w:r>
      <w:r>
        <w:rPr>
          <w:color w:val="000000"/>
        </w:rPr>
        <w:t xml:space="preserve">Kromě toho musí úřední veterinární lékař provést pitvu u zvířat usmrcených v zájmu zajištění dobrých životních podmínek zvířat v případě podezření, že jsou nositeli onemocnění, které se může šířit ze zvířat na člověka nebo na jiná zvířata.</w:t>
      </w:r>
      <w:r>
        <w:rPr>
          <w:color w:val="000000"/>
        </w:rPr>
        <w:t xml:space="preserve"> </w:t>
      </w:r>
      <w:r>
        <w:rPr>
          <w:color w:val="000000"/>
        </w:rPr>
        <w:t xml:space="preserve">Alternativně lze odebrat reprezentativní vzorek z drůbeže a zajícovité zvěře.</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6</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Informace o potravinovém řetězci</w:t>
      </w:r>
    </w:p>
    <w:p w:rsidR="00253078" w:rsidRPr="00F0011B" w:rsidRDefault="00C7373B" w:rsidP="00F0011B">
      <w:pPr>
        <w:ind w:firstLine="216"/>
        <w:jc w:val="both"/>
        <w:textAlignment w:val="baseline"/>
        <w:rPr>
          <w:color w:val="000000"/>
          <w:rFonts w:eastAsia="Times New Roman"/>
        </w:rPr>
      </w:pPr>
      <w:r>
        <w:rPr>
          <w:color w:val="000000"/>
        </w:rPr>
        <w:t xml:space="preserve">Se souhlasem úředního veterinárního lékaře, mohou být informace o potravinovém řetězci ukládány místo na jatkách na hospodářství původu připojeném k nízkokapacitním jatkám.</w:t>
      </w:r>
      <w:r>
        <w:rPr>
          <w:color w:val="000000"/>
        </w:rPr>
        <w:t xml:space="preserve"> </w:t>
      </w:r>
      <w:r>
        <w:rPr>
          <w:color w:val="000000"/>
        </w:rPr>
        <w:t xml:space="preserve">Toto uspořádání je možné pouze u zvířat chovaných na hospodářství původu.</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7</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Prohlídky před porážkou na jatkách</w:t>
      </w:r>
    </w:p>
    <w:p w:rsidR="00253078" w:rsidRPr="00F0011B" w:rsidRDefault="00C7373B" w:rsidP="00F0011B">
      <w:pPr>
        <w:ind w:firstLine="216"/>
        <w:jc w:val="both"/>
        <w:textAlignment w:val="baseline"/>
        <w:rPr>
          <w:color w:val="000000"/>
          <w:rFonts w:eastAsia="Times New Roman"/>
        </w:rPr>
      </w:pPr>
      <w:r>
        <w:rPr>
          <w:color w:val="000000"/>
        </w:rPr>
        <w:t xml:space="preserve">Úřední veterinární lékař neprodleně ohlásí regionální agentuře státní správy jakákoli zvířata, která jsou nesprávně označena nebo zaregistrována.</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8</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Výjimky týkající se prohlídek farmové zvěře před porážkou</w:t>
      </w:r>
    </w:p>
    <w:p w:rsidR="00253078" w:rsidRPr="00F0011B" w:rsidRDefault="00C7373B" w:rsidP="00F0011B">
      <w:pPr>
        <w:ind w:firstLine="216"/>
        <w:jc w:val="both"/>
        <w:textAlignment w:val="baseline"/>
        <w:rPr>
          <w:color w:val="000000"/>
          <w:rFonts w:eastAsia="Times New Roman"/>
        </w:rPr>
      </w:pPr>
      <w:r>
        <w:rPr>
          <w:color w:val="000000"/>
        </w:rPr>
        <w:t xml:space="preserve">Prohlídka před porážkou u farmové zvěře může být provedena maximálně 28 dní před porážkou v souladu s ustanovením čl. 6 odst. 5 nařízení Komise v přenesené pravomoci (EU) 2019/624.</w:t>
      </w:r>
    </w:p>
    <w:p w:rsidR="00253078" w:rsidRPr="00F0011B" w:rsidRDefault="00C7373B" w:rsidP="00F0011B">
      <w:pPr>
        <w:ind w:firstLine="216"/>
        <w:jc w:val="both"/>
        <w:textAlignment w:val="baseline"/>
        <w:rPr>
          <w:i/>
          <w:color w:val="000000"/>
          <w:rFonts w:eastAsia="Times New Roman"/>
        </w:rPr>
      </w:pPr>
      <w:r>
        <w:rPr>
          <w:color w:val="000000"/>
        </w:rPr>
        <w:t xml:space="preserve">Od 1. května do 30. září může být prohlídka před porážkou vynechána v případě jednotlivých sobů, kteří se usadí na zemědělské půdě nebo v oblasti chovu sobů podle § 2 zákona o chovu sobů (848/1990) a které nelze odchytit nebo vrátit na jejich přirozené pastviny a kteří jsou usmrceni odstřelem v souladu s čl. 12 odst. 1 písm. b) nařízení Komise v přenesené pravomoci (EU) 2019/624.</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9</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Opatření k prohlídkám po porážce</w:t>
      </w:r>
    </w:p>
    <w:p w:rsidR="00253078" w:rsidRPr="00F0011B" w:rsidRDefault="00C7373B" w:rsidP="00F0011B">
      <w:pPr>
        <w:ind w:firstLine="216"/>
        <w:jc w:val="both"/>
        <w:textAlignment w:val="baseline"/>
        <w:rPr>
          <w:color w:val="000000"/>
          <w:rFonts w:eastAsia="Times New Roman"/>
        </w:rPr>
      </w:pPr>
      <w:r>
        <w:rPr>
          <w:color w:val="000000"/>
        </w:rPr>
        <w:t xml:space="preserve">Jatečně upravené tělo a orgány budou zcela vyřazeny, pokud:</w:t>
      </w:r>
    </w:p>
    <w:p w:rsidR="00253078" w:rsidRPr="00F0011B" w:rsidRDefault="00C7373B" w:rsidP="00F0011B">
      <w:pPr>
        <w:numPr>
          <w:ilvl w:val="0"/>
          <w:numId w:val="3"/>
        </w:numPr>
        <w:tabs>
          <w:tab w:val="clear" w:pos="360"/>
          <w:tab w:val="left" w:pos="576"/>
        </w:tabs>
        <w:ind w:left="0" w:firstLine="216"/>
        <w:jc w:val="both"/>
        <w:textAlignment w:val="baseline"/>
        <w:rPr>
          <w:color w:val="000000"/>
          <w:rFonts w:eastAsia="Times New Roman"/>
        </w:rPr>
      </w:pPr>
      <w:r>
        <w:rPr>
          <w:color w:val="000000"/>
        </w:rPr>
        <w:t xml:space="preserve">bude učiněn nález, podle kterého mělo být zvíře vyřazeno při prohlídce před porážkou;</w:t>
      </w:r>
    </w:p>
    <w:p w:rsidR="00253078" w:rsidRPr="00F0011B" w:rsidRDefault="00C7373B" w:rsidP="00F0011B">
      <w:pPr>
        <w:numPr>
          <w:ilvl w:val="0"/>
          <w:numId w:val="3"/>
        </w:numPr>
        <w:tabs>
          <w:tab w:val="clear" w:pos="360"/>
          <w:tab w:val="left" w:pos="576"/>
        </w:tabs>
        <w:ind w:left="0" w:firstLine="216"/>
        <w:jc w:val="both"/>
        <w:textAlignment w:val="baseline"/>
        <w:rPr>
          <w:color w:val="000000"/>
          <w:rFonts w:eastAsia="Times New Roman"/>
        </w:rPr>
      </w:pPr>
      <w:r>
        <w:rPr>
          <w:color w:val="000000"/>
        </w:rPr>
        <w:t xml:space="preserve">bylo zjištěno, že zvíře bylo poraženo během období vysazení léku podávaného zvířeti.</w:t>
      </w:r>
      <w:r>
        <w:rPr>
          <w:color w:val="000000"/>
        </w:rPr>
        <w:t xml:space="preserve"> </w:t>
      </w:r>
      <w:r>
        <w:rPr>
          <w:color w:val="000000"/>
        </w:rPr>
        <w:t xml:space="preserve">Na základě § 12 odst. 2 zákona o veterinární medicíně (387/2014) ale nebudou vyřazena jatečně upravená těla zvířat, která byla podrobena nucené porážce, nebo jiné části zvířat vhodné pro potraviny, pokud období vysazení léku nebylo určeno pro lék obsahující estrogenní, androgenní nebo gestagenní látku nebo beta-agonisty, a to za předpokladu, že jsou splněny podmínky podle § 12 odst. 3 výše uvedeného zákona.</w:t>
      </w:r>
    </w:p>
    <w:p w:rsidR="00253078" w:rsidRPr="00F0011B" w:rsidRDefault="00C7373B" w:rsidP="00F0011B">
      <w:pPr>
        <w:ind w:firstLine="216"/>
        <w:jc w:val="both"/>
        <w:textAlignment w:val="baseline"/>
        <w:rPr>
          <w:color w:val="000000"/>
          <w:rFonts w:eastAsia="Times New Roman"/>
        </w:rPr>
      </w:pPr>
      <w:r>
        <w:rPr>
          <w:color w:val="000000"/>
        </w:rPr>
        <w:t xml:space="preserve">Bez ohledu na ustanovení výše uvedeného odst. 1 písm. b) ale nebudou jatečně upravené tělo a jiné části zvířete vhodné pro potraviny vyřazeny během období vysazení léku, pokud byly zvířeti podávány farmakologicky účinné látky nebo léky uvedené v tabulce 1 přílohy nařízení Komise (EU) č. 37/2010 o farmakologicky účinných látkách a jejich klasifikaci podle maximálních limitů reziduí v potravinách živočišného původu, pokud stopy takových látek nevyžadují provedení testu MRL za účelem ochrany lidského zdraví.</w:t>
      </w:r>
    </w:p>
    <w:p w:rsidR="00253078" w:rsidRPr="00F0011B" w:rsidRDefault="00C7373B" w:rsidP="00F0011B">
      <w:pPr>
        <w:ind w:firstLine="216"/>
        <w:jc w:val="both"/>
        <w:textAlignment w:val="baseline"/>
        <w:rPr>
          <w:color w:val="000000"/>
          <w:rFonts w:eastAsia="Times New Roman"/>
        </w:rPr>
      </w:pPr>
      <w:r>
        <w:rPr>
          <w:color w:val="000000"/>
        </w:rPr>
        <w:t xml:space="preserve">Orgány budou vyřazeny v následujících případech:</w:t>
      </w:r>
    </w:p>
    <w:p w:rsidR="00253078" w:rsidRPr="00F0011B" w:rsidRDefault="00C7373B" w:rsidP="00F0011B">
      <w:pPr>
        <w:numPr>
          <w:ilvl w:val="0"/>
          <w:numId w:val="4"/>
        </w:numPr>
        <w:tabs>
          <w:tab w:val="clear" w:pos="360"/>
          <w:tab w:val="left" w:pos="576"/>
        </w:tabs>
        <w:ind w:left="0" w:firstLine="216"/>
        <w:jc w:val="both"/>
        <w:textAlignment w:val="baseline"/>
        <w:rPr>
          <w:color w:val="000000"/>
          <w:rFonts w:eastAsia="Times New Roman"/>
        </w:rPr>
      </w:pPr>
      <w:r>
        <w:rPr>
          <w:color w:val="000000"/>
        </w:rPr>
        <w:t xml:space="preserve">játra a ledviny koňovitých zvířat;</w:t>
      </w:r>
    </w:p>
    <w:p w:rsidR="00253078" w:rsidRPr="00F0011B" w:rsidRDefault="00C7373B" w:rsidP="00F0011B">
      <w:pPr>
        <w:numPr>
          <w:ilvl w:val="0"/>
          <w:numId w:val="4"/>
        </w:numPr>
        <w:tabs>
          <w:tab w:val="clear" w:pos="360"/>
          <w:tab w:val="left" w:pos="576"/>
        </w:tabs>
        <w:ind w:left="0" w:firstLine="216"/>
        <w:jc w:val="both"/>
        <w:textAlignment w:val="baseline"/>
        <w:rPr>
          <w:color w:val="000000"/>
          <w:rFonts w:eastAsia="Times New Roman"/>
        </w:rPr>
      </w:pPr>
      <w:r>
        <w:rPr>
          <w:color w:val="000000"/>
        </w:rPr>
        <w:t xml:space="preserve">ledviny skotu více než čtyřletého;</w:t>
      </w:r>
    </w:p>
    <w:p w:rsidR="00253078" w:rsidRPr="00F0011B" w:rsidRDefault="00C7373B" w:rsidP="00F0011B">
      <w:pPr>
        <w:numPr>
          <w:ilvl w:val="0"/>
          <w:numId w:val="4"/>
        </w:numPr>
        <w:tabs>
          <w:tab w:val="clear" w:pos="360"/>
          <w:tab w:val="left" w:pos="576"/>
        </w:tabs>
        <w:ind w:left="0" w:firstLine="216"/>
        <w:jc w:val="both"/>
        <w:textAlignment w:val="baseline"/>
        <w:rPr>
          <w:color w:val="000000"/>
          <w:rFonts w:eastAsia="Times New Roman"/>
        </w:rPr>
      </w:pPr>
      <w:r>
        <w:rPr>
          <w:color w:val="000000"/>
        </w:rPr>
        <w:t xml:space="preserve">játra a ledviny volně žijících jelenovitých zvířat starších než jeden rok a ledviny divokých zajícovitých zvířat.</w:t>
      </w:r>
    </w:p>
    <w:p w:rsidR="00253078" w:rsidRPr="00F0011B" w:rsidRDefault="00C7373B" w:rsidP="00F0011B">
      <w:pPr>
        <w:ind w:firstLine="216"/>
        <w:jc w:val="both"/>
        <w:textAlignment w:val="baseline"/>
        <w:rPr>
          <w:color w:val="000000"/>
          <w:rFonts w:eastAsia="Times New Roman"/>
        </w:rPr>
      </w:pPr>
      <w:r>
        <w:rPr>
          <w:color w:val="000000"/>
        </w:rPr>
        <w:t xml:space="preserve">Maso, jehož zpracování se řídí zvláštními požadavky na zpracování podle § 13, musí být odmítnuto, není-li zpracováno v souladu s těmito požadavky.</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10</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Laboratorní testy a jiné testy v rámci prohlídky masa</w:t>
      </w:r>
    </w:p>
    <w:p w:rsidR="00253078" w:rsidRPr="00F0011B" w:rsidRDefault="00C7373B" w:rsidP="00F0011B">
      <w:pPr>
        <w:ind w:firstLine="216"/>
        <w:jc w:val="both"/>
        <w:textAlignment w:val="baseline"/>
        <w:rPr>
          <w:i/>
          <w:color w:val="000000"/>
          <w:rFonts w:eastAsia="Times New Roman"/>
        </w:rPr>
      </w:pPr>
      <w:r>
        <w:rPr>
          <w:color w:val="000000"/>
        </w:rPr>
        <w:t xml:space="preserve">Kromě</w:t>
      </w:r>
      <w:r>
        <w:rPr>
          <w:color w:val="000000"/>
          <w:i/>
          <w:iCs/>
        </w:rPr>
        <w:t xml:space="preserve"> </w:t>
      </w:r>
      <w:r>
        <w:rPr>
          <w:color w:val="000000"/>
        </w:rPr>
        <w:t xml:space="preserve">prohlídky po porážce mohou být v rámci hodnocení masa použity bakteriologické zkoušky a zkoušky antimikrobiálními přípravky, jakož i další potřebné laboratorní zkoušky.</w:t>
      </w:r>
      <w:r>
        <w:rPr>
          <w:color w:val="000000"/>
        </w:rPr>
        <w:t xml:space="preserve"> </w:t>
      </w:r>
      <w:r>
        <w:rPr>
          <w:color w:val="000000"/>
        </w:rPr>
        <w:t xml:space="preserve">K vyhodnocení masa lze rovněž použít zkoušky vařením masa a měření pH masa.</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11</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Kvalifikační požadavky pro osoby, které provádějí testy na výskyt svalovce</w:t>
      </w:r>
    </w:p>
    <w:p w:rsidR="00253078" w:rsidRPr="00F0011B" w:rsidRDefault="00C7373B" w:rsidP="00F0011B">
      <w:pPr>
        <w:ind w:firstLine="216"/>
        <w:jc w:val="both"/>
        <w:textAlignment w:val="baseline"/>
        <w:rPr>
          <w:color w:val="000000"/>
          <w:rFonts w:eastAsia="Times New Roman"/>
        </w:rPr>
      </w:pPr>
      <w:r>
        <w:rPr>
          <w:color w:val="000000"/>
        </w:rPr>
        <w:t xml:space="preserve">Školení osob provádějících testy na výskyt svalovce musí zahrnovat praktickou výuku v laboratoři schválené k testování na výskyt svalovce a kurzy pořádané Finským úřadem pro potraviny a školené osoby musí složit zkoušku.</w:t>
      </w:r>
      <w:r>
        <w:rPr>
          <w:color w:val="000000"/>
        </w:rPr>
        <w:t xml:space="preserve"> </w:t>
      </w:r>
      <w:r>
        <w:rPr>
          <w:color w:val="000000"/>
        </w:rPr>
        <w:t xml:space="preserve">Období praxe potrvá deset pracovních dnů a během této doby by se školená osoba měla seznámit s odběrem vzorků a metodami testů na svalovce stočeného.</w:t>
      </w:r>
      <w:r>
        <w:rPr>
          <w:color w:val="000000"/>
        </w:rPr>
        <w:t xml:space="preserve"> </w:t>
      </w:r>
      <w:r>
        <w:rPr>
          <w:color w:val="000000"/>
        </w:rPr>
        <w:t xml:space="preserve">Finský úřad pro bezpečnost potravin může udělit výjimku z období praxe osobám, které mají adekvátní zkušenosti s testováním na svalovce nebo s prací v laboratoři.</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12</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Označování schváleného masa</w:t>
      </w:r>
    </w:p>
    <w:p w:rsidR="00253078" w:rsidRPr="00F0011B" w:rsidRDefault="00C7373B" w:rsidP="00F0011B">
      <w:pPr>
        <w:ind w:firstLine="216"/>
        <w:jc w:val="both"/>
        <w:textAlignment w:val="baseline"/>
        <w:rPr>
          <w:color w:val="000000"/>
          <w:rFonts w:eastAsia="Times New Roman"/>
        </w:rPr>
      </w:pPr>
      <w:r>
        <w:rPr>
          <w:color w:val="000000"/>
        </w:rPr>
        <w:t xml:space="preserve">Manuální razítka se značkou zdravotní nezávadnosti a identifikační značkou u ptáků běžců budou uchovány pod kontrolou úředního veterinárního lékaře.</w:t>
      </w:r>
    </w:p>
    <w:p w:rsidR="00253078" w:rsidRPr="00F0011B" w:rsidRDefault="00C7373B" w:rsidP="00F0011B">
      <w:pPr>
        <w:ind w:firstLine="216"/>
        <w:jc w:val="both"/>
        <w:textAlignment w:val="baseline"/>
        <w:rPr>
          <w:color w:val="000000"/>
          <w:rFonts w:eastAsia="Times New Roman"/>
        </w:rPr>
      </w:pPr>
      <w:r>
        <w:rPr>
          <w:color w:val="000000"/>
        </w:rPr>
        <w:t xml:space="preserve">Části zvířat, které jsou vyřazeny během kontroly masa, musejí být odstraněny před orazítkováním jatečně upraveného těla.</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13</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Zvláštní požadavky na zpracování schváleného masa</w:t>
      </w:r>
    </w:p>
    <w:p w:rsidR="00253078" w:rsidRPr="00F0011B" w:rsidRDefault="00C7373B" w:rsidP="00F0011B">
      <w:pPr>
        <w:ind w:firstLine="216"/>
        <w:jc w:val="both"/>
        <w:textAlignment w:val="baseline"/>
        <w:rPr>
          <w:color w:val="000000"/>
          <w:rFonts w:eastAsia="Times New Roman"/>
        </w:rPr>
      </w:pPr>
      <w:r>
        <w:rPr>
          <w:color w:val="000000"/>
        </w:rPr>
        <w:t xml:space="preserve">Úřední veterinární lékař nařídí speciální zpracování masa, pokud</w:t>
      </w:r>
    </w:p>
    <w:p w:rsidR="00253078" w:rsidRPr="00F0011B" w:rsidRDefault="00C7373B" w:rsidP="00F0011B">
      <w:pPr>
        <w:numPr>
          <w:ilvl w:val="0"/>
          <w:numId w:val="8"/>
        </w:numPr>
        <w:tabs>
          <w:tab w:val="clear" w:pos="360"/>
          <w:tab w:val="left" w:pos="576"/>
        </w:tabs>
        <w:ind w:left="0" w:firstLine="216"/>
        <w:jc w:val="both"/>
        <w:textAlignment w:val="baseline"/>
        <w:rPr>
          <w:color w:val="000000"/>
          <w:rFonts w:eastAsia="Times New Roman"/>
        </w:rPr>
      </w:pPr>
      <w:r>
        <w:rPr>
          <w:color w:val="000000"/>
        </w:rPr>
        <w:t xml:space="preserve">zvíře pochází z hospodářství, které je předmětem rozhodnutí o zabránění šíření onemocnění z důvodu nálezu salmonely nebo podezření na její výskyt.</w:t>
      </w:r>
      <w:r>
        <w:rPr>
          <w:color w:val="000000"/>
        </w:rPr>
        <w:t xml:space="preserve"> </w:t>
      </w:r>
      <w:r>
        <w:rPr>
          <w:color w:val="000000"/>
        </w:rPr>
        <w:t xml:space="preserve">Požadavek se nicméně nevztahuje na zvířata, která pocházejí z částí hospodářství, kterým regionální agentura státní správy udělila výjimku pro odstranění zvířat z hospodářství;</w:t>
      </w:r>
    </w:p>
    <w:p w:rsidR="00253078" w:rsidRPr="00F0011B" w:rsidRDefault="00C7373B" w:rsidP="00F0011B">
      <w:pPr>
        <w:numPr>
          <w:ilvl w:val="0"/>
          <w:numId w:val="8"/>
        </w:numPr>
        <w:tabs>
          <w:tab w:val="clear" w:pos="360"/>
          <w:tab w:val="left" w:pos="576"/>
        </w:tabs>
        <w:ind w:left="0" w:firstLine="216"/>
        <w:jc w:val="both"/>
        <w:textAlignment w:val="baseline"/>
        <w:rPr>
          <w:i/>
          <w:color w:val="000000"/>
          <w:rFonts w:eastAsia="Times New Roman"/>
        </w:rPr>
      </w:pPr>
      <w:r>
        <w:rPr>
          <w:color w:val="000000"/>
        </w:rPr>
        <w:t xml:space="preserve">při bakteriologickém testu prováděného v souvislosti s prohlídkou po porážce na vzorku jiném než sterilně odebraném ze svalu se ukáže, že zvíře má salmonelu;</w:t>
      </w:r>
    </w:p>
    <w:p w:rsidR="00253078" w:rsidRPr="00F0011B" w:rsidRDefault="00C7373B" w:rsidP="00F0011B">
      <w:pPr>
        <w:numPr>
          <w:ilvl w:val="0"/>
          <w:numId w:val="8"/>
        </w:numPr>
        <w:tabs>
          <w:tab w:val="clear" w:pos="360"/>
          <w:tab w:val="left" w:pos="576"/>
        </w:tabs>
        <w:ind w:left="0" w:firstLine="216"/>
        <w:jc w:val="both"/>
        <w:textAlignment w:val="baseline"/>
        <w:rPr>
          <w:color w:val="000000"/>
          <w:rFonts w:eastAsia="Times New Roman"/>
        </w:rPr>
      </w:pPr>
      <w:r>
        <w:rPr>
          <w:color w:val="000000"/>
        </w:rPr>
        <w:t xml:space="preserve">nejsou k dispozici žádné výsledky testů na salmonelu ze šarže ptáků spadajících do programu kontroly salmonely nebo v případě, že byla v šarži ptáků bakterie salmonely nalezena.</w:t>
      </w:r>
    </w:p>
    <w:p w:rsidR="00253078" w:rsidRPr="00F0011B" w:rsidRDefault="00C7373B" w:rsidP="00F0011B">
      <w:pPr>
        <w:ind w:firstLine="216"/>
        <w:jc w:val="both"/>
        <w:textAlignment w:val="baseline"/>
        <w:rPr>
          <w:color w:val="000000"/>
          <w:rFonts w:eastAsia="Times New Roman"/>
        </w:rPr>
      </w:pPr>
      <w:r>
        <w:rPr>
          <w:color w:val="000000"/>
        </w:rPr>
        <w:t xml:space="preserve">Kromě ustanovení odstavce 1 může úřední veterinární lékař nařídit, aby bylo maso zahřáto nebo zmrazeno, pokud je to třeba pro zaručení bezpečnosti potravin.</w:t>
      </w:r>
    </w:p>
    <w:p w:rsidR="00253078" w:rsidRPr="00F0011B" w:rsidRDefault="00C7373B" w:rsidP="00F0011B">
      <w:pPr>
        <w:ind w:firstLine="216"/>
        <w:jc w:val="both"/>
        <w:textAlignment w:val="baseline"/>
        <w:rPr>
          <w:color w:val="000000"/>
          <w:rFonts w:eastAsia="Times New Roman"/>
        </w:rPr>
      </w:pPr>
      <w:r>
        <w:rPr>
          <w:color w:val="000000"/>
        </w:rPr>
        <w:t xml:space="preserve">Jakékoli maso, u kterého je nařízeno jeho zahřátí, a všechny výrobky, které je obsahují, je třeba zahřát v domácí výrobně masa na alespoň 70°C.</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14</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Požadavky na značení masa, u něhož je nařízeno speciální zpracování</w:t>
      </w:r>
    </w:p>
    <w:p w:rsidR="00253078" w:rsidRPr="00F0011B" w:rsidRDefault="00C7373B" w:rsidP="00F0011B">
      <w:pPr>
        <w:ind w:firstLine="216"/>
        <w:jc w:val="both"/>
        <w:textAlignment w:val="baseline"/>
        <w:rPr>
          <w:color w:val="000000"/>
          <w:rFonts w:eastAsia="Times New Roman"/>
        </w:rPr>
      </w:pPr>
      <w:r>
        <w:rPr>
          <w:color w:val="000000"/>
        </w:rPr>
        <w:t xml:space="preserve">Maso, u něhož je nařízeno zahřátí podle § 13, musí být označeno dodatečným označením KUUMENNUS [„ZAHŘÁTÍ“].</w:t>
      </w:r>
      <w:r>
        <w:rPr>
          <w:color w:val="000000"/>
        </w:rPr>
        <w:t xml:space="preserve"> </w:t>
      </w:r>
      <w:r>
        <w:rPr>
          <w:color w:val="000000"/>
        </w:rPr>
        <w:t xml:space="preserve">Maso, u něhož je nařízeno zmrazení, musí být označeno dodatečným označením PAKASTUS [„ZMRAZENÍ“].</w:t>
      </w:r>
    </w:p>
    <w:p w:rsidR="00253078" w:rsidRPr="00F0011B" w:rsidRDefault="00C7373B" w:rsidP="00F0011B">
      <w:pPr>
        <w:ind w:firstLine="216"/>
        <w:jc w:val="both"/>
        <w:textAlignment w:val="baseline"/>
        <w:rPr>
          <w:color w:val="000000"/>
          <w:rFonts w:eastAsia="Times New Roman"/>
        </w:rPr>
      </w:pPr>
      <w:r>
        <w:rPr>
          <w:color w:val="000000"/>
        </w:rPr>
        <w:t xml:space="preserve">Dodatečné ochranné známky se orazí na jatečně upravené tělo v bezprostřední blízkosti značek zdravotní nezávadnosti nebo identifikačních značek u ptáků běžců, a u ostatních zvířat v bezprostřední blízkosti identifikačních značek na obalu nebo balicím materiálu.</w:t>
      </w:r>
      <w:r>
        <w:rPr>
          <w:color w:val="000000"/>
        </w:rPr>
        <w:t xml:space="preserve"> </w:t>
      </w:r>
      <w:r>
        <w:rPr>
          <w:color w:val="000000"/>
        </w:rPr>
        <w:t xml:space="preserve">Písmena dodatečných značek by měla mít na výšku alespoň 1,5 cm.</w:t>
      </w:r>
    </w:p>
    <w:p w:rsidR="00253078" w:rsidRPr="00F0011B" w:rsidRDefault="00C7373B" w:rsidP="00F0011B">
      <w:pPr>
        <w:ind w:firstLine="216"/>
        <w:jc w:val="both"/>
        <w:textAlignment w:val="baseline"/>
        <w:rPr>
          <w:color w:val="000000"/>
          <w:rFonts w:eastAsia="Times New Roman"/>
        </w:rPr>
      </w:pPr>
      <w:r>
        <w:rPr>
          <w:color w:val="000000"/>
        </w:rPr>
        <w:t xml:space="preserve">Dodatečné značky u porcovaného masa se musí nacházet na mase v blízkosti značky zdravotní nezávadnosti nebo v blízkosti identifikační značky na jeho obalu nebo balicím materiálu.</w:t>
      </w:r>
    </w:p>
    <w:p w:rsidR="00253078" w:rsidRPr="00F0011B" w:rsidRDefault="00C7373B" w:rsidP="00F0011B">
      <w:pPr>
        <w:ind w:firstLine="216"/>
        <w:jc w:val="both"/>
        <w:textAlignment w:val="baseline"/>
        <w:rPr>
          <w:color w:val="000000"/>
          <w:rFonts w:eastAsia="Times New Roman"/>
        </w:rPr>
      </w:pPr>
      <w:r>
        <w:rPr>
          <w:color w:val="000000"/>
        </w:rPr>
        <w:t xml:space="preserve">Dodatečné značky se nepoužívají po ohřevu nebo zmrazení.</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15</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Informace po prohlídce masa</w:t>
      </w:r>
    </w:p>
    <w:p w:rsidR="00253078" w:rsidRPr="00F0011B" w:rsidRDefault="00C7373B" w:rsidP="00F0011B">
      <w:pPr>
        <w:ind w:firstLine="216"/>
        <w:jc w:val="both"/>
        <w:textAlignment w:val="baseline"/>
        <w:rPr>
          <w:color w:val="000000"/>
          <w:rFonts w:eastAsia="Times New Roman"/>
        </w:rPr>
      </w:pPr>
      <w:r>
        <w:rPr>
          <w:color w:val="000000"/>
        </w:rPr>
        <w:t xml:space="preserve">Prohlídka masa se považuje za uzavřenou, jakmile je zvíře vyřazeno při prohlídce před porážkou nebo jakmile je maso schváleno k použití pro potraviny nebo vyřazeno po prohlídce po porážce.</w:t>
      </w:r>
      <w:r>
        <w:rPr>
          <w:color w:val="000000"/>
        </w:rPr>
        <w:t xml:space="preserve"> </w:t>
      </w:r>
      <w:r>
        <w:rPr>
          <w:color w:val="000000"/>
        </w:rPr>
        <w:t xml:space="preserve">Kromě ustanovení článku 39 prováděcího nařízení Komise (EU) 2019/627 musí úřední veterinární lékař podat straně uvedené v § 43 zákona o potravinách informace o zvířatech a mase vyřazených při kontrole masa, důvodech pro odmítnutí a jakémkoliv zvláštním zpracování nařízeném pro maso.</w:t>
      </w:r>
    </w:p>
    <w:p w:rsidR="00253078" w:rsidRPr="00F0011B" w:rsidRDefault="00C7373B" w:rsidP="00F0011B">
      <w:pPr>
        <w:ind w:firstLine="216"/>
        <w:jc w:val="both"/>
        <w:textAlignment w:val="baseline"/>
        <w:rPr>
          <w:color w:val="000000"/>
          <w:rFonts w:eastAsia="Times New Roman"/>
        </w:rPr>
      </w:pPr>
      <w:r>
        <w:rPr>
          <w:color w:val="000000"/>
        </w:rPr>
        <w:t xml:space="preserve">Na žádost musí úřední veterinární lékař vydat písemné rozhodnutí o prohlídce masa, jak je stanoveno v § 43 zákona o potravinách.</w:t>
      </w:r>
      <w:r>
        <w:rPr>
          <w:color w:val="000000"/>
        </w:rPr>
        <w:t xml:space="preserve"> </w:t>
      </w:r>
      <w:r>
        <w:rPr>
          <w:color w:val="000000"/>
        </w:rPr>
        <w:t xml:space="preserve">Rozhodnutí musí obsahovat tyto informace:</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orgán, který vydal rozhodnutí a datum vydání;</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dotčené strany, kterých se rozhodnutí přímo týká;</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dostatečné identifikační údaje o zvířeti nebo šarži;</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množství masa podléhající rozhodnutí;</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důvod pro odmítnutí nebo jiný způsob vyřešení záležitosti;</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jméno a kontaktní informace osoby, od níž mohou strany v případě potřeby požadovat dodatečné informace.</w:t>
      </w:r>
    </w:p>
    <w:p w:rsidR="00253078" w:rsidRPr="00F0011B" w:rsidRDefault="00C7373B" w:rsidP="00F0011B">
      <w:pPr>
        <w:ind w:firstLine="216"/>
        <w:jc w:val="both"/>
        <w:textAlignment w:val="baseline"/>
        <w:rPr>
          <w:color w:val="000000"/>
          <w:rFonts w:eastAsia="Times New Roman"/>
        </w:rPr>
      </w:pPr>
      <w:r>
        <w:rPr>
          <w:color w:val="000000"/>
        </w:rPr>
        <w:t xml:space="preserve">Je-li provozovatel jatek ve smyslu zákona zainteresovanou stranou, které se předkládají písemné rozhodnutí o prohlídce masa a informace uváděné v odstavci 1, musí úřední veterinární lékař zajistit, aby provozovatel jatek předal dotčené informace primárnímu provozovateli výroby.</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16</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Záznamy o úředních prohlídkách</w:t>
      </w:r>
    </w:p>
    <w:p w:rsidR="00253078" w:rsidRPr="00F0011B" w:rsidRDefault="00C7373B" w:rsidP="00F0011B">
      <w:pPr>
        <w:ind w:firstLine="216"/>
        <w:jc w:val="both"/>
        <w:textAlignment w:val="baseline"/>
        <w:rPr>
          <w:color w:val="000000"/>
          <w:rFonts w:eastAsia="Times New Roman"/>
        </w:rPr>
      </w:pPr>
      <w:r>
        <w:rPr>
          <w:color w:val="000000"/>
        </w:rPr>
        <w:t xml:space="preserve">Nad rámec ustanovení článku 39 prováděcího nařízení Komise (EU) 2019/627 musí úřední veterinární lékař zaznamenávat:</w:t>
      </w:r>
    </w:p>
    <w:p w:rsidR="00253078" w:rsidRPr="00F0011B" w:rsidRDefault="00C7373B" w:rsidP="00CC049F">
      <w:pPr>
        <w:numPr>
          <w:ilvl w:val="0"/>
          <w:numId w:val="7"/>
        </w:numPr>
        <w:tabs>
          <w:tab w:val="clear" w:pos="288"/>
          <w:tab w:val="left" w:pos="576"/>
        </w:tabs>
        <w:ind w:left="0" w:firstLine="215"/>
        <w:jc w:val="both"/>
        <w:textAlignment w:val="baseline"/>
        <w:rPr>
          <w:color w:val="000000"/>
          <w:rFonts w:eastAsia="Times New Roman"/>
        </w:rPr>
      </w:pPr>
      <w:r>
        <w:rPr>
          <w:color w:val="000000"/>
        </w:rPr>
        <w:t xml:space="preserve">informace o zvířatech s vadnými značkami nebo registrací;</w:t>
      </w:r>
    </w:p>
    <w:p w:rsidR="00253078" w:rsidRPr="00F0011B" w:rsidRDefault="00C7373B" w:rsidP="00CC049F">
      <w:pPr>
        <w:numPr>
          <w:ilvl w:val="0"/>
          <w:numId w:val="7"/>
        </w:numPr>
        <w:tabs>
          <w:tab w:val="clear" w:pos="288"/>
          <w:tab w:val="left" w:pos="576"/>
        </w:tabs>
        <w:ind w:left="0" w:firstLine="215"/>
        <w:jc w:val="both"/>
        <w:textAlignment w:val="baseline"/>
        <w:rPr>
          <w:color w:val="000000"/>
          <w:rFonts w:eastAsia="Times New Roman"/>
        </w:rPr>
      </w:pPr>
      <w:r>
        <w:rPr>
          <w:color w:val="000000"/>
        </w:rPr>
        <w:t xml:space="preserve">výjimky vztahující se k datu předložení informací o potravinovém řetězci udělované úředním veterinárním lékařem;</w:t>
      </w:r>
    </w:p>
    <w:p w:rsidR="00253078" w:rsidRPr="00F0011B" w:rsidRDefault="00C7373B" w:rsidP="00CC049F">
      <w:pPr>
        <w:numPr>
          <w:ilvl w:val="0"/>
          <w:numId w:val="7"/>
        </w:numPr>
        <w:tabs>
          <w:tab w:val="clear" w:pos="288"/>
          <w:tab w:val="left" w:pos="576"/>
        </w:tabs>
        <w:ind w:left="0" w:firstLine="215"/>
        <w:jc w:val="both"/>
        <w:textAlignment w:val="baseline"/>
        <w:rPr>
          <w:color w:val="000000"/>
          <w:rFonts w:eastAsia="Times New Roman"/>
        </w:rPr>
      </w:pPr>
      <w:r>
        <w:rPr>
          <w:color w:val="000000"/>
        </w:rPr>
        <w:t xml:space="preserve">informace o prohlídce masa uvedené v § 15;</w:t>
      </w:r>
    </w:p>
    <w:p w:rsidR="00253078" w:rsidRPr="00F0011B" w:rsidRDefault="00C7373B" w:rsidP="00CC049F">
      <w:pPr>
        <w:numPr>
          <w:ilvl w:val="0"/>
          <w:numId w:val="7"/>
        </w:numPr>
        <w:tabs>
          <w:tab w:val="clear" w:pos="288"/>
          <w:tab w:val="left" w:pos="576"/>
        </w:tabs>
        <w:ind w:left="0" w:firstLine="215"/>
        <w:jc w:val="both"/>
        <w:textAlignment w:val="baseline"/>
        <w:rPr>
          <w:color w:val="000000"/>
          <w:rFonts w:eastAsia="Times New Roman"/>
        </w:rPr>
      </w:pPr>
      <w:r>
        <w:rPr>
          <w:color w:val="000000"/>
        </w:rPr>
        <w:t xml:space="preserve">výsledky pitvy;</w:t>
      </w:r>
    </w:p>
    <w:p w:rsidR="00253078" w:rsidRPr="00F0011B" w:rsidRDefault="00C7373B" w:rsidP="00CC049F">
      <w:pPr>
        <w:numPr>
          <w:ilvl w:val="0"/>
          <w:numId w:val="7"/>
        </w:numPr>
        <w:tabs>
          <w:tab w:val="clear" w:pos="288"/>
          <w:tab w:val="left" w:pos="576"/>
        </w:tabs>
        <w:ind w:left="0" w:firstLine="215"/>
        <w:jc w:val="both"/>
        <w:textAlignment w:val="baseline"/>
        <w:rPr>
          <w:color w:val="000000"/>
          <w:rFonts w:eastAsia="Times New Roman"/>
        </w:rPr>
      </w:pPr>
      <w:r>
        <w:rPr>
          <w:color w:val="000000"/>
        </w:rPr>
        <w:t xml:space="preserve">další opatření týkající se kontroly masa.</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17</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Shrnutí prohlídky masa</w:t>
      </w:r>
    </w:p>
    <w:p w:rsidR="00253078" w:rsidRPr="00F0011B" w:rsidRDefault="00C7373B" w:rsidP="00F0011B">
      <w:pPr>
        <w:ind w:firstLine="216"/>
        <w:jc w:val="both"/>
        <w:textAlignment w:val="baseline"/>
        <w:rPr>
          <w:color w:val="000000"/>
          <w:rFonts w:eastAsia="Times New Roman"/>
        </w:rPr>
      </w:pPr>
      <w:r>
        <w:rPr>
          <w:color w:val="000000"/>
        </w:rPr>
        <w:t xml:space="preserve">Úřední veterinární lékař vyhotoví ve vztahu k jednotlivým jatkám shrnutí prohlídky masa za každý kalendářní měsíc.</w:t>
      </w:r>
      <w:r>
        <w:rPr>
          <w:color w:val="000000"/>
        </w:rPr>
        <w:t xml:space="preserve"> </w:t>
      </w:r>
      <w:r>
        <w:rPr>
          <w:color w:val="000000"/>
        </w:rPr>
        <w:t xml:space="preserve">Měsíční shrnutí musí být předložen Finskému úřadu pro potraviny během prvních deseti pracovních dnů následujícího měsíce.</w:t>
      </w:r>
      <w:r>
        <w:rPr>
          <w:color w:val="000000"/>
        </w:rPr>
        <w:t xml:space="preserve"> </w:t>
      </w:r>
      <w:r>
        <w:rPr>
          <w:color w:val="000000"/>
        </w:rPr>
        <w:t xml:space="preserve">Kromě toho musí úřední veterinární lékař připravit a předložit Finskému úřadu pro potraviny roční shrnutí v lednu následujícího roku.</w:t>
      </w:r>
    </w:p>
    <w:p w:rsidR="00253078" w:rsidRPr="00F0011B" w:rsidRDefault="00C7373B" w:rsidP="00F0011B">
      <w:pPr>
        <w:ind w:firstLine="216"/>
        <w:jc w:val="both"/>
        <w:textAlignment w:val="baseline"/>
        <w:rPr>
          <w:color w:val="000000"/>
          <w:rFonts w:eastAsia="Times New Roman"/>
        </w:rPr>
      </w:pPr>
      <w:r>
        <w:rPr>
          <w:color w:val="000000"/>
        </w:rPr>
        <w:t xml:space="preserve">Úřední veterinární lékař na sobích jatkách připraví a předloží měsíční a roční shrnutí regionální agentuře státní správy, která předloží roční shrnutí Finskému úřadu pro potraviny.</w:t>
      </w:r>
    </w:p>
    <w:p w:rsidR="00253078" w:rsidRPr="00F0011B" w:rsidRDefault="00C7373B" w:rsidP="00F0011B">
      <w:pPr>
        <w:ind w:firstLine="216"/>
        <w:jc w:val="both"/>
        <w:textAlignment w:val="baseline"/>
        <w:rPr>
          <w:color w:val="000000"/>
          <w:rFonts w:eastAsia="Times New Roman"/>
        </w:rPr>
      </w:pPr>
      <w:r>
        <w:rPr>
          <w:color w:val="000000"/>
        </w:rPr>
        <w:t xml:space="preserve">Úřední veterinární lékař zaměstnaný Finským úřadem pro potraviny nebo obcí každoročně předkládá Finskému úřadu pro potraviny v lednu následujícího roku roční shrnutí prohlídek provedených před porážkou v hospodářstvích původu a vyřazení, o kterých rozhodl na základě těchto kontrol.</w:t>
      </w:r>
      <w:r>
        <w:rPr>
          <w:color w:val="000000"/>
        </w:rPr>
        <w:t xml:space="preserve"> </w:t>
      </w:r>
      <w:r>
        <w:rPr>
          <w:color w:val="000000"/>
        </w:rPr>
        <w:t xml:space="preserve">Úřední veterinární lékař pověřený Finským úřadem pro potraviny následně předloží Finskému Úřadu pro potraviny roční shrnutí výsledků</w:t>
      </w:r>
      <w:r>
        <w:rPr>
          <w:color w:val="000000"/>
          <w:i/>
          <w:iCs/>
        </w:rPr>
        <w:t xml:space="preserve"> </w:t>
      </w:r>
      <w:r>
        <w:rPr>
          <w:color w:val="000000"/>
        </w:rPr>
        <w:t xml:space="preserve">prohlídek provedených před porážkou</w:t>
      </w:r>
      <w:r>
        <w:rPr>
          <w:color w:val="000000"/>
          <w:i/>
          <w:iCs/>
        </w:rPr>
        <w:t xml:space="preserve"> </w:t>
      </w:r>
      <w:r>
        <w:rPr>
          <w:color w:val="000000"/>
        </w:rPr>
        <w:t xml:space="preserve">v hospodářstvích původu.</w:t>
      </w:r>
      <w:r>
        <w:rPr>
          <w:color w:val="000000"/>
        </w:rPr>
        <w:t xml:space="preserve"> </w:t>
      </w:r>
      <w:r>
        <w:rPr>
          <w:color w:val="000000"/>
        </w:rPr>
        <w:t xml:space="preserve">Úřední veterinární lékař regionální agentury státní správy každoročně předkládá Finskému úřadu pro potraviny v lednu následujícího roku shrnutí prohlídek před porážkou u zvířat jiných než sobů, které byly provedeny v hospodářstvích původu, a vyřazení, o kterých rozhodl na základě těchto prohlídek.</w:t>
      </w:r>
    </w:p>
    <w:p w:rsidR="00253078" w:rsidRPr="00F0011B" w:rsidRDefault="00C7373B" w:rsidP="00F0011B">
      <w:pPr>
        <w:ind w:firstLine="216"/>
        <w:jc w:val="both"/>
        <w:textAlignment w:val="baseline"/>
        <w:rPr>
          <w:color w:val="000000"/>
          <w:rFonts w:eastAsia="Times New Roman"/>
        </w:rPr>
      </w:pPr>
      <w:r>
        <w:rPr>
          <w:color w:val="000000"/>
        </w:rPr>
        <w:t xml:space="preserve">Finský úřad pro potraviny zveřejňuje roční soupis prohlídek masa.</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 18</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Nabytí účinnosti</w:t>
      </w:r>
    </w:p>
    <w:p w:rsidR="00253078" w:rsidRPr="00F0011B" w:rsidRDefault="00C7373B" w:rsidP="00F0011B">
      <w:pPr>
        <w:ind w:firstLine="216"/>
        <w:jc w:val="both"/>
        <w:textAlignment w:val="baseline"/>
        <w:rPr>
          <w:color w:val="000000"/>
          <w:rFonts w:eastAsia="Times New Roman"/>
        </w:rPr>
      </w:pPr>
      <w:r>
        <w:rPr>
          <w:color w:val="000000"/>
        </w:rPr>
        <w:t xml:space="preserve">Tento výnos vstoupí v platnost dnem 1. února 2020.</w:t>
      </w:r>
    </w:p>
    <w:p w:rsidR="00253078" w:rsidRPr="00F0011B" w:rsidRDefault="00C7373B" w:rsidP="00F0011B">
      <w:pPr>
        <w:ind w:firstLine="216"/>
        <w:jc w:val="both"/>
        <w:textAlignment w:val="baseline"/>
        <w:rPr>
          <w:color w:val="000000"/>
          <w:rFonts w:eastAsia="Times New Roman"/>
        </w:rPr>
      </w:pPr>
      <w:r>
        <w:rPr>
          <w:color w:val="000000"/>
        </w:rPr>
        <w:t xml:space="preserve">Tento návrh ruší výnos ministerstva zemědělství a lesního hospodářství o kontrolách masa (590/2014).</w:t>
      </w:r>
    </w:p>
    <w:p w:rsidR="00253078" w:rsidRPr="00F0011B" w:rsidRDefault="00C7373B" w:rsidP="00CC049F">
      <w:pPr>
        <w:spacing w:before="360"/>
        <w:jc w:val="both"/>
        <w:textAlignment w:val="baseline"/>
        <w:rPr>
          <w:color w:val="000000"/>
          <w:rFonts w:eastAsia="Times New Roman"/>
        </w:rPr>
      </w:pPr>
      <w:r>
        <w:rPr>
          <w:color w:val="000000"/>
        </w:rPr>
        <w:t xml:space="preserve">V Helsinkách dne 8. ledna 2020</w:t>
      </w:r>
    </w:p>
    <w:p w:rsidR="00253078" w:rsidRPr="00F0011B" w:rsidRDefault="00C7373B" w:rsidP="00CC049F">
      <w:pPr>
        <w:spacing w:before="360"/>
        <w:jc w:val="center"/>
        <w:textAlignment w:val="baseline"/>
        <w:rPr>
          <w:color w:val="000000"/>
          <w:rFonts w:eastAsia="Times New Roman"/>
        </w:rPr>
      </w:pPr>
      <w:r>
        <w:rPr>
          <w:color w:val="000000"/>
        </w:rPr>
        <w:t xml:space="preserve">Ministr zemědělství a lesnictví Jari Leppä</w:t>
      </w:r>
    </w:p>
    <w:p w:rsidR="00253078" w:rsidRPr="00F0011B" w:rsidRDefault="00C7373B" w:rsidP="00CC049F">
      <w:pPr>
        <w:spacing w:before="360"/>
        <w:jc w:val="right"/>
        <w:textAlignment w:val="baseline"/>
        <w:rPr>
          <w:color w:val="000000"/>
          <w:rFonts w:eastAsia="Times New Roman"/>
        </w:rPr>
      </w:pPr>
      <w:r>
        <w:rPr>
          <w:color w:val="000000"/>
        </w:rPr>
        <w:t xml:space="preserve">Odborná pracovnice Anna-Maija Grönlund</w:t>
      </w:r>
    </w:p>
    <w:p w:rsidR="00253078" w:rsidRPr="00F0011B" w:rsidRDefault="00C7373B" w:rsidP="00CC049F">
      <w:pPr>
        <w:pBdr>
          <w:top w:val="single" w:sz="2" w:space="1" w:color="auto"/>
        </w:pBdr>
        <w:tabs>
          <w:tab w:val="right" w:pos="8344"/>
        </w:tabs>
        <w:spacing w:before="6360"/>
        <w:jc w:val="both"/>
        <w:textAlignment w:val="baseline"/>
        <w:rPr>
          <w:color w:val="000000"/>
          <w:sz w:val="13"/>
          <w:rFonts w:eastAsia="Times New Roman"/>
        </w:rPr>
      </w:pPr>
      <w:r>
        <w:rPr>
          <w:color w:val="000000"/>
          <w:sz w:val="13"/>
        </w:rPr>
        <w:t xml:space="preserve">VYDAVATEL:</w:t>
      </w:r>
      <w:r>
        <w:rPr>
          <w:color w:val="000000"/>
          <w:sz w:val="13"/>
        </w:rPr>
        <w:t xml:space="preserve"> </w:t>
      </w:r>
      <w:r>
        <w:rPr>
          <w:color w:val="000000"/>
          <w:sz w:val="13"/>
        </w:rPr>
        <w:t xml:space="preserve">MINISTERSTVO SPRAVEDLNOSTI</w:t>
      </w:r>
      <w:r>
        <w:rPr>
          <w:color w:val="000000"/>
          <w:sz w:val="13"/>
        </w:rPr>
        <w:tab/>
      </w:r>
      <w:r>
        <w:rPr>
          <w:color w:val="000000"/>
          <w:sz w:val="13"/>
        </w:rPr>
        <w:t xml:space="preserve">ISSN 1455-8904</w:t>
      </w:r>
    </w:p>
    <w:sectPr w:rsidR="00253078" w:rsidRPr="00F0011B" w:rsidSect="00CC049F">
      <w:headerReference w:type="default" r:id="rId11"/>
      <w:footerReference w:type="default" r:id="rId12"/>
      <w:footerReference w:type="first" r:id="rId13"/>
      <w:pgSz w:w="11904" w:h="16838"/>
      <w:pgMar w:top="1701" w:right="1784" w:bottom="2155" w:left="1784" w:header="1134" w:footer="17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ADB" w:rsidRDefault="00FE0ADB">
      <w:r>
        <w:separator/>
      </w:r>
    </w:p>
  </w:endnote>
  <w:endnote w:type="continuationSeparator" w:id="0">
    <w:p w:rsidR="00FE0ADB" w:rsidRDefault="00FE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doni MT">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1B" w:rsidRDefault="00F0011B" w:rsidP="00F0011B">
    <w:pPr>
      <w:jc w:val="center"/>
      <w:textAlignment w:val="baseline"/>
      <w:rPr>
        <w:color w:val="000000"/>
        <w:rFonts w:eastAsia="Times New Roman"/>
      </w:rPr>
    </w:pPr>
    <w:r>
      <w:fldChar w:fldCharType="begin"/>
    </w:r>
    <w:r>
      <w:instrText>PAGE</w:instrText>
    </w:r>
    <w:r>
      <w:fldChar w:fldCharType="separate"/>
    </w:r>
    <w:r w:rsidR="00BA5F83">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1B" w:rsidRDefault="00F0011B" w:rsidP="00F0011B">
    <w:pPr>
      <w:jc w:val="both"/>
      <w:textAlignment w:val="baseline"/>
      <w:rPr>
        <w:color w:val="000000"/>
        <w:sz w:val="17"/>
        <w:rFonts w:eastAsia="Times New Roman"/>
      </w:rPr>
    </w:pPr>
    <w:r>
      <w:rPr>
        <w:color w:val="000000"/>
        <w:sz w:val="17"/>
      </w:rPr>
      <w:t xml:space="preserve">Nařízení (ES) č. 2017/625 Evropského parlamentu a Rady (32017R0625); Úřední věstník L 95, 7.4.2017, str. 1–142</w:t>
    </w:r>
  </w:p>
  <w:p w:rsidR="00F0011B" w:rsidRDefault="00F0011B" w:rsidP="00F0011B">
    <w:pPr>
      <w:jc w:val="both"/>
      <w:textAlignment w:val="baseline"/>
      <w:rPr>
        <w:color w:val="000000"/>
        <w:sz w:val="17"/>
        <w:rFonts w:eastAsia="Times New Roman"/>
      </w:rPr>
    </w:pPr>
    <w:r>
      <w:rPr>
        <w:color w:val="000000"/>
        <w:sz w:val="17"/>
      </w:rPr>
      <w:t xml:space="preserve">Nařízení Komise v přenesené pravomoci</w:t>
    </w:r>
    <w:r>
      <w:rPr>
        <w:color w:val="000000"/>
        <w:sz w:val="17"/>
        <w:i/>
        <w:iCs/>
        <w:i/>
        <w:iCs/>
      </w:rPr>
      <w:t xml:space="preserve"> </w:t>
    </w:r>
    <w:r>
      <w:rPr>
        <w:color w:val="000000"/>
        <w:sz w:val="17"/>
      </w:rPr>
      <w:t xml:space="preserve"> (EU) č. 2019/624 (32019R0624); Úřední věstník L 131, 17.5.2019, str. 1–17</w:t>
    </w:r>
  </w:p>
  <w:p w:rsidR="00F0011B" w:rsidRDefault="00F0011B" w:rsidP="00F0011B">
    <w:pPr>
      <w:jc w:val="both"/>
      <w:textAlignment w:val="baseline"/>
      <w:rPr>
        <w:color w:val="000000"/>
        <w:sz w:val="17"/>
        <w:rFonts w:eastAsia="Times New Roman"/>
      </w:rPr>
    </w:pPr>
    <w:r>
      <w:rPr>
        <w:color w:val="000000"/>
        <w:sz w:val="17"/>
      </w:rPr>
      <w:t xml:space="preserve">Prováděcí nařízení Komise (EU) č. 2019/627 (32019R0627); Úřední věstník L 131, 17.5.2019, str. 51–100</w:t>
    </w:r>
  </w:p>
  <w:p w:rsidR="00F0011B" w:rsidRDefault="00F0011B" w:rsidP="00F0011B">
    <w:pPr>
      <w:jc w:val="both"/>
      <w:textAlignment w:val="baseline"/>
      <w:rPr>
        <w:color w:val="000000"/>
        <w:sz w:val="17"/>
        <w:rFonts w:eastAsia="Times New Roman"/>
      </w:rPr>
    </w:pPr>
    <w:r>
      <w:rPr>
        <w:color w:val="000000"/>
        <w:sz w:val="17"/>
      </w:rPr>
      <w:t xml:space="preserve">Prováděcí nařízení Komise (EU) č. 2019/628 (32019R0628); Úřední věstník L 131, 17.5.2019, str. 101–194</w:t>
    </w:r>
  </w:p>
  <w:p w:rsidR="00F0011B" w:rsidRDefault="00F0011B" w:rsidP="00F0011B">
    <w:pPr>
      <w:spacing w:after="360"/>
      <w:jc w:val="both"/>
      <w:textAlignment w:val="baseline"/>
      <w:rPr>
        <w:color w:val="000000"/>
        <w:sz w:val="17"/>
        <w:rFonts w:eastAsia="Times New Roman"/>
      </w:rPr>
    </w:pPr>
    <w:r>
      <w:rPr>
        <w:color w:val="000000"/>
        <w:sz w:val="17"/>
      </w:rPr>
      <w:t xml:space="preserve">Prováděcí nařízení Komise (EU) č. 2015/1375; (32015R1375); Úřední věstník L 212, 11.8.2015, str. 7–34</w:t>
    </w:r>
  </w:p>
  <w:p w:rsidR="00F0011B" w:rsidRDefault="00F0011B" w:rsidP="00F0011B">
    <w:pPr>
      <w:jc w:val="center"/>
      <w:textAlignment w:val="baseline"/>
      <w:rPr>
        <w:color w:val="000000"/>
        <w:rFonts w:eastAsia="Times New Roman"/>
      </w:rPr>
    </w:pPr>
    <w:r>
      <w:fldChar w:fldCharType="begin"/>
    </w:r>
    <w:r>
      <w:instrText>PAGE</w:instrText>
    </w:r>
    <w:r>
      <w:fldChar w:fldCharType="separate"/>
    </w:r>
    <w:r w:rsidR="00BA5F83">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ADB" w:rsidRDefault="00FE0ADB">
      <w:r>
        <w:separator/>
      </w:r>
    </w:p>
  </w:footnote>
  <w:footnote w:type="continuationSeparator" w:id="0">
    <w:p w:rsidR="00FE0ADB" w:rsidRDefault="00FE0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1B" w:rsidRDefault="00F0011B" w:rsidP="00F0011B">
    <w:pPr>
      <w:jc w:val="center"/>
      <w:textAlignment w:val="baseline"/>
      <w:rPr>
        <w:color w:val="000000"/>
        <w:spacing w:val="17"/>
        <w:rFonts w:eastAsia="Times New Roman"/>
      </w:rPr>
    </w:pPr>
    <w:r>
      <w:rPr>
        <w:color w:val="000000"/>
      </w:rPr>
      <w:t xml:space="preserve">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3FF9"/>
    <w:multiLevelType w:val="multilevel"/>
    <w:tmpl w:val="A0FA49BA"/>
    <w:lvl w:ilvl="0">
      <w:start w:val="1"/>
      <w:numFmt w:val="lowerLetter"/>
      <w:lvlText w:val="%1)"/>
      <w:lvlJc w:val="left"/>
      <w:pPr>
        <w:tabs>
          <w:tab w:val="left" w:pos="360"/>
        </w:tabs>
        <w:ind w:left="720"/>
      </w:pPr>
      <w:rPr>
        <w:rFonts w:ascii="Times New Roman" w:eastAsia="Times New Roman" w:hAnsi="Times New Roman"/>
        <w:i w:val="0"/>
        <w:strike w:val="0"/>
        <w:color w:val="000000"/>
        <w:spacing w:val="-1"/>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0055C7"/>
    <w:multiLevelType w:val="multilevel"/>
    <w:tmpl w:val="EC309DB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5C1341"/>
    <w:multiLevelType w:val="multilevel"/>
    <w:tmpl w:val="D54A2C6A"/>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7543AB"/>
    <w:multiLevelType w:val="multilevel"/>
    <w:tmpl w:val="82884378"/>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1D7804"/>
    <w:multiLevelType w:val="multilevel"/>
    <w:tmpl w:val="ED545362"/>
    <w:lvl w:ilvl="0">
      <w:start w:val="3"/>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BD2A1C"/>
    <w:multiLevelType w:val="multilevel"/>
    <w:tmpl w:val="7A687FD0"/>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2F56A5"/>
    <w:multiLevelType w:val="multilevel"/>
    <w:tmpl w:val="70F005D2"/>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871D6F"/>
    <w:multiLevelType w:val="multilevel"/>
    <w:tmpl w:val="A0FA49BA"/>
    <w:lvl w:ilvl="0">
      <w:start w:val="1"/>
      <w:numFmt w:val="lowerLetter"/>
      <w:lvlText w:val="%1)"/>
      <w:lvlJc w:val="left"/>
      <w:pPr>
        <w:tabs>
          <w:tab w:val="left" w:pos="360"/>
        </w:tabs>
        <w:ind w:left="720"/>
      </w:pPr>
      <w:rPr>
        <w:rFonts w:ascii="Times New Roman" w:eastAsia="Times New Roman" w:hAnsi="Times New Roman"/>
        <w:i w:val="0"/>
        <w:strike w:val="0"/>
        <w:color w:val="000000"/>
        <w:spacing w:val="-1"/>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7"/>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characterSpacingControl w:val="doNotCompress"/>
  <w:hdrShapeDefaults>
    <o:shapedefaults v:ext="edit" spidmax="614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253078"/>
    <w:rsid w:val="00253078"/>
    <w:rsid w:val="00271540"/>
    <w:rsid w:val="003272E4"/>
    <w:rsid w:val="0048520F"/>
    <w:rsid w:val="004E548E"/>
    <w:rsid w:val="0064722E"/>
    <w:rsid w:val="006D080A"/>
    <w:rsid w:val="008E3427"/>
    <w:rsid w:val="00904E17"/>
    <w:rsid w:val="00BA5F83"/>
    <w:rsid w:val="00C14C66"/>
    <w:rsid w:val="00C24610"/>
    <w:rsid w:val="00C46F56"/>
    <w:rsid w:val="00C7373B"/>
    <w:rsid w:val="00CC049F"/>
    <w:rsid w:val="00EE16F3"/>
    <w:rsid w:val="00F0011B"/>
    <w:rsid w:val="00FB7C87"/>
    <w:rsid w:val="00FE0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28C3C16-E840-41B7-A4C5-9CC97A1A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pPr>
      <w:tabs>
        <w:tab w:val="center" w:pos="4320"/>
        <w:tab w:val="right" w:pos="8640"/>
      </w:tabs>
    </w:pPr>
  </w:style>
  <w:style w:type="character" w:customStyle="1" w:styleId="HeaderChar">
    <w:name w:val="Header Char"/>
    <w:link w:val="Header"/>
    <w:uiPriority w:val="99"/>
  </w:style>
  <w:style w:type="paragraph" w:styleId="Footer">
    <w:name w:val="footer"/>
    <w:link w:val="FooterChar"/>
    <w:uiPriority w:val="99"/>
    <w:unhideWhenUsed/>
    <w:pPr>
      <w:tabs>
        <w:tab w:val="center" w:pos="4320"/>
        <w:tab w:val="right" w:pos="8640"/>
      </w:tabs>
    </w:pPr>
  </w:style>
  <w:style w:type="character" w:customStyle="1" w:styleId="FooterChar">
    <w:name w:val="Footer Char"/>
    <w:link w:val="Footer"/>
    <w:uiPriority w:val="99"/>
  </w:style>
  <w:style w:type="paragraph" w:styleId="PlainText">
    <w:name w:val="Plain Text"/>
    <w:basedOn w:val="Normal"/>
    <w:link w:val="PlainTextChar"/>
    <w:uiPriority w:val="99"/>
    <w:unhideWhenUsed/>
    <w:rsid w:val="00C46F56"/>
    <w:rPr>
      <w:rFonts w:ascii="Consolas" w:eastAsia="Times New Roman" w:hAnsi="Consolas"/>
      <w:sz w:val="21"/>
      <w:szCs w:val="21"/>
    </w:rPr>
  </w:style>
  <w:style w:type="character" w:customStyle="1" w:styleId="PlainTextChar">
    <w:name w:val="Plain Text Char"/>
    <w:basedOn w:val="DefaultParagraphFont"/>
    <w:link w:val="PlainText"/>
    <w:uiPriority w:val="99"/>
    <w:rsid w:val="00C46F56"/>
    <w:rPr>
      <w:rFonts w:ascii="Consolas" w:eastAsia="Times New Roman" w:hAnsi="Consolas"/>
      <w:sz w:val="21"/>
      <w:szCs w:val="21"/>
      <w:lang w:val="cs-CZ"/>
    </w:rPr>
  </w:style>
  <w:style w:type="paragraph" w:styleId="BalloonText">
    <w:name w:val="Balloon Text"/>
    <w:basedOn w:val="Normal"/>
    <w:link w:val="BalloonTextChar"/>
    <w:uiPriority w:val="99"/>
    <w:semiHidden/>
    <w:unhideWhenUsed/>
    <w:rsid w:val="003272E4"/>
    <w:rPr>
      <w:sz w:val="18"/>
      <w:szCs w:val="18"/>
    </w:rPr>
  </w:style>
  <w:style w:type="character" w:customStyle="1" w:styleId="BalloonTextChar">
    <w:name w:val="Balloon Text Char"/>
    <w:basedOn w:val="DefaultParagraphFont"/>
    <w:link w:val="BalloonText"/>
    <w:uiPriority w:val="99"/>
    <w:semiHidden/>
    <w:rsid w:val="003272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drId6" Type="http://schemas.openxmlformats.org/wordprocessingml/2006/fontTable" Target="fontTable0.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CB19-2544-4E4F-9CD0-C60BBCB6D594}">
  <ds:schemaRefs>
    <ds:schemaRef ds:uri="http://schemas.microsoft.com/sharepoint/v3/contenttype/forms"/>
  </ds:schemaRefs>
</ds:datastoreItem>
</file>

<file path=customXml/itemProps2.xml><?xml version="1.0" encoding="utf-8"?>
<ds:datastoreItem xmlns:ds="http://schemas.openxmlformats.org/officeDocument/2006/customXml" ds:itemID="{05778426-811F-42D8-8844-FFFA77719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EC8E9-1BD7-4502-B396-92448B7EEB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9142A-F22C-4F03-8A5D-84A1F49C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PRATAS, Soraia</cp:lastModifiedBy>
  <cp:revision>9</cp:revision>
  <dcterms:created xsi:type="dcterms:W3CDTF">2020-08-14T07:11:00Z</dcterms:created>
  <dcterms:modified xsi:type="dcterms:W3CDTF">2020-09-30T10:05:00Z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