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b/>
                <w:bCs/>
                <w:sz w:val="20"/>
                <w:szCs w:val="20"/>
                <w:rFonts w:ascii="Calibri" w:hAnsi="Calibri"/>
              </w:rPr>
            </w:pPr>
            <w:r>
              <w:rPr>
                <w:b/>
                <w:sz w:val="20"/>
                <w:rFonts w:ascii="Calibri" w:hAnsi="Calibri"/>
              </w:rPr>
              <w:t xml:space="preserve">ANTEPROYECTO DE LA ORDENANZA POR LA QUE SE MODIFICA LA ORDENANZA, DE 1 MARZO DE 2007, RELATIVA A LA PROTECCIÓN DEL MEDIO AMBIENTE CONTRA LOS POSIBLES EFECTOS NOCIVOS Y MOLESTIAS CAUSADOS POR LAS RADIACIONES NO IONIZANTES, LA ORDENANZA, DE 5 DE JUNIO DE 1997, RELATIVA A LOS PERMISOS MEDIOAMBIENTALES Y LA ORDENANZA, DE 2 DE MAYO DE 2013, RELATIVA AL CÓDIGO DE BRUSELAS SOBRE EL AIRE, EL CLIMA Y LA GESTIÓN DE LA ENERGÍA</w:t>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El Gobierno de la Región de Bruselas-Capital,</w:t>
            </w:r>
          </w:p>
          <w:p w14:paraId="6A372BBA" w14:textId="77777777" w:rsidR="00873667" w:rsidRDefault="00873667">
            <w:pPr>
              <w:spacing w:after="0" w:line="240" w:lineRule="auto"/>
              <w:jc w:val="both"/>
              <w:rPr>
                <w:rFonts w:asciiTheme="minorHAnsi" w:hAnsiTheme="minorHAnsi"/>
                <w:color w:val="000000" w:themeColor="text1"/>
                <w:sz w:val="20"/>
                <w:szCs w:val="20"/>
                <w:lang w:val="fr-BE"/>
              </w:rPr>
            </w:pPr>
          </w:p>
          <w:p w14:paraId="61958105"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Visto el informe de evaluación, denominado «prueba de igualdad de oportunidades», exigido por el artículo 2, apartado 1, de la Ordenanza de 4 de octubre de 2018 para la introducción de la prueba de igualdad de oportunidades en las líneas políticas de la región de Bruselas-Capital y por el artículo 1 del Decreto del Gobierno de la Región de Bruselas-Capital, de 22 de noviembre de 2018, por el que se aplica la presente Ordenanza,</w:t>
            </w:r>
            <w:r>
              <w:rPr>
                <w:color w:val="000000" w:themeColor="text1"/>
                <w:sz w:val="20"/>
                <w:rFonts w:asciiTheme="minorHAnsi" w:hAnsiTheme="minorHAnsi"/>
              </w:rPr>
              <w:t xml:space="preserve"> </w:t>
            </w:r>
          </w:p>
          <w:p w14:paraId="3F837FB9" w14:textId="77777777" w:rsidR="00873667" w:rsidRDefault="00873667">
            <w:pPr>
              <w:spacing w:after="0" w:line="240" w:lineRule="auto"/>
              <w:jc w:val="both"/>
              <w:rPr>
                <w:rFonts w:asciiTheme="minorHAnsi" w:hAnsiTheme="minorHAnsi"/>
                <w:color w:val="000000" w:themeColor="text1"/>
                <w:sz w:val="20"/>
                <w:szCs w:val="20"/>
                <w:lang w:val="fr-BE"/>
              </w:rPr>
            </w:pPr>
          </w:p>
          <w:p w14:paraId="32C7AD0E"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Vista la Directiva (UE) 2018/1972 del Parlamento Europeo y del Consejo, de 11 de diciembre de 2018, por la que se establece el Código Europeo de las Comunicaciones Electrónicas, artículo 57, apartado 5,</w:t>
            </w:r>
          </w:p>
          <w:p w14:paraId="3146CB8D" w14:textId="77777777" w:rsidR="00873667" w:rsidRDefault="00873667">
            <w:pPr>
              <w:spacing w:after="0" w:line="240" w:lineRule="auto"/>
              <w:jc w:val="both"/>
              <w:rPr>
                <w:rFonts w:asciiTheme="minorHAnsi" w:hAnsiTheme="minorHAnsi"/>
                <w:color w:val="000000" w:themeColor="text1"/>
                <w:sz w:val="20"/>
                <w:szCs w:val="20"/>
                <w:lang w:val="fr-BE"/>
              </w:rPr>
            </w:pPr>
          </w:p>
          <w:p w14:paraId="03FBB56C" w14:textId="77777777" w:rsidR="00873667" w:rsidRDefault="00873667">
            <w:pPr>
              <w:spacing w:after="0" w:line="240" w:lineRule="auto"/>
              <w:jc w:val="both"/>
              <w:rPr>
                <w:rFonts w:asciiTheme="minorHAnsi" w:hAnsiTheme="minorHAnsi"/>
                <w:color w:val="000000" w:themeColor="text1"/>
                <w:sz w:val="20"/>
                <w:szCs w:val="20"/>
                <w:lang w:val="fr-BE"/>
              </w:rPr>
            </w:pPr>
          </w:p>
          <w:p w14:paraId="6A6B918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Vista la Ordenanza de 1 de marzo de 2007 sobre la protección del medio ambiente contra los efectos nocivos y molestias causados por las radiaciones no ionizantes, modificada por las Ordenanzas de 3 de abril de 2014, 8 de mayo de 2014 y 27 de junio de 2016,</w:t>
            </w:r>
          </w:p>
          <w:p w14:paraId="3BB9CE37" w14:textId="77777777" w:rsidR="00873667" w:rsidRDefault="00873667">
            <w:pPr>
              <w:spacing w:after="0" w:line="240" w:lineRule="auto"/>
              <w:jc w:val="both"/>
              <w:rPr>
                <w:rFonts w:asciiTheme="minorHAnsi" w:hAnsiTheme="minorHAnsi"/>
                <w:color w:val="000000" w:themeColor="text1"/>
                <w:sz w:val="20"/>
                <w:szCs w:val="20"/>
                <w:lang w:val="fr-BE"/>
              </w:rPr>
            </w:pPr>
          </w:p>
          <w:p w14:paraId="6228F157"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Visto el dictamen de Brupartners, emitido el 18 de noviembre de 2021,</w:t>
            </w:r>
            <w:r>
              <w:rPr>
                <w:color w:val="000000" w:themeColor="text1"/>
                <w:sz w:val="20"/>
                <w:rFonts w:asciiTheme="minorHAnsi" w:hAnsiTheme="minorHAnsi"/>
              </w:rPr>
              <w:t xml:space="preserve"> </w:t>
            </w:r>
          </w:p>
          <w:p w14:paraId="57BF7CE2" w14:textId="77777777" w:rsidR="00873667" w:rsidRDefault="00873667">
            <w:pPr>
              <w:spacing w:after="0" w:line="240" w:lineRule="auto"/>
              <w:jc w:val="both"/>
              <w:rPr>
                <w:rFonts w:asciiTheme="minorHAnsi" w:hAnsiTheme="minorHAnsi"/>
                <w:color w:val="000000" w:themeColor="text1"/>
                <w:sz w:val="20"/>
                <w:szCs w:val="20"/>
                <w:lang w:val="fr-BE"/>
              </w:rPr>
            </w:pPr>
          </w:p>
          <w:p w14:paraId="6826C19E" w14:textId="77777777" w:rsidR="00873667" w:rsidRDefault="00873667">
            <w:pPr>
              <w:spacing w:after="0" w:line="240" w:lineRule="auto"/>
              <w:jc w:val="both"/>
              <w:rPr>
                <w:rFonts w:asciiTheme="minorHAnsi" w:hAnsiTheme="minorHAnsi"/>
                <w:color w:val="000000" w:themeColor="text1"/>
                <w:sz w:val="20"/>
                <w:szCs w:val="20"/>
                <w:lang w:val="fr-BE"/>
              </w:rPr>
            </w:pPr>
          </w:p>
          <w:p w14:paraId="31DEAA3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Visto el dictamen del Consejo de Medio Ambiente, emitido el 25 de noviembre de 2021,</w:t>
            </w:r>
          </w:p>
          <w:p w14:paraId="46357F7C" w14:textId="77777777" w:rsidR="00873667" w:rsidRDefault="00873667">
            <w:pPr>
              <w:spacing w:after="0" w:line="240" w:lineRule="auto"/>
              <w:jc w:val="both"/>
              <w:rPr>
                <w:rFonts w:asciiTheme="minorHAnsi" w:hAnsiTheme="minorHAnsi"/>
                <w:color w:val="000000" w:themeColor="text1"/>
                <w:sz w:val="20"/>
                <w:szCs w:val="20"/>
                <w:lang w:val="fr-BE"/>
              </w:rPr>
            </w:pPr>
          </w:p>
          <w:p w14:paraId="0D68A106"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Visto el dictamen del Comité de Expertos sobre Radiaciones No Ionizantes, emitido el 4 de febrero de 2022,</w:t>
            </w:r>
            <w:r>
              <w:rPr>
                <w:color w:val="000000" w:themeColor="text1"/>
                <w:sz w:val="20"/>
                <w:rFonts w:asciiTheme="minorHAnsi" w:hAnsiTheme="minorHAnsi"/>
              </w:rPr>
              <w:t xml:space="preserve"> </w:t>
            </w:r>
          </w:p>
          <w:p w14:paraId="01F62904" w14:textId="77777777" w:rsidR="00873667" w:rsidRDefault="00873667">
            <w:pPr>
              <w:spacing w:after="0" w:line="240" w:lineRule="auto"/>
              <w:jc w:val="both"/>
              <w:rPr>
                <w:rFonts w:asciiTheme="minorHAnsi" w:hAnsiTheme="minorHAnsi"/>
                <w:color w:val="000000" w:themeColor="text1"/>
                <w:sz w:val="20"/>
                <w:szCs w:val="20"/>
                <w:lang w:val="fr-BE"/>
              </w:rPr>
            </w:pPr>
          </w:p>
          <w:p w14:paraId="5B903D04"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Vistas las recomendaciones de la comisión deliberativa encargada de formular recomendaciones sobre la aplicación de la 5G en la región de Bruselas-Capital, teniendo en cuenta los aspectos de medio ambiente, salud, economía, empleo y tecnología, de 5 de junio de 2021,</w:t>
            </w:r>
          </w:p>
          <w:p w14:paraId="4781B5FF" w14:textId="77777777" w:rsidR="00873667" w:rsidRDefault="00873667">
            <w:pPr>
              <w:spacing w:after="0" w:line="240" w:lineRule="auto"/>
              <w:jc w:val="both"/>
              <w:rPr>
                <w:rFonts w:asciiTheme="minorHAnsi" w:hAnsiTheme="minorHAnsi"/>
                <w:color w:val="000000" w:themeColor="text1"/>
                <w:sz w:val="20"/>
                <w:szCs w:val="20"/>
                <w:lang w:val="fr-BE"/>
              </w:rPr>
            </w:pPr>
          </w:p>
          <w:p w14:paraId="562FC590"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Vista la evaluación medioambiental realizada de conformidad con lo dispuesto en la Ordenanza, de 18 de marzo de 2004, relativa a la evaluación de los efectos de determinados planes y programas en el medio ambiente,</w:t>
            </w:r>
            <w:r>
              <w:rPr>
                <w:color w:val="000000" w:themeColor="text1"/>
                <w:sz w:val="20"/>
                <w:rFonts w:asciiTheme="minorHAnsi" w:hAnsiTheme="minorHAnsi"/>
              </w:rPr>
              <w:t xml:space="preserve"> </w:t>
            </w:r>
          </w:p>
          <w:p w14:paraId="01BAFB8F" w14:textId="77777777" w:rsidR="00873667" w:rsidRDefault="00873667">
            <w:pPr>
              <w:spacing w:after="0" w:line="240" w:lineRule="auto"/>
              <w:jc w:val="both"/>
              <w:rPr>
                <w:rFonts w:asciiTheme="minorHAnsi" w:hAnsiTheme="minorHAnsi"/>
                <w:color w:val="000000" w:themeColor="text1"/>
                <w:sz w:val="20"/>
                <w:szCs w:val="20"/>
                <w:lang w:val="fr-BE"/>
              </w:rPr>
            </w:pPr>
          </w:p>
          <w:p w14:paraId="7D51530B"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Vistas las leyes del Consejo de Estado, coordinadas el 12 de enero de 1973, artículos 3, apartados 1 y 2,</w:t>
            </w:r>
          </w:p>
          <w:p w14:paraId="33EBD2BF" w14:textId="77777777" w:rsidR="00873667" w:rsidRDefault="00873667">
            <w:pPr>
              <w:spacing w:after="0" w:line="240" w:lineRule="auto"/>
              <w:jc w:val="both"/>
              <w:rPr>
                <w:rFonts w:asciiTheme="minorHAnsi" w:hAnsiTheme="minorHAnsi"/>
                <w:color w:val="000000" w:themeColor="text1"/>
                <w:sz w:val="20"/>
                <w:szCs w:val="20"/>
                <w:lang w:val="fr-BE"/>
              </w:rPr>
            </w:pPr>
          </w:p>
          <w:p w14:paraId="7900BCA1"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Visto el dictamen n.º [*] del Consejo de Estado, emitido el [*],</w:t>
            </w:r>
          </w:p>
          <w:p w14:paraId="2C516520" w14:textId="77777777" w:rsidR="00873667" w:rsidRDefault="00873667">
            <w:pPr>
              <w:spacing w:after="0" w:line="240" w:lineRule="auto"/>
              <w:jc w:val="both"/>
              <w:rPr>
                <w:rFonts w:asciiTheme="minorHAnsi" w:hAnsiTheme="minorHAnsi"/>
                <w:color w:val="000000" w:themeColor="text1"/>
                <w:sz w:val="20"/>
                <w:szCs w:val="20"/>
                <w:lang w:val="fr-BE"/>
              </w:rPr>
            </w:pPr>
          </w:p>
          <w:p w14:paraId="49A1412F"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Considerando que el dictamen del Comité de Privacidad no es necesario, ya que el Reglamento (UE) 2016/679 del Parlamento Europeo y del Consejo, de 27 de abril de 2016, relativo a la protección de las personas físicas en lo que respecta al tratamiento de datos personales y a la libre circulación de estos datos se aplica únicamente a los datos personales de las personas físicas y no a los de las personas jurídicas;</w:t>
            </w:r>
            <w:r>
              <w:rPr>
                <w:color w:val="000000" w:themeColor="text1"/>
                <w:sz w:val="20"/>
                <w:rFonts w:asciiTheme="minorHAnsi" w:hAnsiTheme="minorHAnsi"/>
              </w:rPr>
              <w:t xml:space="preserve"> </w:t>
            </w:r>
            <w:r>
              <w:rPr>
                <w:color w:val="000000" w:themeColor="text1"/>
                <w:sz w:val="20"/>
                <w:rFonts w:asciiTheme="minorHAnsi" w:hAnsiTheme="minorHAnsi"/>
              </w:rPr>
              <w:t xml:space="preserve">Considerando que este texto se refiere únicamente a las personas jurídicas (operadores) sin afectar a los datos personales de las personas físicas;</w:t>
            </w:r>
            <w:r>
              <w:rPr>
                <w:color w:val="000000" w:themeColor="text1"/>
                <w:sz w:val="20"/>
                <w:rFonts w:asciiTheme="minorHAnsi" w:hAnsiTheme="minorHAnsi"/>
              </w:rPr>
              <w:t xml:space="preserve"> </w:t>
            </w:r>
          </w:p>
          <w:p w14:paraId="4A4E89A1" w14:textId="77777777" w:rsidR="00873667" w:rsidRDefault="00873667">
            <w:pPr>
              <w:spacing w:after="0" w:line="240" w:lineRule="auto"/>
              <w:jc w:val="both"/>
              <w:rPr>
                <w:rFonts w:asciiTheme="minorHAnsi" w:hAnsiTheme="minorHAnsi"/>
                <w:color w:val="000000" w:themeColor="text1"/>
                <w:sz w:val="20"/>
                <w:szCs w:val="20"/>
                <w:lang w:val="fr-BE"/>
              </w:rPr>
            </w:pPr>
          </w:p>
          <w:p w14:paraId="4202D25C"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A propuesta del Ministro-Presidente y del Ministro de Medio Ambiente,</w:t>
            </w:r>
          </w:p>
          <w:p w14:paraId="014CEA58" w14:textId="77777777" w:rsidR="00873667" w:rsidRDefault="00873667">
            <w:pPr>
              <w:spacing w:after="0" w:line="240" w:lineRule="auto"/>
              <w:jc w:val="both"/>
              <w:rPr>
                <w:rFonts w:asciiTheme="minorHAnsi" w:hAnsiTheme="minorHAnsi"/>
                <w:color w:val="000000" w:themeColor="text1"/>
                <w:sz w:val="20"/>
                <w:szCs w:val="20"/>
                <w:lang w:val="fr-BE"/>
              </w:rPr>
            </w:pPr>
          </w:p>
          <w:p w14:paraId="7EC6DA0D"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Tras haber deliberado,</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b/>
                <w:color w:val="000000" w:themeColor="text1"/>
                <w:sz w:val="20"/>
                <w:szCs w:val="20"/>
                <w:rFonts w:asciiTheme="minorHAnsi" w:hAnsiTheme="minorHAnsi"/>
              </w:rPr>
            </w:pPr>
            <w:r>
              <w:rPr>
                <w:b/>
                <w:color w:val="000000" w:themeColor="text1"/>
                <w:sz w:val="20"/>
                <w:rFonts w:asciiTheme="minorHAnsi" w:hAnsiTheme="minorHAnsi"/>
              </w:rPr>
              <w:t xml:space="preserve">Ordena</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color w:val="000000" w:themeColor="text1"/>
                <w:sz w:val="20"/>
                <w:szCs w:val="20"/>
                <w:rFonts w:asciiTheme="minorHAnsi" w:hAnsiTheme="minorHAnsi"/>
              </w:rPr>
            </w:pPr>
            <w:r>
              <w:rPr>
                <w:color w:val="000000" w:themeColor="text1"/>
                <w:sz w:val="20"/>
                <w:rFonts w:asciiTheme="minorHAnsi" w:hAnsiTheme="minorHAnsi"/>
              </w:rPr>
              <w:t xml:space="preserve">El Ministro de Medio Ambiente se encarga de presentar al Parlamento el siguiente proyecto de Ordenanza:</w:t>
            </w:r>
            <w:r>
              <w:rPr>
                <w:color w:val="000000" w:themeColor="text1"/>
                <w:sz w:val="20"/>
                <w:rFonts w:asciiTheme="minorHAnsi" w:hAnsiTheme="minorHAnsi"/>
              </w:rPr>
              <w:t xml:space="preserve"> </w:t>
            </w:r>
          </w:p>
          <w:p w14:paraId="20AE67A3" w14:textId="77777777" w:rsidR="00873667" w:rsidRDefault="00873667">
            <w:pPr>
              <w:spacing w:after="0" w:line="240" w:lineRule="auto"/>
              <w:jc w:val="both"/>
              <w:rPr>
                <w:bCs/>
                <w:sz w:val="20"/>
                <w:szCs w:val="20"/>
                <w:lang w:val="fr-BE"/>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b/>
                <w:bCs/>
                <w:color w:val="000000" w:themeColor="text1"/>
                <w:sz w:val="20"/>
                <w:szCs w:val="20"/>
                <w:rFonts w:asciiTheme="minorHAnsi" w:hAnsiTheme="minorHAnsi"/>
              </w:rPr>
            </w:pPr>
            <w:r>
              <w:rPr>
                <w:b/>
                <w:color w:val="000000" w:themeColor="text1"/>
                <w:sz w:val="20"/>
                <w:rFonts w:asciiTheme="minorHAnsi" w:hAnsiTheme="minorHAnsi"/>
              </w:rPr>
              <w:t xml:space="preserve">Capítulo 1.</w:t>
            </w:r>
            <w:r>
              <w:rPr>
                <w:b/>
                <w:color w:val="000000" w:themeColor="text1"/>
                <w:sz w:val="20"/>
                <w:rFonts w:asciiTheme="minorHAnsi" w:hAnsiTheme="minorHAnsi"/>
              </w:rPr>
              <w:t xml:space="preserve"> </w:t>
            </w:r>
            <w:r>
              <w:rPr>
                <w:b/>
                <w:color w:val="000000" w:themeColor="text1"/>
                <w:sz w:val="20"/>
                <w:rFonts w:asciiTheme="minorHAnsi" w:hAnsiTheme="minorHAnsi"/>
              </w:rPr>
              <w:t xml:space="preserve">Disposición introductoria</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b/>
                <w:color w:val="000000" w:themeColor="text1"/>
                <w:sz w:val="20"/>
                <w:szCs w:val="20"/>
                <w:rFonts w:asciiTheme="minorHAnsi" w:hAnsiTheme="minorHAnsi"/>
              </w:rPr>
            </w:pPr>
            <w:r>
              <w:rPr>
                <w:b/>
                <w:color w:val="000000" w:themeColor="text1"/>
                <w:sz w:val="20"/>
                <w:rFonts w:asciiTheme="minorHAnsi" w:hAnsiTheme="minorHAnsi"/>
              </w:rPr>
              <w:t xml:space="preserve">Artículo 1.</w:t>
            </w:r>
          </w:p>
          <w:p w14:paraId="7E06BF8C"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La presente Ordenanza regula una cuestión mencionada en el artículo 39 de la Constitución.</w:t>
            </w:r>
            <w:r>
              <w:rPr>
                <w:sz w:val="20"/>
                <w:rFonts w:asciiTheme="minorHAnsi" w:hAnsiTheme="minorHAnsi"/>
              </w:rPr>
              <w:t xml:space="preserve"> </w:t>
            </w:r>
          </w:p>
          <w:p w14:paraId="63EF4B7A" w14:textId="77777777" w:rsidR="00873667" w:rsidRDefault="00873667">
            <w:pPr>
              <w:spacing w:after="0" w:line="240" w:lineRule="auto"/>
              <w:jc w:val="both"/>
              <w:rPr>
                <w:rFonts w:asciiTheme="minorHAnsi" w:hAnsiTheme="minorHAnsi"/>
                <w:sz w:val="20"/>
                <w:szCs w:val="20"/>
                <w:lang w:val="fr-BE"/>
              </w:rPr>
            </w:pPr>
          </w:p>
          <w:p w14:paraId="6E2F7DA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Esta Ordenanza transpone parcialmente</w:t>
            </w:r>
            <w:r>
              <w:t xml:space="preserve"> la </w:t>
            </w:r>
            <w:r>
              <w:rPr>
                <w:sz w:val="20"/>
                <w:rFonts w:asciiTheme="minorHAnsi" w:hAnsiTheme="minorHAnsi"/>
              </w:rPr>
              <w:t xml:space="preserve">Directiva (UE) 2018/1972 del Parlamento Europeo y del Consejo, de 11 de diciembre de 2018, por la que se establece el Código Europeo de las Comunicaciones Electrónicas.</w:t>
            </w:r>
          </w:p>
          <w:p w14:paraId="2EF3826D" w14:textId="77777777" w:rsidR="00873667" w:rsidRDefault="00873667">
            <w:pPr>
              <w:spacing w:after="0" w:line="240" w:lineRule="auto"/>
              <w:jc w:val="both"/>
              <w:rPr>
                <w:bCs/>
                <w:sz w:val="20"/>
                <w:szCs w:val="20"/>
                <w:lang w:val="fr-BE"/>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2.</w:t>
            </w:r>
            <w:r>
              <w:rPr>
                <w:b/>
                <w:sz w:val="20"/>
                <w:rFonts w:asciiTheme="minorHAnsi" w:hAnsiTheme="minorHAnsi"/>
              </w:rPr>
              <w:t xml:space="preserve"> </w:t>
            </w:r>
            <w:r>
              <w:rPr>
                <w:b/>
                <w:sz w:val="20"/>
                <w:rFonts w:asciiTheme="minorHAnsi" w:hAnsiTheme="minorHAnsi"/>
              </w:rPr>
              <w:t xml:space="preserve">Modificaciones de la Ordenanza de 1 de marzo de 2007 relativa a la protección del medio ambiente contra los posibles efectos nocivos y molestias causados por las radiaciones no ionizantes</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2.</w:t>
            </w:r>
          </w:p>
          <w:p w14:paraId="53C0BEA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En el artículo 2 de la Ordenanza de 1 de marzo de 2007 sobre la protección del medio ambiente contra los posibles efectos nocivos y molestias causados por las radiaciones no ionizantes, en su versión modificada por la Orden de 3 de abril de 2014 y parcialmente anulada por la Sentencia n.º 12/2016 del Tribunal Constitucional, se introducen las siguientes modificaciones:</w:t>
            </w:r>
          </w:p>
          <w:p w14:paraId="2460015D" w14:textId="77777777" w:rsidR="00873667" w:rsidRDefault="00873667">
            <w:pPr>
              <w:spacing w:after="0" w:line="240" w:lineRule="auto"/>
              <w:jc w:val="both"/>
              <w:rPr>
                <w:rFonts w:asciiTheme="minorHAnsi" w:hAnsiTheme="minorHAnsi"/>
                <w:sz w:val="20"/>
                <w:szCs w:val="20"/>
                <w:lang w:val="fr-BE"/>
              </w:rPr>
            </w:pPr>
          </w:p>
          <w:p w14:paraId="122112B2"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1, el punto 2 se sustituye por el texto siguiente:</w:t>
            </w:r>
            <w:r>
              <w:rPr>
                <w:sz w:val="20"/>
                <w:rFonts w:asciiTheme="minorHAnsi" w:hAnsiTheme="minorHAnsi"/>
              </w:rPr>
              <w:t xml:space="preserve"> </w:t>
            </w:r>
          </w:p>
          <w:p w14:paraId="19D6FC33"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«zonas accesibles al público en interiores»: locales en un edificio donde las personas pueden o podrían alojarse regularmente, en particular alojamiento, hoteles, escuelas, guarderías, hospitales, residencias de ancianos y edificios dedicados a la práctica regular de deportes o juegos;</w:t>
            </w:r>
          </w:p>
          <w:p w14:paraId="6795F99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 bis)</w:t>
            </w:r>
            <w:r>
              <w:rPr>
                <w:sz w:val="20"/>
                <w:rFonts w:asciiTheme="minorHAnsi" w:hAnsiTheme="minorHAnsi"/>
              </w:rPr>
              <w:t xml:space="preserve"> </w:t>
            </w:r>
            <w:r>
              <w:rPr>
                <w:sz w:val="20"/>
                <w:rFonts w:asciiTheme="minorHAnsi" w:hAnsiTheme="minorHAnsi"/>
              </w:rPr>
              <w:t xml:space="preserve">«zonas accesibles al público en exteriores»: lugares al aire libre o afines accesibles al público, en particular jardines, interiores de bloques, zonas de parque, parques infantiles y balcones, terrazas cubiertas y descubiertas de edificios, cubículos de garaje, cobertizos, jardines de invierno, invernaderos y otras terrazas similares;»;</w:t>
            </w:r>
          </w:p>
          <w:p w14:paraId="7F94A6C9" w14:textId="77777777" w:rsidR="00873667" w:rsidRDefault="00873667">
            <w:pPr>
              <w:spacing w:after="0" w:line="240" w:lineRule="auto"/>
              <w:jc w:val="both"/>
              <w:rPr>
                <w:rFonts w:asciiTheme="minorHAnsi" w:hAnsiTheme="minorHAnsi"/>
                <w:sz w:val="20"/>
                <w:szCs w:val="20"/>
                <w:lang w:val="fr-BE"/>
              </w:rPr>
            </w:pPr>
          </w:p>
          <w:p w14:paraId="04CF6F2D"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1, punto 4, letra c), el texto «.» se sustituye por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el apartado 1 se completa con los puntos 5, 6, 7, 8, 9 y 10, que se redactan como sigue:</w:t>
            </w:r>
            <w:r>
              <w:rPr>
                <w:sz w:val="20"/>
                <w:rFonts w:asciiTheme="minorHAnsi" w:hAnsiTheme="minorHAnsi"/>
              </w:rPr>
              <w:t xml:space="preserve"> </w:t>
            </w:r>
          </w:p>
          <w:p w14:paraId="719074E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«5)</w:t>
            </w:r>
            <w:r>
              <w:rPr>
                <w:sz w:val="20"/>
                <w:rFonts w:asciiTheme="minorHAnsi" w:hAnsiTheme="minorHAnsi"/>
              </w:rPr>
              <w:t xml:space="preserve"> </w:t>
            </w:r>
            <w:r>
              <w:rPr>
                <w:sz w:val="20"/>
                <w:rFonts w:asciiTheme="minorHAnsi" w:hAnsiTheme="minorHAnsi"/>
              </w:rPr>
              <w:t xml:space="preserve">«antena»: sistema de emisiones diseñado para emitir una señal de radiotelecomunicación por ondas electromagnéticas;</w:t>
            </w:r>
          </w:p>
          <w:p w14:paraId="4DE0990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6.</w:t>
            </w:r>
            <w:r>
              <w:rPr>
                <w:sz w:val="20"/>
                <w:rFonts w:asciiTheme="minorHAnsi" w:hAnsiTheme="minorHAnsi"/>
              </w:rPr>
              <w:t xml:space="preserve"> </w:t>
            </w:r>
            <w:r>
              <w:rPr>
                <w:sz w:val="20"/>
                <w:rFonts w:asciiTheme="minorHAnsi" w:hAnsiTheme="minorHAnsi"/>
              </w:rPr>
              <w:t xml:space="preserve">«operador»: cualquier persona jurídica que posea el derecho de emitir, así como las empresas vinculadas o asociadas en el sentido del Código de Sociedades, y, de manera más general, cualquier persona que opere una antena, con exclusión de los organismos de radiodifusión;</w:t>
            </w:r>
          </w:p>
          <w:p w14:paraId="3C5B91D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7.</w:t>
            </w:r>
            <w:r>
              <w:rPr>
                <w:sz w:val="20"/>
                <w:rFonts w:asciiTheme="minorHAnsi" w:hAnsiTheme="minorHAnsi"/>
              </w:rPr>
              <w:t xml:space="preserve"> </w:t>
            </w:r>
            <w:r>
              <w:rPr>
                <w:sz w:val="20"/>
                <w:rFonts w:asciiTheme="minorHAnsi" w:hAnsiTheme="minorHAnsi"/>
              </w:rPr>
              <w:t xml:space="preserve">«organismos de radiodifusión»: operador de red mencionado en el artículo 1.3-1, punto 33, del Decreto de la Comunidad Francesa, de 4 de febrero de 2021, sobre servicios de comunicación audiovisual y servicios de difusión de vídeos, o en el artículo 2, punto 22, del Decreto flamenco de 27 de marzo de 2009 sobre radiodifusión y televisión;</w:t>
            </w:r>
          </w:p>
          <w:p w14:paraId="1FF7897A"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8.</w:t>
            </w:r>
            <w:r>
              <w:rPr>
                <w:sz w:val="20"/>
                <w:rFonts w:asciiTheme="minorHAnsi" w:hAnsiTheme="minorHAnsi"/>
              </w:rPr>
              <w:t xml:space="preserve"> </w:t>
            </w:r>
            <w:r>
              <w:rPr>
                <w:sz w:val="20"/>
                <w:rFonts w:asciiTheme="minorHAnsi" w:hAnsiTheme="minorHAnsi"/>
              </w:rPr>
              <w:t xml:space="preserve">«situación de emergencia»: cualquier acontecimiento puntual que cause o pueda tener consecuencias perjudiciales para la vida social, como un trastorno grave de seguridad pública, una amenaza grave para la vida o la salud de las personas o intereses materiales importantes, y que requiera la coordinación de los agentes competentes, incluidas las disciplinas, para eliminar la amenaza o limitar las consecuencias adversas del acontecimiento;</w:t>
            </w:r>
          </w:p>
          <w:p w14:paraId="7661DE0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9.</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COM (Centro de Operaciones y Mantenimiento)». un elemento técnico básico de una red, creado para garantizar su gestión y, en particular, el reflejo de las configuraciones utilizadas en la red, los contadores y las estadísticas;</w:t>
            </w:r>
          </w:p>
          <w:p w14:paraId="238F3159" w14:textId="77777777" w:rsidR="00873667" w:rsidRDefault="00873667">
            <w:pPr>
              <w:spacing w:after="0" w:line="240" w:lineRule="auto"/>
              <w:ind w:left="352"/>
              <w:jc w:val="both"/>
              <w:rPr>
                <w:rFonts w:asciiTheme="minorHAnsi" w:hAnsiTheme="minorHAnsi"/>
                <w:sz w:val="20"/>
                <w:szCs w:val="20"/>
                <w:lang w:val="fr-BE"/>
              </w:rPr>
            </w:pPr>
          </w:p>
          <w:p w14:paraId="4764DA67" w14:textId="768F3E3C"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10.</w:t>
            </w:r>
            <w:r>
              <w:rPr>
                <w:sz w:val="20"/>
                <w:rFonts w:asciiTheme="minorHAnsi" w:hAnsiTheme="minorHAnsi"/>
              </w:rPr>
              <w:t xml:space="preserve"> </w:t>
            </w:r>
            <w:r>
              <w:t xml:space="preserve">«base de datos 3D Urbis-Adm»: un banco de datos que contenga información de valor único y original para la Región de Bruselas-Capital y ofrezca garantías específicas en lo que respecta a la exactitud, integridad y disponibilidad de la información, a que se refiere el anexo del Acuerdo de Cooperación de 18 de abril de 2014 entre el Estado Federal, la Región Flamenca, la Región Valona y la Región de Bruselas-Capital relativo a la estructura de coordinación de la información sobre el patrimonio.»;</w:t>
            </w:r>
          </w:p>
          <w:p w14:paraId="031B8EAB" w14:textId="77777777" w:rsidR="00873667" w:rsidRDefault="00873667">
            <w:pPr>
              <w:spacing w:after="0" w:line="240" w:lineRule="auto"/>
              <w:jc w:val="both"/>
              <w:rPr>
                <w:rFonts w:asciiTheme="minorHAnsi" w:hAnsiTheme="minorHAnsi"/>
                <w:sz w:val="20"/>
                <w:szCs w:val="20"/>
                <w:lang w:val="fr-BE"/>
              </w:rPr>
            </w:pPr>
          </w:p>
          <w:p w14:paraId="533CE327" w14:textId="77777777" w:rsidR="00873667" w:rsidRDefault="00873667" w:rsidP="00242999">
            <w:pPr>
              <w:pStyle w:val="ListParagraph"/>
              <w:widowControl/>
              <w:numPr>
                <w:ilvl w:val="0"/>
                <w:numId w:val="1"/>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el subapartado 2 se sustituirá por el texto siguiente:</w:t>
            </w:r>
            <w:r>
              <w:rPr>
                <w:sz w:val="20"/>
                <w:rFonts w:asciiTheme="minorHAnsi" w:hAnsiTheme="minorHAnsi"/>
              </w:rPr>
              <w:t xml:space="preserve"> </w:t>
            </w:r>
          </w:p>
          <w:p w14:paraId="61E32F60"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Las disposiciones de la presente Ordenanza no se aplicarán en situaciones de emergencia.».</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3.</w:t>
            </w:r>
          </w:p>
          <w:p w14:paraId="697447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En el artículo 3 de la presente Ordenanza se introducen las siguientes modificaciones:</w:t>
            </w:r>
          </w:p>
          <w:p w14:paraId="2CF8E143" w14:textId="77777777" w:rsidR="00873667" w:rsidRDefault="00873667">
            <w:pPr>
              <w:spacing w:after="0" w:line="240" w:lineRule="auto"/>
              <w:jc w:val="both"/>
              <w:rPr>
                <w:rFonts w:asciiTheme="minorHAnsi" w:hAnsiTheme="minorHAnsi"/>
                <w:sz w:val="20"/>
                <w:szCs w:val="20"/>
                <w:lang w:val="fr-BE"/>
              </w:rPr>
            </w:pPr>
          </w:p>
          <w:p w14:paraId="62E692B7"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1, quedan derogados los subapartados 2 a 4;</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se inserta el apartado 1 </w:t>
            </w:r>
            <w:r>
              <w:rPr>
                <w:sz w:val="20"/>
                <w:i/>
                <w:iCs/>
                <w:rFonts w:asciiTheme="minorHAnsi" w:hAnsiTheme="minorHAnsi"/>
              </w:rPr>
              <w:t xml:space="preserve">bis</w:t>
            </w:r>
            <w:r>
              <w:rPr>
                <w:sz w:val="20"/>
                <w:rFonts w:asciiTheme="minorHAnsi" w:hAnsiTheme="minorHAnsi"/>
              </w:rPr>
              <w:t xml:space="preserve"> siguiente:</w:t>
            </w:r>
          </w:p>
          <w:p w14:paraId="76FBDA5D" w14:textId="47CF473E" w:rsidR="00873667" w:rsidRDefault="00873667">
            <w:pPr>
              <w:spacing w:after="0" w:line="240" w:lineRule="auto"/>
              <w:ind w:left="352"/>
              <w:jc w:val="both"/>
              <w:rPr>
                <w:sz w:val="20"/>
                <w:rFonts w:asciiTheme="minorHAnsi" w:hAnsiTheme="minorHAnsi"/>
              </w:rPr>
            </w:pPr>
            <w:r>
              <w:rPr>
                <w:sz w:val="20"/>
                <w:rFonts w:asciiTheme="minorHAnsi" w:hAnsiTheme="minorHAnsi"/>
              </w:rPr>
              <w:t xml:space="preserve">«1 </w:t>
            </w:r>
            <w:r>
              <w:rPr>
                <w:sz w:val="20"/>
                <w:i/>
                <w:iCs/>
                <w:rFonts w:asciiTheme="minorHAnsi" w:hAnsiTheme="minorHAnsi"/>
              </w:rPr>
              <w:t xml:space="preserve">bis</w:t>
            </w:r>
            <w:r>
              <w:rPr>
                <w:sz w:val="20"/>
                <w:rFonts w:asciiTheme="minorHAnsi" w:hAnsiTheme="minorHAnsi"/>
              </w:rPr>
              <w:t xml:space="preserve">.</w:t>
            </w:r>
            <w:r>
              <w:rPr>
                <w:sz w:val="20"/>
                <w:rFonts w:asciiTheme="minorHAnsi" w:hAnsiTheme="minorHAnsi"/>
              </w:rPr>
              <w:t xml:space="preserve"> </w:t>
            </w:r>
            <w:r>
              <w:t xml:space="preserve">Sin perjuicio de lo dispuesto en los apartados 1 </w:t>
            </w:r>
            <w:r>
              <w:rPr>
                <w:i/>
                <w:iCs/>
              </w:rPr>
              <w:t xml:space="preserve">bis</w:t>
            </w:r>
            <w:r>
              <w:t xml:space="preserve"> y 4, en todas las zonas accesibles al público en el interior y exterior, las densidades de potencia de las radiaciones no ionizantes no superarán en ningún momento los siguientes valores en zonas accesibles al público en interiores</w:t>
            </w:r>
            <w:r>
              <w:rPr>
                <w:sz w:val="20"/>
                <w:rFonts w:asciiTheme="minorHAnsi" w:hAnsiTheme="minorHAnsi"/>
              </w:rPr>
              <w:t xml:space="preserve">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lang w:val="fr-BE"/>
                </w:rPr>
                <m:t>)</m:t>
              </m:r>
            </m:oMath>
            <w:r>
              <w:rPr>
                <w:sz w:val="20"/>
                <w:rFonts w:asciiTheme="minorHAnsi" w:hAnsiTheme="minorHAnsi"/>
              </w:rPr>
              <w:t xml:space="preserve"> y en zonas accesibles al público en exteriores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lang w:val="fr-BE"/>
                </w:rPr>
                <m:t>)</m:t>
              </m:r>
            </m:oMath>
            <w:r>
              <w:rPr>
                <w:sz w:val="20"/>
                <w:rFonts w:asciiTheme="minorHAnsi" w:hAnsiTheme="minorHAnsi"/>
              </w:rPr>
              <w:t xml:space="preserve">:</w:t>
            </w:r>
            <w:r>
              <w:rPr>
                <w:sz w:val="20"/>
                <w:rFonts w:asciiTheme="minorHAnsi" w:hAnsiTheme="minorHAnsi"/>
              </w:rPr>
              <w:t xml:space="preserve"> </w:t>
            </w: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Frecuencias</w:t>
                  </w:r>
                  <w:r>
                    <w:rPr>
                      <w:color w:val="000000"/>
                      <w:sz w:val="20"/>
                      <w:rFonts w:asciiTheme="minorHAnsi" w:hAnsiTheme="minorHAnsi"/>
                    </w:rPr>
                    <w:t xml:space="preserv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C4092C">
                  <w:pPr>
                    <w:widowControl/>
                    <w:suppressAutoHyphens w:val="0"/>
                    <w:spacing w:after="0" w:line="240" w:lineRule="auto"/>
                    <w:jc w:val="center"/>
                    <w:rPr>
                      <w:b/>
                      <w:bCs/>
                      <w:color w:val="000000"/>
                      <w:kern w:val="0"/>
                      <w:sz w:val="20"/>
                      <w:szCs w:val="20"/>
                      <w:rFonts w:asciiTheme="minorHAnsi" w:eastAsia="Times New Roman" w:hAnsiTheme="minorHAnsi" w:cstheme="minorHAnsi"/>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b/>
                      <w:bCs/>
                      <w:color w:val="000000"/>
                      <w:kern w:val="0"/>
                      <w:sz w:val="20"/>
                      <w:szCs w:val="20"/>
                      <w:rFonts w:asciiTheme="minorHAnsi" w:eastAsia="Times New Roman" w:hAnsiTheme="minorHAnsi" w:cstheme="minorHAnsi"/>
                    </w:rPr>
                  </w:pPr>
                  <w:r>
                    <w:rPr>
                      <w:b/>
                      <w:color w:val="000000"/>
                      <w:sz w:val="20"/>
                      <w:rFonts w:asciiTheme="minorHAnsi" w:hAnsiTheme="minorHAnsi"/>
                    </w:rPr>
                    <w:t xml:space="preserve">(W/m</w:t>
                  </w:r>
                  <w:r>
                    <w:rPr>
                      <w:b/>
                      <w:color w:val="000000"/>
                      <w:sz w:val="20"/>
                      <w:vertAlign w:val="superscript"/>
                      <w:rFonts w:asciiTheme="minorHAnsi" w:hAnsiTheme="minorHAnsi"/>
                    </w:rPr>
                    <w:t xml:space="preserve">2</w:t>
                  </w:r>
                  <w:r>
                    <w:rPr>
                      <w:b/>
                      <w:color w:val="000000"/>
                      <w:sz w:val="20"/>
                      <w:rFonts w:asciiTheme="minorHAnsi" w:hAnsiTheme="minorHAnsi"/>
                    </w:rPr>
                    <w:t xml:space="preserve">)</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0,1 a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400 a 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fr-BE"/>
                      </w:rPr>
                      <m:t xml:space="preserve"> </m:t>
                    </m:r>
                  </m:oMath>
                  <w:r>
                    <w:rPr>
                      <w:color w:val="000000"/>
                      <w:sz w:val="20"/>
                      <w:rFonts w:asciiTheme="minorHAnsi" w:hAnsiTheme="minorHAnsi"/>
                    </w:rPr>
                    <w:t xml:space="preserve">/1597,28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f / 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2 a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color w:val="000000"/>
                      <w:kern w:val="0"/>
                      <w:sz w:val="20"/>
                      <w:szCs w:val="20"/>
                      <w:rFonts w:asciiTheme="minorHAnsi" w:eastAsia="Times New Roman" w:hAnsiTheme="minorHAnsi" w:cstheme="minorHAnsi"/>
                    </w:rPr>
                  </w:pPr>
                  <w:r>
                    <w:rPr>
                      <w:color w:val="000000"/>
                      <w:sz w:val="20"/>
                      <w:rFonts w:asciiTheme="minorHAnsi" w:hAnsiTheme="minorHAnsi"/>
                    </w:rPr>
                    <w:t xml:space="preserve">0,4992</w:t>
                  </w:r>
                </w:p>
              </w:tc>
            </w:tr>
          </w:tbl>
          <w:p w14:paraId="674B9356" w14:textId="77777777" w:rsidR="00873667" w:rsidRDefault="00873667">
            <w:pPr>
              <w:spacing w:after="0" w:line="240" w:lineRule="auto"/>
              <w:ind w:left="352"/>
              <w:jc w:val="both"/>
              <w:rPr>
                <w:sz w:val="20"/>
                <w:szCs w:val="20"/>
                <w:rFonts w:asciiTheme="minorHAnsi" w:hAnsiTheme="minorHAnsi"/>
              </w:rPr>
            </w:pPr>
            <w:r>
              <w:rPr>
                <w:sz w:val="20"/>
                <w:rFonts w:ascii="Times New Roman" w:hAnsi="Times New Roman"/>
              </w:rPr>
              <w:t xml:space="preserve">donde </w:t>
            </w:r>
            <m:oMath>
              <m:r>
                <w:rPr>
                  <w:rFonts w:ascii="Cambria Math" w:hAnsi="Cambria Math"/>
                  <w:sz w:val="20"/>
                  <w:szCs w:val="20"/>
                  <w:lang w:val="nl-NL"/>
                </w:rPr>
                <m:t>f</m:t>
              </m:r>
              <m:r>
                <w:rPr>
                  <w:rFonts w:ascii="Cambria Math" w:hAnsi="Cambria Math"/>
                  <w:sz w:val="20"/>
                  <w:szCs w:val="20"/>
                  <w:lang w:val="fr-BE"/>
                </w:rPr>
                <m:t xml:space="preserve"> </m:t>
              </m:r>
            </m:oMath>
            <w:r>
              <w:rPr>
                <w:sz w:val="20"/>
                <w:rFonts w:asciiTheme="minorHAnsi" w:hAnsiTheme="minorHAnsi"/>
              </w:rPr>
              <w:t xml:space="preserve"> es la frecuencia expresada en MHz.</w:t>
            </w:r>
          </w:p>
          <w:p w14:paraId="2801D7D3" w14:textId="77777777" w:rsidR="00AC2FE0" w:rsidRDefault="00873667">
            <w:pPr>
              <w:pStyle w:val="ListParagraph"/>
              <w:widowControl/>
              <w:suppressAutoHyphens w:val="0"/>
              <w:spacing w:after="0" w:line="240" w:lineRule="auto"/>
              <w:ind w:left="360"/>
              <w:jc w:val="both"/>
              <w:rPr>
                <w:sz w:val="20"/>
                <w:szCs w:val="20"/>
                <w:rFonts w:asciiTheme="minorHAnsi" w:eastAsia="Times New Roman" w:hAnsiTheme="minorHAnsi" w:cstheme="minorHAnsi"/>
              </w:rPr>
            </w:pPr>
            <w:r>
              <w:rPr>
                <w:sz w:val="20"/>
                <w:rFonts w:asciiTheme="minorHAnsi" w:hAnsiTheme="minorHAnsi"/>
              </w:rPr>
              <w:t xml:space="preserve">Como indicación, a 900 MHz, la norma</w:t>
            </w:r>
            <w:r>
              <w:rPr>
                <w:sz w:val="20"/>
                <w:rFonts w:asciiTheme="minorHAnsi" w:hAnsiTheme="minorHAnsi"/>
              </w:rPr>
              <w:t xml:space="preserve"> </w:t>
            </w:r>
          </w:p>
          <w:p w14:paraId="5960402E" w14:textId="451DEC5F" w:rsidR="00873667" w:rsidRDefault="00C4092C">
            <w:pPr>
              <w:pStyle w:val="ListParagraph"/>
              <w:widowControl/>
              <w:suppressAutoHyphens w:val="0"/>
              <w:spacing w:after="0" w:line="240" w:lineRule="auto"/>
              <w:ind w:left="360"/>
              <w:jc w:val="both"/>
              <w:rPr>
                <w:sz w:val="20"/>
                <w:szCs w:val="20"/>
                <w:rFonts w:asciiTheme="minorHAnsi" w:hAnsiTheme="minorHAnsi"/>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Pr>
                <w:sz w:val="20"/>
                <w:rFonts w:asciiTheme="minorHAnsi" w:hAnsiTheme="minorHAnsi"/>
              </w:rPr>
              <w:t xml:space="preserve"> = 0,2243</w:t>
            </w:r>
            <w:r>
              <w:rPr>
                <w:sz w:val="20"/>
                <w:rFonts w:asciiTheme="minorHAnsi" w:hAnsiTheme="minorHAnsi"/>
              </w:rPr>
              <w:t xml:space="preserve"> </w:t>
            </w:r>
            <w:r>
              <w:rPr>
                <w:sz w:val="20"/>
                <w:rFonts w:asciiTheme="minorHAnsi" w:hAnsiTheme="minorHAnsi"/>
              </w:rPr>
              <w:t xml:space="preserve">W/m² corresponde a un campo eléctrico,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Pr>
                <w:sz w:val="20"/>
                <w:rFonts w:asciiTheme="minorHAnsi" w:hAnsiTheme="minorHAnsi"/>
              </w:rPr>
              <w:t xml:space="preserve"> = 9,19 V/m;</w:t>
            </w:r>
            <w:r>
              <w:rPr>
                <w:sz w:val="20"/>
                <w:rFonts w:asciiTheme="minorHAnsi" w:hAnsiTheme="minorHAnsi"/>
              </w:rPr>
              <w:t xml:space="preserve"> </w:t>
            </w:r>
            <w:r>
              <w:rPr>
                <w:sz w:val="20"/>
                <w:rFonts w:asciiTheme="minorHAnsi" w:hAnsiTheme="minorHAnsi"/>
              </w:rPr>
              <w:t xml:space="preserve">mientras que la norma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Pr>
                <w:sz w:val="20"/>
                <w:rFonts w:asciiTheme="minorHAnsi" w:hAnsiTheme="minorHAnsi"/>
              </w:rPr>
              <w:t xml:space="preserve">= 0,5635 W/m² corresponde a un campo eléctrico,</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Pr>
                <w:sz w:val="20"/>
                <w:rFonts w:asciiTheme="minorHAnsi" w:hAnsiTheme="minorHAnsi"/>
              </w:rPr>
              <w:t xml:space="preserve"> = 14,57 V/m.</w:t>
            </w:r>
          </w:p>
          <w:p w14:paraId="5C8AFACD"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Contrariamente a lo dispuesto en el subapartado anterior, las densidades de potencia radiológica no ionizante aplicables en las zonas accesibles al público en exteriores se aplicarán también en las zonas accesibles al público en el interior cuando, en esas zonas, se abran ventanas o puertas que dan al exterior.»;</w:t>
            </w:r>
          </w:p>
          <w:p w14:paraId="5AC47F5C" w14:textId="77777777" w:rsidR="00873667" w:rsidRDefault="00873667">
            <w:pPr>
              <w:widowControl/>
              <w:suppressAutoHyphens w:val="0"/>
              <w:spacing w:after="0" w:line="240" w:lineRule="auto"/>
              <w:jc w:val="both"/>
              <w:rPr>
                <w:rFonts w:asciiTheme="minorHAnsi" w:hAnsiTheme="minorHAnsi"/>
                <w:sz w:val="20"/>
                <w:szCs w:val="20"/>
                <w:lang w:val="fr-BE"/>
              </w:rPr>
            </w:pPr>
          </w:p>
          <w:p w14:paraId="3F56D40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se inserta el apartado 1 </w:t>
            </w:r>
            <w:r>
              <w:rPr>
                <w:sz w:val="20"/>
                <w:i/>
                <w:iCs/>
                <w:rFonts w:asciiTheme="minorHAnsi" w:hAnsiTheme="minorHAnsi"/>
              </w:rPr>
              <w:t xml:space="preserve">ter</w:t>
            </w:r>
            <w:r>
              <w:rPr>
                <w:sz w:val="20"/>
                <w:rFonts w:asciiTheme="minorHAnsi" w:hAnsiTheme="minorHAnsi"/>
              </w:rPr>
              <w:t xml:space="preserve">, cuyo texto es el siguiente:</w:t>
            </w:r>
          </w:p>
          <w:p w14:paraId="0111B2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«1 </w:t>
            </w:r>
            <w:r>
              <w:rPr>
                <w:sz w:val="20"/>
                <w:i/>
                <w:iCs/>
                <w:rFonts w:asciiTheme="minorHAnsi" w:hAnsiTheme="minorHAnsi"/>
              </w:rPr>
              <w:t xml:space="preserve">ter</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Para los campos electromagnéticos compuestos, las siguientes limitaciones se aplican a los campos electromagnéticos en áreas accesibles al público en interiores y exteriores:</w:t>
            </w:r>
          </w:p>
          <w:p w14:paraId="1EEECA5D" w14:textId="77777777" w:rsidR="00873667" w:rsidRDefault="00873667">
            <w:pPr>
              <w:spacing w:after="0" w:line="240" w:lineRule="auto"/>
              <w:ind w:left="352"/>
              <w:jc w:val="both"/>
              <w:rPr>
                <w:sz w:val="20"/>
                <w:szCs w:val="20"/>
                <w:rFonts w:asciiTheme="minorHAnsi" w:hAnsiTheme="minorHAnsi"/>
              </w:rPr>
            </w:pPr>
            <m:oMathPara>
              <m:oMath>
                <m:r>
                  <w:rPr>
                    <w:rFonts w:ascii="Cambria Math" w:hAnsi="Cambria Math"/>
                    <w:sz w:val="20"/>
                    <w:szCs w:val="20"/>
                    <w:lang w:val="fr-BE"/>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donde:</w:t>
            </w:r>
          </w:p>
          <w:p w14:paraId="356BF7CB"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Pr>
                <w:sz w:val="20"/>
                <w:rFonts w:asciiTheme="minorHAnsi" w:hAnsiTheme="minorHAnsi"/>
              </w:rPr>
              <w:t xml:space="preserve"> es la densidad de potencia en frecuencia i;</w:t>
            </w:r>
          </w:p>
          <w:p w14:paraId="0A0E0802" w14:textId="77777777" w:rsidR="00873667" w:rsidRDefault="00C4092C" w:rsidP="00242999">
            <w:pPr>
              <w:pStyle w:val="ListParagraph"/>
              <w:numPr>
                <w:ilvl w:val="0"/>
                <w:numId w:val="3"/>
              </w:numPr>
              <w:spacing w:after="0" w:line="240" w:lineRule="auto"/>
              <w:jc w:val="both"/>
              <w:rPr>
                <w:sz w:val="20"/>
                <w:szCs w:val="20"/>
                <w:rFonts w:asciiTheme="minorHAnsi" w:hAnsiTheme="minorHAnsi"/>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Pr>
                <w:sz w:val="20"/>
                <w:rFonts w:asciiTheme="minorHAnsi" w:hAnsiTheme="minorHAnsi"/>
              </w:rPr>
              <w:t xml:space="preserve"> es el límite de la densidad de potencia en la frecuencia i, tal como se define en el cuadro a que se refiere el apartado 1 </w:t>
            </w:r>
            <w:r>
              <w:rPr>
                <w:sz w:val="20"/>
                <w:i/>
                <w:iCs/>
                <w:rFonts w:asciiTheme="minorHAnsi" w:hAnsiTheme="minorHAnsi"/>
              </w:rPr>
              <w:t xml:space="preserve">bis</w:t>
            </w:r>
            <w:r>
              <w:rPr>
                <w:sz w:val="20"/>
                <w:rFonts w:asciiTheme="minorHAnsi" w:hAnsiTheme="minorHAnsi"/>
              </w:rPr>
              <w:t xml:space="preserve"> del presente artículo.</w:t>
            </w:r>
            <w:r>
              <w:rPr>
                <w:sz w:val="20"/>
                <w:rFonts w:asciiTheme="minorHAnsi" w:hAnsiTheme="minorHAnsi"/>
              </w:rPr>
              <w:t xml:space="preserve"> </w:t>
            </w:r>
          </w:p>
          <w:p w14:paraId="5755DF5C"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La densidad de potencia de las radiaciones se calculará o medirá de conformidad con los procedimientos establecidos por el Gobierno, en particular sobre la base del asesoramiento y las recomendaciones de las autoridades internacionales competentes.».</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se inserta el apartado 1 </w:t>
            </w:r>
            <w:r>
              <w:rPr>
                <w:sz w:val="20"/>
                <w:i/>
                <w:iCs/>
                <w:rFonts w:asciiTheme="minorHAnsi" w:hAnsiTheme="minorHAnsi"/>
              </w:rPr>
              <w:t xml:space="preserve">quater</w:t>
            </w:r>
            <w:r>
              <w:rPr>
                <w:sz w:val="20"/>
                <w:rFonts w:asciiTheme="minorHAnsi" w:hAnsiTheme="minorHAnsi"/>
              </w:rPr>
              <w:t xml:space="preserve">, cuyo texto es el siguiente:</w:t>
            </w:r>
            <w:r>
              <w:rPr>
                <w:sz w:val="20"/>
                <w:rFonts w:asciiTheme="minorHAnsi" w:hAnsiTheme="minorHAnsi"/>
              </w:rPr>
              <w:t xml:space="preserve"> </w:t>
            </w:r>
          </w:p>
          <w:p w14:paraId="769F4642"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«1 </w:t>
            </w:r>
            <w:r>
              <w:rPr>
                <w:sz w:val="20"/>
                <w:i/>
                <w:iCs/>
                <w:rFonts w:asciiTheme="minorHAnsi" w:hAnsiTheme="minorHAnsi"/>
              </w:rPr>
              <w:t xml:space="preserve">quater</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Quedan prohibidas las antenas que generen radiación no ionizante en la gama de frecuencias comprendida entre 20 GHz y 300 GHz.</w:t>
            </w:r>
            <w:r>
              <w:rPr>
                <w:sz w:val="20"/>
                <w:rFonts w:asciiTheme="minorHAnsi" w:hAnsiTheme="minorHAnsi"/>
              </w:rPr>
              <w:t xml:space="preserve"> </w:t>
            </w:r>
            <w:r>
              <w:rPr>
                <w:sz w:val="20"/>
                <w:rFonts w:asciiTheme="minorHAnsi" w:hAnsiTheme="minorHAnsi"/>
              </w:rPr>
              <w:t xml:space="preserve">El Gobierno está facultado para autorizar estas antenas de conformidad con las autorizaciones emitidas por otros niveles de autoridad.</w:t>
            </w:r>
          </w:p>
          <w:p w14:paraId="5757430B"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Las antenas de enlace de microondas no están cubiertas por la prohibición mencionada en el subapartado anterior.»;</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subapartado 1, la palabra «nueve» se sustituye por las palabras «entre siete y trece»;</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subapartado 3, las palabras «imperativos económicos y de salud pública» se sustituyen por «imperativos económicos, de salud pública y de respeto por el medioambiente»;</w:t>
            </w:r>
            <w:r>
              <w:rPr>
                <w:sz w:val="20"/>
                <w:rFonts w:asciiTheme="minorHAnsi" w:hAnsiTheme="minorHAnsi"/>
              </w:rPr>
              <w:t xml:space="preserve">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subapartado 3, la frase «El informe se publicará en el sitio web del Instituto de Gestión Ambiental de Bruselas en un plazo de tres meses a partir de su recepción por el Gobierno» se sustituye por la frase «El Gobierno presentará el informe anualmente al Parlamento y Bruselas Medio Ambiente lo publicará en su sitio web en un plazo de tres meses a partir de su aceptación por el Gobierno»;</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subapartado 3, queda derogada la frase «El primer informe se presentará al Gobierno a más tardar el 1 de septiembre de 2014»;</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subapartado 4, las palabras «operadores de instalaciones capaces de producir o transmitir radiaciones no ionizantes» y «Bruselas Medio Ambiente» se sustituyen por las palabras «operadores y organismos de radiodifusión» y «Bruselas Medio Ambiente y Bruselas Urbanismo y Patrimonio»;</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sz w:val="20"/>
                <w:szCs w:val="20"/>
                <w:rFonts w:asciiTheme="minorHAnsi" w:hAnsiTheme="minorHAnsi"/>
              </w:rPr>
            </w:pPr>
            <w:r>
              <w:rPr>
                <w:sz w:val="20"/>
                <w:rFonts w:asciiTheme="minorHAnsi" w:hAnsiTheme="minorHAnsi"/>
              </w:rPr>
              <w:t xml:space="preserve">el apartado 2 se completa con un nuevo subapartado cuyo texto queda como sigue:</w:t>
            </w:r>
          </w:p>
          <w:p w14:paraId="272B3177"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El Comité emitirá un dictamen sobre todos los proyectos de modificación de la presente Ordenanza y sobre la adopción o modificación de sus medidas de aplicación.</w:t>
            </w:r>
            <w:r>
              <w:rPr>
                <w:sz w:val="20"/>
                <w:rFonts w:asciiTheme="minorHAnsi" w:hAnsiTheme="minorHAnsi"/>
              </w:rPr>
              <w:t xml:space="preserve"> </w:t>
            </w:r>
          </w:p>
          <w:p w14:paraId="3F15769A" w14:textId="77777777" w:rsidR="00873667" w:rsidRDefault="00873667">
            <w:pPr>
              <w:pStyle w:val="ListParagraph"/>
              <w:widowControl/>
              <w:suppressAutoHyphens w:val="0"/>
              <w:spacing w:after="0" w:line="240" w:lineRule="auto"/>
              <w:ind w:left="360"/>
              <w:jc w:val="both"/>
              <w:rPr>
                <w:sz w:val="20"/>
                <w:szCs w:val="20"/>
                <w:rFonts w:asciiTheme="minorHAnsi" w:hAnsiTheme="minorHAnsi"/>
              </w:rPr>
            </w:pPr>
            <w:r>
              <w:rPr>
                <w:sz w:val="20"/>
                <w:rFonts w:asciiTheme="minorHAnsi" w:hAnsiTheme="minorHAnsi"/>
              </w:rPr>
              <w:t xml:space="preserve">El Comité podrá colaborar con cualquier grupo de expertos científicos o de expertos establecidos a nivel internacional, federal, regional o local.»;</w:t>
            </w:r>
          </w:p>
          <w:p w14:paraId="3573B9A7" w14:textId="77777777" w:rsidR="00873667" w:rsidRDefault="00873667">
            <w:pPr>
              <w:widowControl/>
              <w:suppressAutoHyphens w:val="0"/>
              <w:spacing w:after="0" w:line="240" w:lineRule="auto"/>
              <w:jc w:val="both"/>
              <w:rPr>
                <w:rFonts w:asciiTheme="minorHAnsi" w:hAnsiTheme="minorHAnsi"/>
                <w:sz w:val="20"/>
                <w:szCs w:val="20"/>
                <w:lang w:val="fr-BE"/>
              </w:rPr>
            </w:pPr>
          </w:p>
          <w:p w14:paraId="33A60EFD" w14:textId="77777777" w:rsidR="00873667" w:rsidRDefault="00873667" w:rsidP="00242999">
            <w:pPr>
              <w:pStyle w:val="ListParagraph"/>
              <w:widowControl/>
              <w:numPr>
                <w:ilvl w:val="0"/>
                <w:numId w:val="2"/>
              </w:numPr>
              <w:suppressAutoHyphens w:val="0"/>
              <w:spacing w:after="0" w:line="240" w:lineRule="auto"/>
              <w:jc w:val="both"/>
              <w:rPr>
                <w:sz w:val="20"/>
                <w:szCs w:val="20"/>
                <w:rFonts w:asciiTheme="minorHAnsi" w:hAnsiTheme="minorHAnsi"/>
              </w:rPr>
            </w:pPr>
            <w:r>
              <w:rPr>
                <w:sz w:val="20"/>
                <w:rFonts w:asciiTheme="minorHAnsi" w:hAnsiTheme="minorHAnsi"/>
              </w:rPr>
              <w:t xml:space="preserve">se inserta el apartado 3 del siguiente modo:</w:t>
            </w:r>
            <w:r>
              <w:rPr>
                <w:sz w:val="20"/>
                <w:rFonts w:asciiTheme="minorHAnsi" w:hAnsiTheme="minorHAnsi"/>
              </w:rPr>
              <w:t xml:space="preserve"> </w:t>
            </w:r>
          </w:p>
          <w:p w14:paraId="0499D927"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«3.</w:t>
            </w:r>
            <w:r>
              <w:rPr>
                <w:sz w:val="20"/>
                <w:rFonts w:asciiTheme="minorHAnsi" w:hAnsiTheme="minorHAnsi"/>
              </w:rPr>
              <w:t xml:space="preserve"> </w:t>
            </w:r>
            <w:r>
              <w:rPr>
                <w:sz w:val="20"/>
                <w:rFonts w:asciiTheme="minorHAnsi" w:hAnsiTheme="minorHAnsi"/>
              </w:rPr>
              <w:t xml:space="preserve">El Gobierno concluye con los operadores una carta de buena conducta destinada, en particular, a proporcionar a los ciudadanos la mayor transparencia posible en lo que respecta al desarrollo de las redes de telefonía móvil, a establecer una o varias líneas de conducta para los operadores, a nivel técnico, medioambiental y de salud pública, o a establecer objetivos para los operadores relativos a la gestión de desechos relacionados con el desarrollo de redes de telefonía móvil.</w:t>
            </w:r>
          </w:p>
          <w:p w14:paraId="1D2C6D7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Los operadores podrán celebrar, modificar o renovar colectivamente un acuerdo medioambiental con la Región de conformidad con lo dispuesto en la Ordenanza de 29 de abril de 2004 relativa a los acuerdos medioambientales.»;</w:t>
            </w:r>
          </w:p>
          <w:p w14:paraId="4C6FF580" w14:textId="77777777" w:rsidR="00873667" w:rsidRDefault="00873667">
            <w:pPr>
              <w:spacing w:after="0" w:line="240" w:lineRule="auto"/>
              <w:ind w:left="352"/>
              <w:jc w:val="both"/>
              <w:rPr>
                <w:rFonts w:asciiTheme="minorHAnsi" w:hAnsiTheme="minorHAnsi"/>
                <w:sz w:val="20"/>
                <w:szCs w:val="20"/>
                <w:lang w:val="fr-BE"/>
              </w:rPr>
            </w:pPr>
          </w:p>
          <w:p w14:paraId="7E29FAB9" w14:textId="77777777" w:rsidR="00873667" w:rsidRDefault="00873667" w:rsidP="00242999">
            <w:pPr>
              <w:pStyle w:val="ListParagraph"/>
              <w:numPr>
                <w:ilvl w:val="0"/>
                <w:numId w:val="2"/>
              </w:numPr>
              <w:spacing w:after="0" w:line="240" w:lineRule="auto"/>
              <w:jc w:val="both"/>
              <w:rPr>
                <w:sz w:val="20"/>
                <w:szCs w:val="20"/>
                <w:rFonts w:asciiTheme="minorHAnsi" w:hAnsiTheme="minorHAnsi"/>
              </w:rPr>
            </w:pPr>
            <w:r>
              <w:rPr>
                <w:sz w:val="20"/>
                <w:rFonts w:asciiTheme="minorHAnsi" w:hAnsiTheme="minorHAnsi"/>
              </w:rPr>
              <w:t xml:space="preserve">se inserta el apartado 4 del siguiente modo:</w:t>
            </w:r>
          </w:p>
          <w:p w14:paraId="2B84997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«4.</w:t>
            </w:r>
            <w:r>
              <w:rPr>
                <w:sz w:val="20"/>
                <w:rFonts w:asciiTheme="minorHAnsi" w:hAnsiTheme="minorHAnsi"/>
              </w:rPr>
              <w:t xml:space="preserve"> </w:t>
            </w:r>
            <w:r>
              <w:rPr>
                <w:sz w:val="20"/>
                <w:rFonts w:asciiTheme="minorHAnsi" w:hAnsiTheme="minorHAnsi"/>
              </w:rPr>
              <w:t xml:space="preserve">Cuando se superen las normas a que se refiere el apartado 1 </w:t>
            </w:r>
            <w:r>
              <w:rPr>
                <w:sz w:val="20"/>
                <w:i/>
                <w:iCs/>
                <w:rFonts w:asciiTheme="minorHAnsi" w:hAnsiTheme="minorHAnsi"/>
              </w:rPr>
              <w:t xml:space="preserve">bis</w:t>
            </w:r>
            <w:r>
              <w:rPr>
                <w:sz w:val="20"/>
                <w:rFonts w:asciiTheme="minorHAnsi" w:hAnsiTheme="minorHAnsi"/>
              </w:rPr>
              <w:t xml:space="preserve">, se aplicará el presente apartado.</w:t>
            </w:r>
            <w:r>
              <w:rPr>
                <w:sz w:val="20"/>
                <w:rFonts w:asciiTheme="minorHAnsi" w:hAnsiTheme="minorHAnsi"/>
              </w:rPr>
              <w:t xml:space="preserve"> </w:t>
            </w:r>
          </w:p>
          <w:p w14:paraId="19017495"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Los operadores cuyas antenas contribuyan a superar las normas a que se refiere el apartado 1 </w:t>
            </w:r>
            <w:r>
              <w:rPr>
                <w:sz w:val="20"/>
                <w:i/>
                <w:iCs/>
                <w:rFonts w:asciiTheme="minorHAnsi" w:hAnsiTheme="minorHAnsi"/>
              </w:rPr>
              <w:t xml:space="preserve">bis</w:t>
            </w:r>
            <w:r>
              <w:rPr>
                <w:sz w:val="20"/>
                <w:rFonts w:asciiTheme="minorHAnsi" w:hAnsiTheme="minorHAnsi"/>
              </w:rPr>
              <w:t xml:space="preserve"> reducirán el campo eléctrico emitido por sus antenas de modo que se cumplan las normas a que se refiere el apartado 1 </w:t>
            </w:r>
            <w:r>
              <w:rPr>
                <w:sz w:val="20"/>
                <w:i/>
                <w:iCs/>
                <w:rFonts w:asciiTheme="minorHAnsi" w:hAnsiTheme="minorHAnsi"/>
              </w:rPr>
              <w:t xml:space="preserve">bis</w:t>
            </w:r>
            <w:r>
              <w:rPr>
                <w:sz w:val="20"/>
                <w:rFonts w:asciiTheme="minorHAnsi" w:hAnsiTheme="minorHAnsi"/>
              </w:rPr>
              <w:t xml:space="preserve">, en su caso mediante consultas entre sí y con los organismos de radiodifusión.</w:t>
            </w:r>
          </w:p>
          <w:p w14:paraId="67E22AA1"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Los organismos de radiodifusión cuyas antenas contribuyan a superar las normas a que se refiere el apartado 1 </w:t>
            </w:r>
            <w:r>
              <w:rPr>
                <w:sz w:val="20"/>
                <w:i/>
                <w:iCs/>
                <w:rFonts w:asciiTheme="minorHAnsi" w:hAnsiTheme="minorHAnsi"/>
              </w:rPr>
              <w:t xml:space="preserve">bis</w:t>
            </w:r>
            <w:r>
              <w:rPr>
                <w:sz w:val="20"/>
                <w:rFonts w:asciiTheme="minorHAnsi" w:hAnsiTheme="minorHAnsi"/>
              </w:rPr>
              <w:t xml:space="preserve"> facilitarán a los operadores y a Bruselas Medio Ambiente toda la información técnica relativa a las radiaciones no ionizantes de las antenas de que se trate si difieren de las facilitadas de conformidad con el artículo 4.</w:t>
            </w:r>
            <w:r>
              <w:rPr>
                <w:sz w:val="20"/>
                <w:rFonts w:asciiTheme="minorHAnsi" w:hAnsiTheme="minorHAnsi"/>
              </w:rPr>
              <w:t xml:space="preserve"> </w:t>
            </w:r>
          </w:p>
          <w:p w14:paraId="6A8A4CA9"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El Gobierno podrá especificar las condiciones de esta consulta y el método que deben aplicar los operadores para, en su caso, reducir su cuota respectiva en relación con la densidad de potencia que implique el rebasamiento de las normas a que se refiere el apartado 1 </w:t>
            </w:r>
            <w:r>
              <w:rPr>
                <w:sz w:val="20"/>
                <w:i/>
                <w:iCs/>
                <w:rFonts w:asciiTheme="minorHAnsi" w:hAnsiTheme="minorHAnsi"/>
              </w:rPr>
              <w:t xml:space="preserve">bis</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El Gobierno especificará los términos y condiciones en caso de acuerdo entre los operadores y, en ausencia de acuerdo, las obligaciones que se les puedan imponer.</w:t>
            </w:r>
            <w:r>
              <w:rPr>
                <w:sz w:val="20"/>
                <w:rFonts w:asciiTheme="minorHAnsi" w:hAnsiTheme="minorHAnsi"/>
              </w:rPr>
              <w:t xml:space="preserve"> </w:t>
            </w:r>
          </w:p>
          <w:p w14:paraId="56ABD7FE"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No obstante lo dispuesto en el apartado 1 </w:t>
            </w:r>
            <w:r>
              <w:rPr>
                <w:sz w:val="20"/>
                <w:i/>
                <w:iCs/>
                <w:rFonts w:asciiTheme="minorHAnsi" w:hAnsiTheme="minorHAnsi"/>
              </w:rPr>
              <w:t xml:space="preserve">bis</w:t>
            </w:r>
            <w:r>
              <w:rPr>
                <w:sz w:val="20"/>
                <w:rFonts w:asciiTheme="minorHAnsi" w:hAnsiTheme="minorHAnsi"/>
              </w:rPr>
              <w:t xml:space="preserve">, si las obligaciones impuestas a los operadores en virtud del subapartado anterior o cualquier otra medida aplicada por los operadores o el organismo de radiodifusión no permiten reducir suficientemente la densidad de potencia de las antenas de que se trate para garantizar el cumplimiento de las normas a que se refiere el apartado 1 </w:t>
            </w:r>
            <w:r>
              <w:rPr>
                <w:sz w:val="20"/>
                <w:i/>
                <w:iCs/>
                <w:rFonts w:asciiTheme="minorHAnsi" w:hAnsiTheme="minorHAnsi"/>
              </w:rPr>
              <w:t xml:space="preserve">bis</w:t>
            </w:r>
            <w:r>
              <w:rPr>
                <w:sz w:val="20"/>
                <w:rFonts w:asciiTheme="minorHAnsi" w:hAnsiTheme="minorHAnsi"/>
              </w:rPr>
              <w:t xml:space="preserve">, solo los operadores implicados en el rebasamiento estarán obligados a cumplir, conjuntamente y teniendo en cuenta la información facilitada de conformidad con el apartado 3 y artículo 4, con el 42,6 % y el 17 % de las normas mencionadas en el apartado 1 </w:t>
            </w:r>
            <w:r>
              <w:rPr>
                <w:sz w:val="20"/>
                <w:i/>
                <w:iCs/>
                <w:rFonts w:asciiTheme="minorHAnsi" w:hAnsiTheme="minorHAnsi"/>
              </w:rPr>
              <w:t xml:space="preserve">bis</w:t>
            </w:r>
            <w:r>
              <w:rPr>
                <w:sz w:val="20"/>
                <w:rFonts w:asciiTheme="minorHAnsi" w:hAnsiTheme="minorHAnsi"/>
              </w:rPr>
              <w:t xml:space="preserve">, respectivamente, en zonas accesibles al público en interiores y en zonas accesibles al público en exteriores.</w:t>
            </w:r>
            <w:r>
              <w:rPr>
                <w:sz w:val="20"/>
                <w:rFonts w:asciiTheme="minorHAnsi" w:hAnsiTheme="minorHAnsi"/>
              </w:rPr>
              <w:t xml:space="preserve"> </w:t>
            </w:r>
          </w:p>
          <w:p w14:paraId="198A1AFF" w14:textId="77777777" w:rsidR="00873667" w:rsidRDefault="00873667">
            <w:pPr>
              <w:pStyle w:val="ListParagraph"/>
              <w:spacing w:after="0" w:line="240" w:lineRule="auto"/>
              <w:ind w:left="360"/>
              <w:jc w:val="both"/>
              <w:rPr>
                <w:sz w:val="20"/>
                <w:szCs w:val="20"/>
                <w:rFonts w:asciiTheme="minorHAnsi" w:hAnsiTheme="minorHAnsi"/>
              </w:rPr>
            </w:pPr>
            <w:r>
              <w:rPr>
                <w:sz w:val="20"/>
                <w:rFonts w:asciiTheme="minorHAnsi" w:hAnsiTheme="minorHAnsi"/>
              </w:rPr>
              <w:t xml:space="preserve">El régimen de excepción a que se refiere el subapartado anterior no podrá implicar en ningún momento densidades de radiación de las radiaciones no ionizantes en zonas accesibles al público en interiores y en zonas accesibles al público en exteriores superiores a las mencionadas en la Recomendación 1999/519/CE del Consejo, de 12 de julio de 1999, sobre la limitación de la exposición del público a campos electromagnéticos (de 0 Hz a 300 GHz) y su evolución futura, y solo podrá referirse al 0,0065 % de las superficies y cerramientos de los edificios de la base de datos Urbis-Adm 3D.</w:t>
            </w:r>
            <w:r>
              <w:rPr>
                <w:sz w:val="20"/>
                <w:rFonts w:asciiTheme="minorHAnsi" w:hAnsiTheme="minorHAnsi"/>
              </w:rPr>
              <w:t xml:space="preserve"> </w:t>
            </w:r>
            <w:r>
              <w:rPr>
                <w:sz w:val="20"/>
                <w:rFonts w:asciiTheme="minorHAnsi" w:hAnsiTheme="minorHAnsi"/>
              </w:rPr>
              <w:t xml:space="preserve">El Gobierno está facultado para establecer límites más bajos.</w:t>
            </w:r>
            <w:r>
              <w:rPr>
                <w:sz w:val="20"/>
                <w:rFonts w:asciiTheme="minorHAnsi" w:hAnsiTheme="minorHAnsi"/>
              </w:rPr>
              <w:t xml:space="preserve"> </w:t>
            </w:r>
            <w:r>
              <w:rPr>
                <w:sz w:val="20"/>
                <w:rFonts w:asciiTheme="minorHAnsi" w:hAnsiTheme="minorHAnsi"/>
              </w:rPr>
              <w:t xml:space="preserve">Bruselas Medio Ambiente mantiene una lista para el Gobierno y el Comité, en la que se enumeran los casos de aplicación a que se refiere el apartado 5.».</w:t>
            </w:r>
          </w:p>
          <w:p w14:paraId="623A5571" w14:textId="77777777" w:rsidR="00873667" w:rsidRDefault="00873667">
            <w:pPr>
              <w:spacing w:after="0" w:line="240" w:lineRule="auto"/>
              <w:jc w:val="both"/>
              <w:rPr>
                <w:rFonts w:asciiTheme="minorHAnsi" w:hAnsiTheme="minorHAnsi"/>
                <w:sz w:val="20"/>
                <w:szCs w:val="20"/>
                <w:lang w:val="fr-BE"/>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4.</w:t>
            </w:r>
          </w:p>
          <w:p w14:paraId="7BA6CE1E"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En la misma Ordenanza, después del artículo 3 se inserta el epígrafe siguiente:</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Obligación general de los operadores».</w:t>
            </w:r>
          </w:p>
          <w:p w14:paraId="493E4D9C" w14:textId="77777777" w:rsidR="00873667" w:rsidRDefault="00873667">
            <w:pPr>
              <w:spacing w:after="0" w:line="240" w:lineRule="auto"/>
              <w:jc w:val="both"/>
              <w:rPr>
                <w:rFonts w:asciiTheme="minorHAnsi" w:hAnsiTheme="minorHAnsi"/>
                <w:sz w:val="20"/>
                <w:szCs w:val="20"/>
                <w:lang w:val="fr-BE"/>
              </w:rPr>
            </w:pPr>
          </w:p>
          <w:p w14:paraId="7634251F" w14:textId="77777777" w:rsidR="00873667" w:rsidRDefault="00873667">
            <w:pPr>
              <w:spacing w:after="0" w:line="240" w:lineRule="auto"/>
              <w:jc w:val="both"/>
              <w:rPr>
                <w:rFonts w:asciiTheme="minorHAnsi" w:hAnsiTheme="minorHAnsi"/>
                <w:sz w:val="20"/>
                <w:szCs w:val="20"/>
                <w:lang w:val="fr-BE"/>
              </w:rPr>
            </w:pPr>
          </w:p>
          <w:p w14:paraId="49811318"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En la misma Ordenanza, se inserta el artículo 3 </w:t>
            </w:r>
            <w:r>
              <w:rPr>
                <w:sz w:val="20"/>
                <w:i/>
                <w:iCs/>
                <w:rFonts w:asciiTheme="minorHAnsi" w:hAnsiTheme="minorHAnsi"/>
              </w:rPr>
              <w:t xml:space="preserve">bis</w:t>
            </w:r>
            <w:r>
              <w:rPr>
                <w:sz w:val="20"/>
                <w:rFonts w:asciiTheme="minorHAnsi" w:hAnsiTheme="minorHAnsi"/>
              </w:rPr>
              <w:t xml:space="preserve">, bajo el epígrafe insertado por el apartado 1, del siguiente modo:</w:t>
            </w:r>
          </w:p>
          <w:p w14:paraId="77C64ADE"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Artículo 3 </w:t>
            </w:r>
            <w:r>
              <w:rPr>
                <w:sz w:val="20"/>
                <w:i/>
                <w:iCs/>
                <w:rFonts w:asciiTheme="minorHAnsi" w:hAnsiTheme="minorHAnsi"/>
              </w:rPr>
              <w:t xml:space="preserve">bis</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Sin perjuicio de lo dispuesto en el artículo 3, todo operador y organismo de radiodifusión que opere una antena en el territorio de la Región de Bruselas-Capital podrá en cualquier momento justificar el cumplimiento de la norma de inmisión a que se refiere el artículo 3 y tomar inmediatamente todas las medidas necesarias cuando tenga conocimiento, por cualquier medio, de que no se está cumpliendo la norma de inmisión a que se refiere el artículo 3.».</w:t>
            </w:r>
          </w:p>
          <w:p w14:paraId="0D332DF9" w14:textId="77777777" w:rsidR="00873667" w:rsidRDefault="00873667">
            <w:pPr>
              <w:spacing w:after="0" w:line="240" w:lineRule="auto"/>
              <w:jc w:val="both"/>
              <w:rPr>
                <w:rFonts w:asciiTheme="minorHAnsi" w:hAnsiTheme="minorHAnsi"/>
                <w:sz w:val="20"/>
                <w:szCs w:val="20"/>
                <w:lang w:val="fr-BE"/>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5.</w:t>
            </w:r>
          </w:p>
          <w:p w14:paraId="6213E50D"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El epígrafe «Obligaciones de información para los operadores» entre el artículo 3 </w:t>
            </w:r>
            <w:r>
              <w:rPr>
                <w:sz w:val="20"/>
                <w:i/>
                <w:iCs/>
                <w:rFonts w:asciiTheme="minorHAnsi" w:hAnsiTheme="minorHAnsi"/>
              </w:rPr>
              <w:t xml:space="preserve">bis</w:t>
            </w:r>
            <w:r>
              <w:rPr>
                <w:sz w:val="20"/>
                <w:rFonts w:asciiTheme="minorHAnsi" w:hAnsiTheme="minorHAnsi"/>
              </w:rPr>
              <w:t xml:space="preserve"> y el artículo 4 de dicha Ordenanza se sustituye por el epígrafe «Obligación de información para los operadores y los organismos de radiodifusión».</w:t>
            </w:r>
          </w:p>
          <w:p w14:paraId="304708E1" w14:textId="77777777" w:rsidR="00873667" w:rsidRDefault="00873667">
            <w:pPr>
              <w:spacing w:after="0" w:line="240" w:lineRule="auto"/>
              <w:jc w:val="both"/>
              <w:rPr>
                <w:rFonts w:asciiTheme="minorHAnsi" w:hAnsiTheme="minorHAnsi"/>
                <w:sz w:val="20"/>
                <w:szCs w:val="20"/>
                <w:lang w:val="fr-BE"/>
              </w:rPr>
            </w:pPr>
          </w:p>
          <w:p w14:paraId="302C5B7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El artículo 4 de la misma ordenanza se sustituye por el texto siguiente:</w:t>
            </w:r>
            <w:r>
              <w:rPr>
                <w:sz w:val="20"/>
                <w:rFonts w:asciiTheme="minorHAnsi" w:hAnsiTheme="minorHAnsi"/>
              </w:rPr>
              <w:t xml:space="preserve"> </w:t>
            </w:r>
          </w:p>
          <w:p w14:paraId="30BD686D"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Artículo 4.</w:t>
            </w:r>
            <w:r>
              <w:rPr>
                <w:sz w:val="20"/>
                <w:rFonts w:asciiTheme="minorHAnsi" w:hAnsiTheme="minorHAnsi"/>
              </w:rPr>
              <w:t xml:space="preserve"> </w:t>
            </w: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Los operadores y los organismos de radiodifusión están obligados a informar a Bruselas Medio Ambiente, Bruselas Urbanismo y Patrimonio, y al municipio en cuyo territorio se encuentra, de cualquier antena que emita radiaciones no ionizantes, cuya lista es determinada por el Gobierno, en cuanto a las características operativas de esta antena.</w:t>
            </w:r>
            <w:r>
              <w:rPr>
                <w:sz w:val="20"/>
                <w:rFonts w:asciiTheme="minorHAnsi" w:hAnsiTheme="minorHAnsi"/>
              </w:rPr>
              <w:t xml:space="preserve"> </w:t>
            </w:r>
            <w:r>
              <w:rPr>
                <w:sz w:val="20"/>
                <w:rFonts w:asciiTheme="minorHAnsi" w:hAnsiTheme="minorHAnsi"/>
              </w:rPr>
              <w:t xml:space="preserve">Estas características incluyen, en particular, la ubicación exacta y la posición de la instalación, el diagrama de radiación, el tipo de antena, las frecuencias de emisión, el ángulo de inclinación de las antenas, la altura y dimensión de la antena y la potencia radiada de la radiación.</w:t>
            </w:r>
            <w:r>
              <w:rPr>
                <w:sz w:val="20"/>
                <w:rFonts w:asciiTheme="minorHAnsi" w:hAnsiTheme="minorHAnsi"/>
              </w:rPr>
              <w:t xml:space="preserve"> </w:t>
            </w:r>
            <w:r>
              <w:rPr>
                <w:sz w:val="20"/>
                <w:rFonts w:asciiTheme="minorHAnsi" w:hAnsiTheme="minorHAnsi"/>
              </w:rPr>
              <w:t xml:space="preserve">El Gobierno podrá especificar la lista de estas características, diferenciarlas según los receptores o añadir otras características.</w:t>
            </w:r>
            <w:r>
              <w:rPr>
                <w:sz w:val="20"/>
                <w:rFonts w:asciiTheme="minorHAnsi" w:hAnsiTheme="minorHAnsi"/>
              </w:rPr>
              <w:t xml:space="preserve"> </w:t>
            </w:r>
            <w:r>
              <w:rPr>
                <w:sz w:val="20"/>
                <w:rFonts w:asciiTheme="minorHAnsi" w:hAnsiTheme="minorHAnsi"/>
              </w:rPr>
              <w:t xml:space="preserve">Bruselas Medio Ambiente, Bruselas Urbanismo y Patrimonio y los municipios podrán prever la utilización de un formulario para enviarles la información mencionada.</w:t>
            </w:r>
            <w:r>
              <w:rPr>
                <w:sz w:val="20"/>
                <w:rFonts w:asciiTheme="minorHAnsi" w:hAnsiTheme="minorHAnsi"/>
              </w:rPr>
              <w:t xml:space="preserve"> </w:t>
            </w:r>
          </w:p>
          <w:p w14:paraId="6D5BFE0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Cuando una antena esté a menos de 200 metros de un límite municipal, dicha obligación se ampliará respecto del municipio limítrofe de que se trate.</w:t>
            </w:r>
            <w:r>
              <w:rPr>
                <w:sz w:val="20"/>
                <w:rFonts w:asciiTheme="minorHAnsi" w:hAnsiTheme="minorHAnsi"/>
              </w:rPr>
              <w:t xml:space="preserve"> </w:t>
            </w:r>
          </w:p>
          <w:p w14:paraId="7D2D49FA"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Los operadores y los organismos de radiodifusión deben transmitir, previa solicitud, a Bruselas Medio Ambiente toda la información solicitada, incluido, en su caso, un extracto de sus bases de datos de configuración de red del COM (Centro de Operaciones y Mantenimiento).</w:t>
            </w:r>
            <w:r>
              <w:rPr>
                <w:sz w:val="20"/>
                <w:rFonts w:asciiTheme="minorHAnsi" w:hAnsiTheme="minorHAnsi"/>
              </w:rPr>
              <w:t xml:space="preserve"> </w:t>
            </w:r>
            <w:r>
              <w:rPr>
                <w:sz w:val="20"/>
                <w:rFonts w:asciiTheme="minorHAnsi" w:hAnsiTheme="minorHAnsi"/>
              </w:rPr>
              <w:t xml:space="preserve">Este extracto o cualquier otra información puede referirse a todas las antenas especificadas por Bruselas Medio Ambiente y se proporcionará por vía electrónica dentro de los veinte días siguientes a la recepción de la solicitud.</w:t>
            </w:r>
            <w:r>
              <w:rPr>
                <w:sz w:val="20"/>
                <w:rFonts w:asciiTheme="minorHAnsi" w:hAnsiTheme="minorHAnsi"/>
              </w:rPr>
              <w:t xml:space="preserve"> </w:t>
            </w:r>
            <w:r>
              <w:rPr>
                <w:sz w:val="20"/>
                <w:rFonts w:asciiTheme="minorHAnsi" w:hAnsiTheme="minorHAnsi"/>
              </w:rPr>
              <w:t xml:space="preserve">Esta información deberá contener, como mínimo, la potencia máxima de la baliza a la salida de las bahías técnicas, el número de frecuencias portadoras y las inclinaciones eléctricas, si se configuran a distancia desde el COM (Centro de Operaciones y Mantenimiento).</w:t>
            </w:r>
            <w:r>
              <w:rPr>
                <w:sz w:val="20"/>
                <w:rFonts w:asciiTheme="minorHAnsi" w:hAnsiTheme="minorHAnsi"/>
              </w:rPr>
              <w:t xml:space="preserve"> </w:t>
            </w:r>
            <w:r>
              <w:rPr>
                <w:sz w:val="20"/>
                <w:rFonts w:asciiTheme="minorHAnsi" w:hAnsiTheme="minorHAnsi"/>
              </w:rPr>
              <w:t xml:space="preserve">Bruselas Medio Ambiente podrá especificar la información contenida en el extracto que debe facilitarse y su formato.</w:t>
            </w:r>
          </w:p>
          <w:p w14:paraId="4D7BEA57"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3.</w:t>
            </w:r>
            <w:r>
              <w:rPr>
                <w:sz w:val="20"/>
                <w:rFonts w:asciiTheme="minorHAnsi" w:hAnsiTheme="minorHAnsi"/>
              </w:rPr>
              <w:t xml:space="preserve"> </w:t>
            </w:r>
            <w:r>
              <w:rPr>
                <w:sz w:val="20"/>
                <w:rFonts w:asciiTheme="minorHAnsi" w:hAnsiTheme="minorHAnsi"/>
              </w:rPr>
              <w:t xml:space="preserve">Los operadores cuya lista sea fijada por el Gobierno transmitirán anualmente a Bruselas Medio Ambiente un informe sobre la eficiencia energética por tecnología y el consumo de energía de las antenas y de su red.</w:t>
            </w:r>
            <w:r>
              <w:rPr>
                <w:sz w:val="20"/>
                <w:rFonts w:asciiTheme="minorHAnsi" w:hAnsiTheme="minorHAnsi"/>
              </w:rPr>
              <w:t xml:space="preserve"> </w:t>
            </w:r>
            <w:r>
              <w:rPr>
                <w:sz w:val="20"/>
                <w:rFonts w:asciiTheme="minorHAnsi" w:hAnsiTheme="minorHAnsi"/>
              </w:rPr>
              <w:t xml:space="preserve">El Gobierno determinará el contenido mínimo del informe.».</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6.</w:t>
            </w:r>
          </w:p>
          <w:p w14:paraId="3FB93EB7"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El artículo 5 de dicha Ordenanza se completa con un subapartado cuyo texto queda como sigue:</w:t>
            </w:r>
            <w:r>
              <w:rPr>
                <w:sz w:val="20"/>
                <w:rFonts w:asciiTheme="minorHAnsi" w:hAnsiTheme="minorHAnsi"/>
              </w:rPr>
              <w:t xml:space="preserve"> </w:t>
            </w:r>
          </w:p>
          <w:p w14:paraId="40A7D802"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El Gobierno podrá establecer regímenes diferenciados y específicos para determinados tipos de antenas en función de sus características específicas.».</w:t>
            </w:r>
            <w:r>
              <w:rPr>
                <w:sz w:val="20"/>
                <w:rFonts w:asciiTheme="minorHAnsi" w:hAnsiTheme="minorHAnsi"/>
              </w:rPr>
              <w:t xml:space="preserve"> </w:t>
            </w:r>
          </w:p>
          <w:p w14:paraId="0216A34A" w14:textId="77777777" w:rsidR="00873667" w:rsidRDefault="00873667">
            <w:pPr>
              <w:spacing w:after="0" w:line="240" w:lineRule="auto"/>
              <w:jc w:val="both"/>
              <w:rPr>
                <w:rFonts w:asciiTheme="minorHAnsi" w:hAnsiTheme="minorHAnsi"/>
                <w:sz w:val="20"/>
                <w:szCs w:val="20"/>
                <w:lang w:val="fr-BE"/>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7.</w:t>
            </w:r>
          </w:p>
          <w:p w14:paraId="59CA7035"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En el artículo 8 de la presente Ordenanza se introducen las siguientes modificaciones:</w:t>
            </w:r>
          </w:p>
          <w:p w14:paraId="463F92C5" w14:textId="77777777" w:rsidR="00873667" w:rsidRDefault="00873667">
            <w:pPr>
              <w:spacing w:after="0" w:line="240" w:lineRule="auto"/>
              <w:jc w:val="both"/>
              <w:rPr>
                <w:rFonts w:asciiTheme="minorHAnsi" w:hAnsiTheme="minorHAnsi"/>
                <w:sz w:val="20"/>
                <w:szCs w:val="20"/>
                <w:lang w:val="fr-BE"/>
              </w:rPr>
            </w:pPr>
          </w:p>
          <w:p w14:paraId="0FEE7087"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el apartado 1 se sustituye por lo siguiente:</w:t>
            </w:r>
            <w:r>
              <w:rPr>
                <w:sz w:val="20"/>
                <w:rFonts w:asciiTheme="minorHAnsi" w:hAnsiTheme="minorHAnsi"/>
              </w:rPr>
              <w:t xml:space="preserve"> </w:t>
            </w:r>
          </w:p>
          <w:p w14:paraId="495FA02B"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El Gobierno se encargará de actualizar y hacer público un registro de antenas, cuya lista será determinada por el Gobierno.</w:t>
            </w:r>
            <w:r>
              <w:rPr>
                <w:sz w:val="20"/>
                <w:rFonts w:asciiTheme="minorHAnsi" w:hAnsiTheme="minorHAnsi"/>
              </w:rPr>
              <w:t xml:space="preserve"> </w:t>
            </w:r>
            <w:r>
              <w:rPr>
                <w:sz w:val="20"/>
                <w:rFonts w:asciiTheme="minorHAnsi" w:hAnsiTheme="minorHAnsi"/>
              </w:rPr>
              <w:t xml:space="preserve">Este registro incluye los datos técnicos de cada antena, en particular la ubicación precisa de la antena, el tipo de antena, sus dimensiones, orientación, potencia de emisión y otros datos técnicos para determinar la densidad de potencia en áreas de acceso público.</w:t>
            </w:r>
            <w:r>
              <w:rPr>
                <w:sz w:val="20"/>
                <w:rFonts w:asciiTheme="minorHAnsi" w:hAnsiTheme="minorHAnsi"/>
              </w:rPr>
              <w:t xml:space="preserve"> </w:t>
            </w:r>
            <w:r>
              <w:rPr>
                <w:sz w:val="20"/>
                <w:rFonts w:asciiTheme="minorHAnsi" w:hAnsiTheme="minorHAnsi"/>
              </w:rPr>
              <w:t xml:space="preserve">El Gobierno puede especificar los datos técnicos y añadir otras características.</w:t>
            </w:r>
            <w:r>
              <w:rPr>
                <w:sz w:val="20"/>
                <w:rFonts w:asciiTheme="minorHAnsi" w:hAnsiTheme="minorHAnsi"/>
              </w:rPr>
              <w:t xml:space="preserve"> </w:t>
            </w:r>
          </w:p>
          <w:p w14:paraId="74906324"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Este registro de transmisores se publicará en el sitio web de Bruselas Medio Ambiente para que cualquier ciudadano pueda presentar una reclamación en cualquier momento ante Bruselas Medio Ambiente en relación con el cumplimiento de la norma de inmisión a que se refiere el artículo 3 y/o el cumplimiento de las condiciones de funcionamiento de las antenas de que se trate.</w:t>
            </w:r>
            <w:r>
              <w:rPr>
                <w:sz w:val="20"/>
                <w:rFonts w:asciiTheme="minorHAnsi" w:hAnsiTheme="minorHAnsi"/>
              </w:rPr>
              <w:t xml:space="preserve"> </w:t>
            </w:r>
            <w:r>
              <w:rPr>
                <w:sz w:val="20"/>
                <w:rFonts w:asciiTheme="minorHAnsi" w:hAnsiTheme="minorHAnsi"/>
              </w:rPr>
              <w:t xml:space="preserve">Sin perjuicio de las sanciones aplicables y otras medidas previstas en la presente ordenanza, si considera fundada esta reclamación, Bruselas Medio Ambiente adoptará las medidas necesarias para garantizar el cumplimiento de las disposiciones de la presente ordenanza.»;</w:t>
            </w:r>
          </w:p>
          <w:p w14:paraId="62384DE4" w14:textId="77777777" w:rsidR="00873667" w:rsidRDefault="00873667">
            <w:pPr>
              <w:spacing w:after="0" w:line="240" w:lineRule="auto"/>
              <w:ind w:left="352"/>
              <w:jc w:val="both"/>
              <w:rPr>
                <w:rFonts w:asciiTheme="minorHAnsi" w:hAnsiTheme="minorHAnsi"/>
                <w:sz w:val="20"/>
                <w:szCs w:val="20"/>
                <w:lang w:val="fr-BE"/>
              </w:rPr>
            </w:pPr>
          </w:p>
          <w:p w14:paraId="251120BC" w14:textId="77777777" w:rsidR="00873667" w:rsidRDefault="00873667" w:rsidP="00242999">
            <w:pPr>
              <w:pStyle w:val="ListParagraph"/>
              <w:widowControl/>
              <w:numPr>
                <w:ilvl w:val="0"/>
                <w:numId w:val="4"/>
              </w:numPr>
              <w:suppressAutoHyphens w:val="0"/>
              <w:spacing w:after="0" w:line="240" w:lineRule="auto"/>
              <w:jc w:val="both"/>
              <w:rPr>
                <w:sz w:val="20"/>
                <w:szCs w:val="20"/>
                <w:rFonts w:asciiTheme="minorHAnsi" w:hAnsiTheme="minorHAnsi"/>
              </w:rPr>
            </w:pPr>
            <w:r>
              <w:rPr>
                <w:sz w:val="20"/>
                <w:rFonts w:asciiTheme="minorHAnsi" w:hAnsiTheme="minorHAnsi"/>
              </w:rPr>
              <w:t xml:space="preserve">en el apartado 2, el subapartado 1 se sustituye por lo siguiente:</w:t>
            </w:r>
            <w:r>
              <w:rPr>
                <w:sz w:val="20"/>
                <w:rFonts w:asciiTheme="minorHAnsi" w:hAnsiTheme="minorHAnsi"/>
              </w:rPr>
              <w:t xml:space="preserve"> </w:t>
            </w:r>
          </w:p>
          <w:p w14:paraId="1D219E45" w14:textId="77777777" w:rsidR="00873667" w:rsidRDefault="00873667">
            <w:pPr>
              <w:spacing w:after="0" w:line="240" w:lineRule="auto"/>
              <w:ind w:left="352"/>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El Gobierno está estableciendo un registro de los techos de los edificios ocupados por las autoridades públicas y que podrían albergar antenas.</w:t>
            </w:r>
            <w:r>
              <w:rPr>
                <w:sz w:val="20"/>
                <w:rFonts w:asciiTheme="minorHAnsi" w:hAnsiTheme="minorHAnsi"/>
              </w:rPr>
              <w:t xml:space="preserve"> </w:t>
            </w:r>
            <w:r>
              <w:rPr>
                <w:sz w:val="20"/>
                <w:rFonts w:asciiTheme="minorHAnsi" w:hAnsiTheme="minorHAnsi"/>
              </w:rPr>
              <w:t xml:space="preserve">Este registro se actualiza regularmente.».</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8.</w:t>
            </w:r>
          </w:p>
          <w:p w14:paraId="588CB09A"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En la misma Ordenanza, después del artículo 8 se inserta el epígrafe siguiente:</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Obligación general de los operadores».</w:t>
            </w:r>
          </w:p>
          <w:p w14:paraId="020B4B57" w14:textId="77777777" w:rsidR="00873667" w:rsidRDefault="00873667">
            <w:pPr>
              <w:spacing w:after="0" w:line="240" w:lineRule="auto"/>
              <w:jc w:val="both"/>
              <w:rPr>
                <w:rFonts w:asciiTheme="minorHAnsi" w:hAnsiTheme="minorHAnsi"/>
                <w:bCs/>
                <w:sz w:val="20"/>
                <w:szCs w:val="20"/>
                <w:lang w:val="fr-BE"/>
              </w:rPr>
            </w:pPr>
          </w:p>
          <w:p w14:paraId="0655FE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En la misma ordenanza, se inserta el artículo 8 </w:t>
            </w:r>
            <w:r>
              <w:rPr>
                <w:sz w:val="20"/>
                <w:i/>
                <w:iCs/>
                <w:rFonts w:asciiTheme="minorHAnsi" w:hAnsiTheme="minorHAnsi"/>
              </w:rPr>
              <w:t xml:space="preserve">bis</w:t>
            </w:r>
            <w:r>
              <w:rPr>
                <w:sz w:val="20"/>
                <w:rFonts w:asciiTheme="minorHAnsi" w:hAnsiTheme="minorHAnsi"/>
              </w:rPr>
              <w:t xml:space="preserve">, bajo el epígrafe insertado por el apartado 1, como sigue a continuación:</w:t>
            </w:r>
          </w:p>
          <w:p w14:paraId="2C135F09"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Artículo 8 </w:t>
            </w:r>
            <w:r>
              <w:rPr>
                <w:sz w:val="20"/>
                <w:i/>
                <w:iCs/>
                <w:rFonts w:asciiTheme="minorHAnsi" w:hAnsiTheme="minorHAnsi"/>
              </w:rPr>
              <w:t xml:space="preserve">bis</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Los operadores cuya lista es establecida por el Gobierno están obligados a crear y apoyar campañas de información con el fin de sensibilizar sobre la prevención de los residuos resultantes de sus actividades, en particular en vista de la evolución tecnológica y la renovación de los dispositivos conectados.</w:t>
            </w:r>
            <w:r>
              <w:rPr>
                <w:sz w:val="20"/>
                <w:rFonts w:asciiTheme="minorHAnsi" w:hAnsiTheme="minorHAnsi"/>
              </w:rPr>
              <w:t xml:space="preserve"> </w:t>
            </w:r>
          </w:p>
          <w:p w14:paraId="7E31B7B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Estas campañas de información informan al público, en particular, del uso racional desde el punto de vista medioambiental de los productos, del valor de la reutilización y de la preparación para la reutilización de los productos conectados y, en última instancia, de los sistemas de recogida y gestión de residuos.</w:t>
            </w:r>
            <w:r>
              <w:rPr>
                <w:sz w:val="20"/>
                <w:rFonts w:asciiTheme="minorHAnsi" w:hAnsiTheme="minorHAnsi"/>
              </w:rPr>
              <w:t xml:space="preserve"> </w:t>
            </w:r>
          </w:p>
          <w:p w14:paraId="54630306"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El Gobierno podrá especificar el contenido, la frecuencia y los términos de las campañas de información que se vayan a llevar a cabo, así como sus destinatarios en función de los objetivos deseados.»;</w:t>
            </w:r>
          </w:p>
          <w:p w14:paraId="7577DD4F" w14:textId="77777777" w:rsidR="00873667" w:rsidRDefault="00873667">
            <w:pPr>
              <w:spacing w:after="0" w:line="240" w:lineRule="auto"/>
              <w:jc w:val="both"/>
              <w:rPr>
                <w:rFonts w:asciiTheme="minorHAnsi" w:hAnsiTheme="minorHAnsi"/>
                <w:bCs/>
                <w:sz w:val="20"/>
                <w:szCs w:val="20"/>
                <w:lang w:val="fr-BE"/>
              </w:rPr>
            </w:pPr>
          </w:p>
          <w:p w14:paraId="127221A1"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3.</w:t>
            </w:r>
            <w:r>
              <w:rPr>
                <w:sz w:val="20"/>
                <w:rFonts w:asciiTheme="minorHAnsi" w:hAnsiTheme="minorHAnsi"/>
              </w:rPr>
              <w:t xml:space="preserve"> </w:t>
            </w:r>
            <w:r>
              <w:rPr>
                <w:sz w:val="20"/>
                <w:rFonts w:asciiTheme="minorHAnsi" w:hAnsiTheme="minorHAnsi"/>
              </w:rPr>
              <w:t xml:space="preserve">En la misma Ordenanza, se inserta, bajo el epígrafe insertado por el apartado 1, el artículo 8 </w:t>
            </w:r>
            <w:r>
              <w:rPr>
                <w:sz w:val="20"/>
                <w:i/>
                <w:iCs/>
                <w:rFonts w:asciiTheme="minorHAnsi" w:hAnsiTheme="minorHAnsi"/>
              </w:rPr>
              <w:t xml:space="preserve">ter</w:t>
            </w:r>
            <w:r>
              <w:rPr>
                <w:sz w:val="20"/>
                <w:rFonts w:asciiTheme="minorHAnsi" w:hAnsiTheme="minorHAnsi"/>
              </w:rPr>
              <w:t xml:space="preserve">, que dice lo siguiente:</w:t>
            </w:r>
            <w:r>
              <w:rPr>
                <w:sz w:val="20"/>
                <w:rFonts w:asciiTheme="minorHAnsi" w:hAnsiTheme="minorHAnsi"/>
              </w:rPr>
              <w:t xml:space="preserve"> </w:t>
            </w:r>
          </w:p>
          <w:p w14:paraId="3F80CF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Artículo 8 </w:t>
            </w:r>
            <w:r>
              <w:rPr>
                <w:sz w:val="20"/>
                <w:i/>
                <w:iCs/>
                <w:rFonts w:asciiTheme="minorHAnsi" w:hAnsiTheme="minorHAnsi"/>
              </w:rPr>
              <w:t xml:space="preserve">ter</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Los operadores cuya lista haya sido establecida por el Gobierno deberán elaborar estadísticas sobre los productos que introduzcan en el mercado y que se recojan como residuos o se estén reutilizando, en el sentido de lo dispuesto en la Ordenanza de 14 de junio de 2012 sobre residuos.»;</w:t>
            </w:r>
            <w:r>
              <w:rPr>
                <w:sz w:val="20"/>
                <w:rFonts w:asciiTheme="minorHAnsi" w:hAnsiTheme="minorHAnsi"/>
              </w:rPr>
              <w:t xml:space="preserve"> </w:t>
            </w:r>
          </w:p>
          <w:p w14:paraId="4BAF6779" w14:textId="77777777" w:rsidR="00873667" w:rsidRDefault="00873667">
            <w:pPr>
              <w:spacing w:after="0" w:line="240" w:lineRule="auto"/>
              <w:jc w:val="both"/>
              <w:rPr>
                <w:rFonts w:asciiTheme="minorHAnsi" w:hAnsiTheme="minorHAnsi"/>
                <w:bCs/>
                <w:sz w:val="20"/>
                <w:szCs w:val="20"/>
                <w:lang w:val="fr-BE"/>
              </w:rPr>
            </w:pPr>
          </w:p>
          <w:p w14:paraId="23215B8F"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Apartado 4.</w:t>
            </w:r>
            <w:r>
              <w:rPr>
                <w:sz w:val="20"/>
                <w:rFonts w:asciiTheme="minorHAnsi" w:hAnsiTheme="minorHAnsi"/>
              </w:rPr>
              <w:t xml:space="preserve"> </w:t>
            </w:r>
            <w:r>
              <w:rPr>
                <w:sz w:val="20"/>
                <w:rFonts w:asciiTheme="minorHAnsi" w:hAnsiTheme="minorHAnsi"/>
              </w:rPr>
              <w:t xml:space="preserve">En la misma Ordenanza, se añade el artículo 8 </w:t>
            </w:r>
            <w:r>
              <w:rPr>
                <w:sz w:val="20"/>
                <w:i/>
                <w:iCs/>
                <w:rFonts w:asciiTheme="minorHAnsi" w:hAnsiTheme="minorHAnsi"/>
              </w:rPr>
              <w:t xml:space="preserve">quater </w:t>
            </w:r>
            <w:r>
              <w:rPr>
                <w:sz w:val="20"/>
                <w:rFonts w:asciiTheme="minorHAnsi" w:hAnsiTheme="minorHAnsi"/>
              </w:rPr>
              <w:t xml:space="preserve">bajo el epígrafe insertado por el apartado 1, que se redacta como sigue:</w:t>
            </w:r>
            <w:r>
              <w:rPr>
                <w:sz w:val="20"/>
                <w:rFonts w:asciiTheme="minorHAnsi" w:hAnsiTheme="minorHAnsi"/>
              </w:rPr>
              <w:t xml:space="preserve"> </w:t>
            </w:r>
          </w:p>
          <w:p w14:paraId="51C2452E"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Artículo 8 </w:t>
            </w:r>
            <w:r>
              <w:rPr>
                <w:sz w:val="20"/>
                <w:i/>
                <w:iCs/>
                <w:rFonts w:asciiTheme="minorHAnsi" w:hAnsiTheme="minorHAnsi"/>
              </w:rPr>
              <w:t xml:space="preserve">quater</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 más tardar el 1 de abril de cada año, los operadores, por separado o colectivamente, presentarán a Bruselas Medio Ambiente un informe anual relativo al año anterior (período comprendido entre el 1 de enero al 31 de diciembre), en el que se detallarán, en particular, las acciones ejecutadas, los importes gastados y los impactos observados en relación con las medidas aplicadas en virtud del artículo 8 </w:t>
            </w:r>
            <w:r>
              <w:rPr>
                <w:sz w:val="20"/>
                <w:i/>
                <w:iCs/>
                <w:rFonts w:asciiTheme="minorHAnsi" w:hAnsiTheme="minorHAnsi"/>
              </w:rPr>
              <w:t xml:space="preserve">bis</w:t>
            </w:r>
            <w:r>
              <w:rPr>
                <w:sz w:val="20"/>
                <w:rFonts w:asciiTheme="minorHAnsi" w:hAnsiTheme="minorHAnsi"/>
              </w:rPr>
              <w:t xml:space="preserve">, así como un informe sobre los datos estadísticos a que se refiere el artículo 8 </w:t>
            </w:r>
            <w:r>
              <w:rPr>
                <w:sz w:val="20"/>
                <w:i/>
                <w:iCs/>
                <w:rFonts w:asciiTheme="minorHAnsi" w:hAnsiTheme="minorHAnsi"/>
              </w:rPr>
              <w:t xml:space="preserve">ter</w:t>
            </w:r>
            <w:r>
              <w:rPr>
                <w:sz w:val="20"/>
                <w:rFonts w:asciiTheme="minorHAnsi" w:hAnsiTheme="minorHAnsi"/>
              </w:rPr>
              <w:t xml:space="preserve">.</w:t>
            </w:r>
          </w:p>
          <w:p w14:paraId="24E4D373"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El Gobierno podrá especificar el contenido del informe anual mencionado en el subapartado anterior y prever la inclusión de información adicional en el presente informe.».</w:t>
            </w:r>
            <w:r>
              <w:rPr>
                <w:sz w:val="20"/>
                <w:rFonts w:asciiTheme="minorHAnsi" w:hAnsiTheme="minorHAnsi"/>
              </w:rPr>
              <w:t xml:space="preserve"> </w:t>
            </w:r>
          </w:p>
          <w:p w14:paraId="79909F2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9.</w:t>
            </w:r>
          </w:p>
          <w:p w14:paraId="17721AD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El epígrafe «Infracciones y sanciones penales» entre el artículo 8 y el artículo 9 de dicha Ordenanza se sustituye por el epígrafe «Infracciones».</w:t>
            </w:r>
            <w:r>
              <w:rPr>
                <w:sz w:val="20"/>
                <w:rFonts w:asciiTheme="minorHAnsi" w:hAnsiTheme="minorHAnsi"/>
              </w:rPr>
              <w:t xml:space="preserve"> </w:t>
            </w:r>
          </w:p>
          <w:p w14:paraId="0F7DA792" w14:textId="77777777" w:rsidR="00873667" w:rsidRDefault="00873667">
            <w:pPr>
              <w:spacing w:after="0" w:line="240" w:lineRule="auto"/>
              <w:jc w:val="both"/>
              <w:rPr>
                <w:rFonts w:asciiTheme="minorHAnsi" w:hAnsiTheme="minorHAnsi"/>
                <w:sz w:val="20"/>
                <w:szCs w:val="20"/>
                <w:lang w:val="fr-BE"/>
              </w:rPr>
            </w:pPr>
          </w:p>
          <w:p w14:paraId="6292353F"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El artículo 9 de la misma Ordenanza se sustituye por el texto siguiente:</w:t>
            </w:r>
            <w:r>
              <w:rPr>
                <w:sz w:val="20"/>
                <w:rFonts w:asciiTheme="minorHAnsi" w:hAnsiTheme="minorHAnsi"/>
              </w:rPr>
              <w:t xml:space="preserve"> </w:t>
            </w:r>
          </w:p>
          <w:p w14:paraId="1E11AE58" w14:textId="77777777" w:rsidR="00873667" w:rsidRDefault="00873667">
            <w:pPr>
              <w:spacing w:after="0" w:line="240" w:lineRule="auto"/>
              <w:ind w:left="200"/>
              <w:jc w:val="both"/>
              <w:rPr>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Será sancionado con la sanción prevista en el artículo 31, apartado 1, del Código de 25 de marzo de 1999 relativo a la inspección, prevención, detección y sanción de las infracciones medioambientales y de la responsabilidad medioambiental, aquel que:</w:t>
            </w:r>
          </w:p>
          <w:p w14:paraId="275A347F"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incumpla las normas a que se refiere el artículo 3 o sus medidas de desarrollo;</w:t>
            </w:r>
          </w:p>
          <w:p w14:paraId="4A9CAD6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incumpla con las obligaciones de información a que se refiere el artículo 4 o sus medidas de desarrollo;</w:t>
            </w:r>
          </w:p>
          <w:p w14:paraId="77B503E8"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incumpla las normas operativas a que se refiere el artículo 5 o sus medidas de desarrollo;</w:t>
            </w:r>
          </w:p>
          <w:p w14:paraId="7663E406"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incumpla con las obligaciones de comunicación y presentación de informes a que se refieren los artículos 8 </w:t>
            </w:r>
            <w:r>
              <w:rPr>
                <w:sz w:val="20"/>
                <w:i/>
                <w:iCs/>
                <w:rFonts w:asciiTheme="minorHAnsi" w:hAnsiTheme="minorHAnsi"/>
              </w:rPr>
              <w:t xml:space="preserve">bis</w:t>
            </w:r>
            <w:r>
              <w:rPr>
                <w:sz w:val="20"/>
                <w:rFonts w:asciiTheme="minorHAnsi" w:hAnsiTheme="minorHAnsi"/>
              </w:rPr>
              <w:t xml:space="preserve">, 8 </w:t>
            </w:r>
            <w:r>
              <w:rPr>
                <w:sz w:val="20"/>
                <w:i/>
                <w:iCs/>
                <w:rFonts w:asciiTheme="minorHAnsi" w:hAnsiTheme="minorHAnsi"/>
              </w:rPr>
              <w:t xml:space="preserve">ter</w:t>
            </w:r>
            <w:r>
              <w:rPr>
                <w:sz w:val="20"/>
                <w:rFonts w:asciiTheme="minorHAnsi" w:hAnsiTheme="minorHAnsi"/>
              </w:rPr>
              <w:t xml:space="preserve"> y 8 </w:t>
            </w:r>
            <w:r>
              <w:rPr>
                <w:sz w:val="20"/>
                <w:i/>
                <w:iCs/>
                <w:rFonts w:asciiTheme="minorHAnsi" w:hAnsiTheme="minorHAnsi"/>
              </w:rPr>
              <w:t xml:space="preserve">quater</w:t>
            </w:r>
            <w:r>
              <w:rPr>
                <w:sz w:val="20"/>
                <w:rFonts w:asciiTheme="minorHAnsi" w:hAnsiTheme="minorHAnsi"/>
              </w:rPr>
              <w:t xml:space="preserve"> o sus medidas de desarrollo;</w:t>
            </w:r>
            <w:r>
              <w:rPr>
                <w:sz w:val="20"/>
                <w:rFonts w:asciiTheme="minorHAnsi" w:hAnsiTheme="minorHAnsi"/>
              </w:rPr>
              <w:t xml:space="preserve"> </w:t>
            </w:r>
          </w:p>
          <w:p w14:paraId="712FA70C" w14:textId="77777777" w:rsidR="00873667" w:rsidRDefault="00873667" w:rsidP="00242999">
            <w:pPr>
              <w:pStyle w:val="ListParagraph"/>
              <w:numPr>
                <w:ilvl w:val="0"/>
                <w:numId w:val="5"/>
              </w:numPr>
              <w:spacing w:after="0" w:line="240" w:lineRule="auto"/>
              <w:jc w:val="both"/>
              <w:rPr>
                <w:sz w:val="20"/>
                <w:szCs w:val="20"/>
                <w:rFonts w:asciiTheme="minorHAnsi" w:hAnsiTheme="minorHAnsi"/>
              </w:rPr>
            </w:pPr>
            <w:r>
              <w:rPr>
                <w:sz w:val="20"/>
                <w:rFonts w:asciiTheme="minorHAnsi" w:hAnsiTheme="minorHAnsi"/>
              </w:rPr>
              <w:t xml:space="preserve">incumpla las normas o condiciones generales a que se refiere el artículo 7 o sus medidas de desarrollo.».</w:t>
            </w:r>
          </w:p>
          <w:p w14:paraId="4C2874B7" w14:textId="77777777" w:rsidR="00873667" w:rsidRDefault="00873667">
            <w:pPr>
              <w:spacing w:after="0" w:line="240" w:lineRule="auto"/>
              <w:jc w:val="both"/>
              <w:rPr>
                <w:rFonts w:asciiTheme="minorHAnsi" w:hAnsiTheme="minorHAnsi"/>
                <w:b/>
                <w:sz w:val="20"/>
                <w:szCs w:val="20"/>
                <w:lang w:val="fr-BE"/>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3.</w:t>
            </w:r>
            <w:r>
              <w:rPr>
                <w:b/>
                <w:sz w:val="20"/>
                <w:rFonts w:asciiTheme="minorHAnsi" w:hAnsiTheme="minorHAnsi"/>
              </w:rPr>
              <w:t xml:space="preserve"> </w:t>
            </w:r>
            <w:r>
              <w:rPr>
                <w:b/>
                <w:sz w:val="20"/>
                <w:rFonts w:asciiTheme="minorHAnsi" w:hAnsiTheme="minorHAnsi"/>
              </w:rPr>
              <w:t xml:space="preserve">Modificación de la Ordenanza de 5 de junio de 1997 sobre permisos medioambientales</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10.</w:t>
            </w:r>
          </w:p>
          <w:p w14:paraId="31F34E3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El artículo 100, apartado 1, de la Ordenanza de 5 de junio de 1997 sobre permisos medioambientales se completa con un subapartado que dice lo siguiente:</w:t>
            </w:r>
            <w:r>
              <w:rPr>
                <w:sz w:val="20"/>
                <w:rFonts w:asciiTheme="minorHAnsi" w:hAnsiTheme="minorHAnsi"/>
              </w:rPr>
              <w:t xml:space="preserve"> </w:t>
            </w:r>
          </w:p>
          <w:p w14:paraId="5E0D7258"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No obstante lo dispuesto en el subapartado 1, no se pagará ninguna tasa de solicitud por una declaración de clase III o clase IC.».</w:t>
            </w:r>
          </w:p>
          <w:p w14:paraId="44E8814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4.</w:t>
            </w:r>
            <w:r>
              <w:rPr>
                <w:b/>
                <w:sz w:val="20"/>
                <w:rFonts w:asciiTheme="minorHAnsi" w:hAnsiTheme="minorHAnsi"/>
              </w:rPr>
              <w:t xml:space="preserve"> </w:t>
            </w:r>
            <w:r>
              <w:rPr>
                <w:b/>
                <w:sz w:val="20"/>
              </w:rPr>
              <w:t xml:space="preserve">Modificación de la Ordenanza de 2 de mayo de 2013 sobre el Código de Control del Aire, el Clima y la Energía de Bruselas</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11.</w:t>
            </w:r>
            <w:r>
              <w:rPr>
                <w:b/>
                <w:sz w:val="20"/>
                <w:rFonts w:asciiTheme="minorHAnsi" w:hAnsiTheme="minorHAnsi"/>
              </w:rPr>
              <w:t xml:space="preserve"> </w:t>
            </w:r>
          </w:p>
          <w:p w14:paraId="0B343ACE"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1.</w:t>
            </w:r>
            <w:r>
              <w:rPr>
                <w:sz w:val="20"/>
                <w:rFonts w:asciiTheme="minorHAnsi" w:hAnsiTheme="minorHAnsi"/>
              </w:rPr>
              <w:t xml:space="preserve"> </w:t>
            </w:r>
            <w:r>
              <w:rPr>
                <w:sz w:val="20"/>
                <w:rFonts w:asciiTheme="minorHAnsi" w:hAnsiTheme="minorHAnsi"/>
              </w:rPr>
              <w:t xml:space="preserve">En el libro 2, título 5, de la Ordenanza de 2 de mayo de 2013 sobre el Código de control del aire, el clima y la energía de Bruselas, se inserta un capítulo 3 titulado «Capítulo 3.</w:t>
            </w:r>
            <w:r>
              <w:rPr>
                <w:sz w:val="20"/>
                <w:rFonts w:asciiTheme="minorHAnsi" w:hAnsiTheme="minorHAnsi"/>
              </w:rPr>
              <w:t xml:space="preserve"> </w:t>
            </w: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Plan digital sostenible y responsable».</w:t>
            </w:r>
          </w:p>
          <w:p w14:paraId="6DC0A343" w14:textId="77777777" w:rsidR="00873667" w:rsidRDefault="00873667">
            <w:pPr>
              <w:spacing w:after="0" w:line="240" w:lineRule="auto"/>
              <w:jc w:val="both"/>
              <w:rPr>
                <w:rFonts w:asciiTheme="minorHAnsi" w:hAnsiTheme="minorHAnsi"/>
                <w:bCs/>
                <w:sz w:val="20"/>
                <w:szCs w:val="20"/>
                <w:lang w:val="fr-BE"/>
              </w:rPr>
            </w:pPr>
          </w:p>
          <w:p w14:paraId="1244248C"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2.</w:t>
            </w:r>
            <w:r>
              <w:rPr>
                <w:sz w:val="20"/>
                <w:rFonts w:asciiTheme="minorHAnsi" w:hAnsiTheme="minorHAnsi"/>
              </w:rPr>
              <w:t xml:space="preserve"> </w:t>
            </w:r>
            <w:r>
              <w:rPr>
                <w:sz w:val="20"/>
                <w:rFonts w:asciiTheme="minorHAnsi" w:hAnsiTheme="minorHAnsi"/>
              </w:rPr>
              <w:t xml:space="preserve">En el capítulo 3 insertado por el apartado 1, el artículo 2.5.8 se inserta como sigue:</w:t>
            </w:r>
            <w:r>
              <w:rPr>
                <w:sz w:val="20"/>
                <w:rFonts w:asciiTheme="minorHAnsi" w:hAnsiTheme="minorHAnsi"/>
              </w:rPr>
              <w:t xml:space="preserve"> </w:t>
            </w:r>
          </w:p>
          <w:p w14:paraId="5B3AD537"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w:t>
            </w:r>
            <w:r>
              <w:rPr>
                <w:sz w:val="20"/>
                <w:rFonts w:asciiTheme="minorHAnsi" w:hAnsiTheme="minorHAnsi"/>
              </w:rPr>
              <w:t xml:space="preserve"> </w:t>
            </w:r>
            <w:r>
              <w:rPr>
                <w:sz w:val="20"/>
                <w:rFonts w:asciiTheme="minorHAnsi" w:hAnsiTheme="minorHAnsi"/>
              </w:rPr>
              <w:t xml:space="preserve">Artículo 2.5.8.</w:t>
            </w:r>
            <w:r>
              <w:rPr>
                <w:sz w:val="20"/>
                <w:rFonts w:asciiTheme="minorHAnsi" w:hAnsiTheme="minorHAnsi"/>
              </w:rPr>
              <w:t xml:space="preserve"> </w:t>
            </w:r>
            <w:r>
              <w:rPr>
                <w:sz w:val="20"/>
                <w:rFonts w:asciiTheme="minorHAnsi" w:hAnsiTheme="minorHAnsi"/>
              </w:rPr>
              <w:t xml:space="preserve">Los operadores y organismos de radiodifusión mencionados en la Ordenanza, de 1 de marzo de 2007, relativa a la protección del medio ambiente contra posibles efectos nocivos y molestias causados por las radiaciones no ionizantes y enumerados por el Gobierno deberán aplicar en la fecha fijada por el Gobierno y, a más tardar, en un plazo de dos años a partir de la entrada en vigor del presente artículo, un “plan digital sostenible y responsable” con miras a reducir el consumo de energía y las emisiones de gases de efecto invernadero de sus actividades, en particular concienciando sobre el aumento del consumo de datos móviles.</w:t>
            </w:r>
            <w:r>
              <w:rPr>
                <w:sz w:val="20"/>
                <w:rFonts w:asciiTheme="minorHAnsi" w:hAnsiTheme="minorHAnsi"/>
              </w:rPr>
              <w:t xml:space="preserve"> </w:t>
            </w:r>
            <w:r>
              <w:rPr>
                <w:sz w:val="20"/>
                <w:rFonts w:asciiTheme="minorHAnsi" w:hAnsiTheme="minorHAnsi"/>
              </w:rPr>
              <w:t xml:space="preserve">El plan está destinado a un período de cinco años y se renueva por cada período sucesivo de cinco años.</w:t>
            </w:r>
            <w:r>
              <w:rPr>
                <w:sz w:val="20"/>
                <w:rFonts w:asciiTheme="minorHAnsi" w:hAnsiTheme="minorHAnsi"/>
              </w:rPr>
              <w:t xml:space="preserve"> </w:t>
            </w:r>
            <w:r>
              <w:rPr>
                <w:sz w:val="20"/>
                <w:rFonts w:asciiTheme="minorHAnsi" w:hAnsiTheme="minorHAnsi"/>
              </w:rPr>
              <w:t xml:space="preserve">El plan es aprobado por Bruselas Medio Ambiente antes de su aplicación.</w:t>
            </w:r>
            <w:r>
              <w:rPr>
                <w:sz w:val="20"/>
                <w:rFonts w:asciiTheme="minorHAnsi" w:hAnsiTheme="minorHAnsi"/>
              </w:rPr>
              <w:t xml:space="preserve"> </w:t>
            </w:r>
          </w:p>
          <w:p w14:paraId="7B128E52"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El Gobierno determinará las condiciones para la preparación y aplicación de este plan.</w:t>
            </w:r>
            <w:r>
              <w:rPr>
                <w:sz w:val="20"/>
                <w:rFonts w:asciiTheme="minorHAnsi" w:hAnsiTheme="minorHAnsi"/>
              </w:rPr>
              <w:t xml:space="preserve"> </w:t>
            </w:r>
            <w:r>
              <w:rPr>
                <w:sz w:val="20"/>
                <w:rFonts w:asciiTheme="minorHAnsi" w:hAnsiTheme="minorHAnsi"/>
              </w:rPr>
              <w:t xml:space="preserve">En particular, establecerá el contenido mínimo del plan y sus condiciones de adopción, modificación y renovación, así como los objetivos cuantificados que debe perseguir el plan.</w:t>
            </w:r>
            <w:r>
              <w:rPr>
                <w:sz w:val="20"/>
                <w:rFonts w:asciiTheme="minorHAnsi" w:hAnsiTheme="minorHAnsi"/>
              </w:rPr>
              <w:t xml:space="preserve"> </w:t>
            </w:r>
            <w:r>
              <w:rPr>
                <w:sz w:val="20"/>
                <w:rFonts w:asciiTheme="minorHAnsi" w:hAnsiTheme="minorHAnsi"/>
              </w:rPr>
              <w:t xml:space="preserve">El Gobierno también puede ampliar la obligación de aplicar un “plan digital sostenible y responsable” a otras personas jurídicas.».</w:t>
            </w:r>
            <w:r>
              <w:rPr>
                <w:sz w:val="20"/>
                <w:rFonts w:asciiTheme="minorHAnsi" w:hAnsiTheme="minorHAnsi"/>
              </w:rPr>
              <w:t xml:space="preserve"> </w:t>
            </w:r>
          </w:p>
          <w:p w14:paraId="11EADCD9" w14:textId="77777777" w:rsidR="00873667" w:rsidRDefault="00873667">
            <w:pPr>
              <w:spacing w:after="0" w:line="240" w:lineRule="auto"/>
              <w:jc w:val="both"/>
              <w:rPr>
                <w:rFonts w:asciiTheme="minorHAnsi" w:hAnsiTheme="minorHAnsi"/>
                <w:b/>
                <w:sz w:val="20"/>
                <w:szCs w:val="20"/>
                <w:lang w:val="fr-BE"/>
              </w:rPr>
            </w:pPr>
          </w:p>
          <w:p w14:paraId="7A272A73"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3.</w:t>
            </w:r>
            <w:r>
              <w:rPr>
                <w:sz w:val="20"/>
                <w:rFonts w:asciiTheme="minorHAnsi" w:hAnsiTheme="minorHAnsi"/>
              </w:rPr>
              <w:t xml:space="preserve"> </w:t>
            </w:r>
            <w:r>
              <w:rPr>
                <w:sz w:val="20"/>
                <w:rFonts w:asciiTheme="minorHAnsi" w:hAnsiTheme="minorHAnsi"/>
              </w:rPr>
              <w:t xml:space="preserve">El artículo 2.6.6 de la misma Ordenanza se completa con una letra f) que dice lo siguiente:</w:t>
            </w:r>
          </w:p>
          <w:p w14:paraId="4B9471C4" w14:textId="77777777" w:rsidR="00873667" w:rsidRDefault="00873667">
            <w:pPr>
              <w:spacing w:after="0" w:line="240" w:lineRule="auto"/>
              <w:ind w:left="200"/>
              <w:jc w:val="both"/>
              <w:rPr>
                <w:bCs/>
                <w:sz w:val="20"/>
                <w:szCs w:val="20"/>
                <w:rFonts w:asciiTheme="minorHAnsi" w:hAnsiTheme="minorHAnsi"/>
              </w:rPr>
            </w:pPr>
            <w:r>
              <w:rPr>
                <w:sz w:val="20"/>
                <w:rFonts w:asciiTheme="minorHAnsi" w:hAnsiTheme="minorHAnsi"/>
              </w:rPr>
              <w:t xml:space="preserve">«f) los operadores, los organismos de radiodifusión y las personas jurídicas que, estando sujetos a la obligación impuesta por el artículo 2.5.8 o en virtud del mismo, no la cumplan.».</w:t>
            </w:r>
          </w:p>
          <w:p w14:paraId="18DD4CF0"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Capítulo 5.</w:t>
            </w:r>
            <w:r>
              <w:rPr>
                <w:b/>
                <w:sz w:val="20"/>
                <w:rFonts w:asciiTheme="minorHAnsi" w:hAnsiTheme="minorHAnsi"/>
              </w:rPr>
              <w:t xml:space="preserve"> </w:t>
            </w:r>
            <w:r>
              <w:rPr>
                <w:b/>
                <w:sz w:val="20"/>
                <w:rFonts w:asciiTheme="minorHAnsi" w:hAnsiTheme="minorHAnsi"/>
              </w:rPr>
              <w:t xml:space="preserve">Disposiciones modificativas, transitorias y de entrada en vigor</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12.</w:t>
            </w:r>
          </w:p>
          <w:p w14:paraId="3B265679" w14:textId="77777777" w:rsidR="00873667" w:rsidRDefault="00873667">
            <w:pPr>
              <w:spacing w:after="0" w:line="240" w:lineRule="auto"/>
              <w:jc w:val="both"/>
              <w:rPr>
                <w:bCs/>
                <w:sz w:val="20"/>
                <w:szCs w:val="20"/>
                <w:rFonts w:asciiTheme="minorHAnsi" w:hAnsiTheme="minorHAnsi"/>
              </w:rPr>
            </w:pPr>
            <w:r>
              <w:rPr>
                <w:sz w:val="20"/>
                <w:rFonts w:asciiTheme="minorHAnsi" w:hAnsiTheme="minorHAnsi"/>
              </w:rPr>
              <w:t xml:space="preserve">Queda derogado el artículo 10 de la Ordenanza, de 1 de marzo de 2007, relativa a la protección del medio ambiente contra los efectos nocivos y las molestias causados por las radiaciones no ionizantes.</w:t>
            </w:r>
            <w:r>
              <w:rPr>
                <w:sz w:val="20"/>
                <w:rFonts w:asciiTheme="minorHAnsi" w:hAnsiTheme="minorHAnsi"/>
              </w:rPr>
              <w:t xml:space="preserve"> </w:t>
            </w:r>
          </w:p>
          <w:p w14:paraId="48D02DBB" w14:textId="77777777" w:rsidR="00873667" w:rsidRDefault="00873667">
            <w:pPr>
              <w:spacing w:after="0" w:line="240" w:lineRule="auto"/>
              <w:jc w:val="both"/>
              <w:rPr>
                <w:rFonts w:asciiTheme="minorHAnsi" w:hAnsiTheme="minorHAnsi"/>
                <w:b/>
                <w:sz w:val="20"/>
                <w:szCs w:val="20"/>
                <w:lang w:val="fr-BE"/>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13.</w:t>
            </w:r>
          </w:p>
          <w:p w14:paraId="0F8B4BF1"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En un plazo de treinta días a partir de la entrada en vigor de la presente Ordenanza, Bruselas Medio Ambiente notificará a los operadores cuyos permisos medioambientales contribuyan a cualquier rebasamiento de las normas a que se refiere el artículo 3, apartado 1 </w:t>
            </w:r>
            <w:r>
              <w:rPr>
                <w:sz w:val="20"/>
                <w:i/>
                <w:iCs/>
                <w:rFonts w:asciiTheme="minorHAnsi" w:hAnsiTheme="minorHAnsi"/>
              </w:rPr>
              <w:t xml:space="preserve">bis</w:t>
            </w:r>
            <w:r>
              <w:rPr>
                <w:sz w:val="20"/>
                <w:rFonts w:asciiTheme="minorHAnsi" w:hAnsiTheme="minorHAnsi"/>
              </w:rPr>
              <w:t xml:space="preserve">, de la Ordenanza, de 1 de marzo de 2007, relativa a la protección del medio ambiente contra los efectos nocivos y molestias causados por las radiaciones no ionizantes, tal como se inserta en la presente Ordenanza, su obligación de presentar, en el plazo de dos meses, una solicitud de permiso medioambiental para cumplir las obligaciones de la Ordenanza, de 1 de marzo de 2007, relativa a la protección del medio ambiente contra posibles efectos nocivos y molestias causados por las radiaciones no ionizantes según se modifica en la presente Ordenanza.</w:t>
            </w:r>
            <w:r>
              <w:rPr>
                <w:sz w:val="20"/>
                <w:rFonts w:asciiTheme="minorHAnsi" w:hAnsiTheme="minorHAnsi"/>
              </w:rPr>
              <w:t xml:space="preserve"> </w:t>
            </w:r>
          </w:p>
          <w:p w14:paraId="6DED1FE9" w14:textId="77777777" w:rsidR="00873667" w:rsidRDefault="00873667">
            <w:pPr>
              <w:spacing w:after="0" w:line="240" w:lineRule="auto"/>
              <w:jc w:val="both"/>
              <w:rPr>
                <w:sz w:val="20"/>
                <w:szCs w:val="20"/>
                <w:rFonts w:asciiTheme="minorHAnsi" w:hAnsiTheme="minorHAnsi"/>
              </w:rPr>
            </w:pPr>
            <w:r>
              <w:rPr>
                <w:sz w:val="20"/>
                <w:rFonts w:asciiTheme="minorHAnsi" w:hAnsiTheme="minorHAnsi"/>
              </w:rPr>
              <w:t xml:space="preserve">El funcionamiento de las antenas en cuestión por parte de los operadores podrá continuar sin perjuicio de las normas contempladas en el artículo 3, apartado 1 </w:t>
            </w:r>
            <w:r>
              <w:rPr>
                <w:sz w:val="20"/>
                <w:i/>
                <w:iCs/>
                <w:rFonts w:asciiTheme="minorHAnsi" w:hAnsiTheme="minorHAnsi"/>
              </w:rPr>
              <w:t xml:space="preserve">bis</w:t>
            </w:r>
            <w:r>
              <w:rPr>
                <w:sz w:val="20"/>
                <w:rFonts w:asciiTheme="minorHAnsi" w:hAnsiTheme="minorHAnsi"/>
              </w:rPr>
              <w:t xml:space="preserve">, de la Ordenanza, de 1 de marzo de 2007, relativa a la protección del medio ambiente contra los efectos nocivos y molestias causados por las radiaciones no ionizantes, tal como se inserta en la presente Ordenanza hasta que se notifique la decisión sobre la solicitud de permiso medioambiental.</w:t>
            </w:r>
            <w:r>
              <w:rPr>
                <w:sz w:val="20"/>
                <w:rFonts w:asciiTheme="minorHAnsi" w:hAnsiTheme="minorHAnsi"/>
              </w:rPr>
              <w:t xml:space="preserve"> </w:t>
            </w:r>
          </w:p>
          <w:p w14:paraId="3CEE12CC" w14:textId="77777777" w:rsidR="00873667" w:rsidRDefault="00873667">
            <w:pPr>
              <w:spacing w:after="0" w:line="240" w:lineRule="auto"/>
              <w:jc w:val="both"/>
              <w:rPr>
                <w:rFonts w:asciiTheme="minorHAnsi" w:hAnsiTheme="minorHAnsi"/>
                <w:b/>
                <w:sz w:val="20"/>
                <w:szCs w:val="20"/>
                <w:lang w:val="fr-BE"/>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b/>
                <w:sz w:val="20"/>
                <w:szCs w:val="20"/>
                <w:rFonts w:asciiTheme="minorHAnsi" w:hAnsiTheme="minorHAnsi"/>
              </w:rPr>
            </w:pPr>
            <w:r>
              <w:rPr>
                <w:b/>
                <w:sz w:val="20"/>
                <w:rFonts w:asciiTheme="minorHAnsi" w:hAnsiTheme="minorHAnsi"/>
              </w:rPr>
              <w:t xml:space="preserve">Artículo 14.</w:t>
            </w:r>
            <w:r>
              <w:rPr>
                <w:b/>
                <w:sz w:val="20"/>
                <w:rFonts w:asciiTheme="minorHAnsi" w:hAnsiTheme="minorHAnsi"/>
              </w:rPr>
              <w:t xml:space="preserve"> </w:t>
            </w:r>
          </w:p>
          <w:p w14:paraId="4670636C" w14:textId="77777777" w:rsidR="00873667" w:rsidRDefault="00873667">
            <w:pPr>
              <w:spacing w:after="0" w:line="240" w:lineRule="auto"/>
              <w:jc w:val="both"/>
              <w:rPr>
                <w:b/>
                <w:sz w:val="20"/>
                <w:szCs w:val="20"/>
                <w:rFonts w:asciiTheme="minorHAnsi" w:hAnsiTheme="minorHAnsi"/>
              </w:rPr>
            </w:pPr>
            <w:r>
              <w:rPr>
                <w:sz w:val="20"/>
                <w:rFonts w:asciiTheme="minorHAnsi" w:hAnsiTheme="minorHAnsi"/>
              </w:rPr>
              <w:t xml:space="preserve">La presente Ordenanza entrará en vigor el primer día del mes siguiente al vencimiento del plazo de diez días que comienza a partir del día siguiente a su publicación en el Boletín Oficial belga, con excepción de lo dispuesto en el artículo 5, apartados 2 (solo en lo que respecta al artículo 4, apartado 3, futuro de la Ordenanza de 1 de marzo de 2007 relativa a la protección del medioambiente contra los efectos nocivos y molestias causados por las radiaciones no ionizantes), 8 y 11, cuya fecha de entrada en vigor es fijada por el Gobierno.</w:t>
            </w:r>
            <w:r>
              <w:rPr>
                <w:sz w:val="20"/>
                <w:rFonts w:asciiTheme="minorHAnsi" w:hAnsiTheme="minorHAnsi"/>
              </w:rPr>
              <w:t xml:space="preserve"> </w:t>
            </w:r>
          </w:p>
          <w:p w14:paraId="60A2F821" w14:textId="77777777" w:rsidR="00873667" w:rsidRDefault="00873667">
            <w:pPr>
              <w:spacing w:after="0" w:line="240" w:lineRule="auto"/>
              <w:jc w:val="both"/>
              <w:rPr>
                <w:rFonts w:asciiTheme="minorHAnsi" w:hAnsiTheme="minorHAnsi"/>
                <w:b/>
                <w:sz w:val="20"/>
                <w:szCs w:val="20"/>
                <w:lang w:val="fr-BE"/>
              </w:rPr>
            </w:pPr>
          </w:p>
        </w:tc>
      </w:tr>
    </w:tbl>
    <w:p w14:paraId="155A3904" w14:textId="414A1C9B" w:rsidR="00873667" w:rsidRDefault="00873667" w:rsidP="00873667">
      <w:pPr>
        <w:rPr>
          <w:lang w:val="fr-BE"/>
        </w:rPr>
      </w:pPr>
    </w:p>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Bruselas,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sz w:val="20"/>
                <w:szCs w:val="20"/>
                <w:rFonts w:asciiTheme="minorHAnsi" w:hAnsiTheme="minorHAnsi"/>
              </w:rPr>
            </w:pPr>
            <w:r>
              <w:rPr>
                <w:sz w:val="20"/>
                <w:rFonts w:asciiTheme="minorHAnsi" w:hAnsiTheme="minorHAnsi"/>
              </w:rPr>
              <w:t xml:space="preserve">Por el Gobierno de la Región de Bruselas-Capital,</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R. VERVOORT</w:t>
      </w:r>
    </w:p>
    <w:p w14:paraId="4D31CE76" w14:textId="3E9F61CF"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Ministro-Presidente de la Región de Bruselas-Capital.</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E. VAN DEN BRANDT</w:t>
      </w:r>
    </w:p>
    <w:p w14:paraId="0FD79330" w14:textId="037809FC" w:rsid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Ministra de Movilidad, Obras Públicas y Seguridad Vial.</w:t>
      </w:r>
    </w:p>
    <w:p w14:paraId="2F23BC79"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5C36561A" w14:textId="77777777" w:rsidR="00873667" w:rsidRPr="00404725"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A. MARON</w:t>
      </w:r>
    </w:p>
    <w:p w14:paraId="67F20717" w14:textId="3CC9598F" w:rsidR="00873667" w:rsidRPr="00AD5588"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 de Transición Climática, Medio Ambiente, Energía y Democracia Participativa.</w:t>
      </w:r>
    </w:p>
    <w:p w14:paraId="4B06F6AA"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S. GATZ</w:t>
      </w:r>
    </w:p>
    <w:p w14:paraId="215BED01" w14:textId="5190AA1C"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 de Hacienda, Presupuesto, Función Pública, Promoción del Multilingüismo e Imagen de Bruselas.</w:t>
      </w:r>
    </w:p>
    <w:p w14:paraId="5E9FF636"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39B54DF5"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CERLFAYT</w:t>
      </w:r>
    </w:p>
    <w:p w14:paraId="5443ECE7" w14:textId="4C81C041" w:rsidR="00873667" w:rsidRPr="00873667"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Ministro de Empleo y Formación Profesional, Transición Digital, Autoridades Locales y Bienestar Animal.</w:t>
      </w:r>
    </w:p>
    <w:p w14:paraId="76D391AC" w14:textId="77777777" w:rsidR="00873667" w:rsidRPr="00873667" w:rsidRDefault="00873667" w:rsidP="00873667">
      <w:pPr>
        <w:spacing w:after="0" w:line="240" w:lineRule="auto"/>
        <w:jc w:val="center"/>
        <w:rPr>
          <w:rFonts w:asciiTheme="minorHAnsi" w:hAnsiTheme="minorHAnsi" w:cstheme="minorHAnsi"/>
          <w:sz w:val="20"/>
          <w:szCs w:val="20"/>
          <w:lang w:val="fr-BE"/>
        </w:rPr>
      </w:pPr>
    </w:p>
    <w:p w14:paraId="2D887231"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N. BEN HAMOU</w:t>
      </w:r>
    </w:p>
    <w:p w14:paraId="66917B45"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Secretaria de Estado de Vivienda e Igualdad de Oportunidades.</w:t>
      </w:r>
    </w:p>
    <w:p w14:paraId="6FA2FE24"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5AFC9699"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B. TRACHTE</w:t>
      </w:r>
    </w:p>
    <w:p w14:paraId="272A5E99" w14:textId="77777777" w:rsidR="00873667" w:rsidRPr="00B93F33" w:rsidRDefault="00873667" w:rsidP="00873667">
      <w:pPr>
        <w:spacing w:after="0" w:line="240" w:lineRule="auto"/>
        <w:jc w:val="center"/>
        <w:rPr>
          <w:sz w:val="20"/>
          <w:szCs w:val="20"/>
          <w:rFonts w:asciiTheme="minorHAnsi" w:hAnsiTheme="minorHAnsi" w:cstheme="minorHAnsi"/>
        </w:rPr>
      </w:pPr>
      <w:r>
        <w:rPr>
          <w:sz w:val="20"/>
          <w:rFonts w:asciiTheme="minorHAnsi" w:hAnsiTheme="minorHAnsi"/>
        </w:rPr>
        <w:t xml:space="preserve">Secretaria de Estado de Transición Económica e Investigación Científica.</w:t>
      </w:r>
    </w:p>
    <w:p w14:paraId="42F74CF6" w14:textId="77777777" w:rsidR="00873667" w:rsidRPr="00404725" w:rsidRDefault="00873667" w:rsidP="00873667">
      <w:pPr>
        <w:spacing w:after="0" w:line="240" w:lineRule="auto"/>
        <w:rPr>
          <w:rFonts w:asciiTheme="minorHAnsi" w:hAnsiTheme="minorHAnsi" w:cstheme="minorHAnsi"/>
          <w:sz w:val="20"/>
          <w:szCs w:val="20"/>
          <w:lang w:val="fr-FR"/>
        </w:rPr>
      </w:pPr>
    </w:p>
    <w:p w14:paraId="03B3C3B2" w14:textId="77777777" w:rsidR="00873667" w:rsidRPr="00B93F33" w:rsidRDefault="00873667" w:rsidP="00873667">
      <w:pPr>
        <w:spacing w:after="0" w:line="240" w:lineRule="auto"/>
        <w:jc w:val="center"/>
        <w:rPr>
          <w:b/>
          <w:bCs/>
          <w:sz w:val="20"/>
          <w:szCs w:val="20"/>
          <w:rFonts w:asciiTheme="minorHAnsi" w:hAnsiTheme="minorHAnsi" w:cstheme="minorHAnsi"/>
        </w:rPr>
      </w:pPr>
      <w:r>
        <w:rPr>
          <w:b/>
          <w:sz w:val="20"/>
          <w:rFonts w:asciiTheme="minorHAnsi" w:hAnsiTheme="minorHAnsi"/>
        </w:rPr>
        <w:t xml:space="preserve">P. SMET</w:t>
      </w:r>
    </w:p>
    <w:p w14:paraId="2267296E" w14:textId="77777777" w:rsidR="00873667" w:rsidRPr="00B93F33" w:rsidRDefault="00873667" w:rsidP="00873667">
      <w:pPr>
        <w:spacing w:after="0" w:line="240" w:lineRule="auto"/>
        <w:jc w:val="center"/>
        <w:rPr>
          <w:b/>
          <w:bCs/>
          <w:caps/>
          <w:sz w:val="20"/>
          <w:szCs w:val="20"/>
          <w:u w:val="single"/>
          <w:rFonts w:asciiTheme="minorHAnsi" w:hAnsiTheme="minorHAnsi" w:cstheme="minorHAnsi"/>
        </w:rPr>
      </w:pPr>
      <w:r>
        <w:rPr>
          <w:sz w:val="20"/>
          <w:rFonts w:asciiTheme="minorHAnsi" w:hAnsiTheme="minorHAnsi"/>
        </w:rPr>
        <w:t xml:space="preserve">Secretario de Estado de Urbanismo y Patrimonio, Relaciones Europeas e Internacionales, Comercio Exterior y Lucha contra el Incendio y Ayuda Médica de Emergencia.</w:t>
      </w:r>
    </w:p>
    <w:p w14:paraId="53382B18" w14:textId="28B96DA2" w:rsidR="00873667" w:rsidRPr="00404725" w:rsidRDefault="00873667" w:rsidP="00873667">
      <w:pPr>
        <w:rPr>
          <w:lang w:val="fr-FR"/>
        </w:rPr>
      </w:pPr>
    </w:p>
    <w:sectPr w:rsidR="00873667" w:rsidRPr="0040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3878</Words>
  <Characters>22107</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Liana Brili</cp:lastModifiedBy>
  <cp:revision>5</cp:revision>
  <dcterms:created xsi:type="dcterms:W3CDTF">2022-10-04T13:25:00Z</dcterms:created>
  <dcterms:modified xsi:type="dcterms:W3CDTF">2022-10-12T11:00:00Z</dcterms:modified>
</cp:coreProperties>
</file>