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Beļģijas Karaliste</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FEDERĀLAIS SABIEDRISKAIS DIENESTS SABIEDRĪBAS VESELĪBAS, PĀRTIKAS APRITES NEKAITĪGUMA UN VIDES JOMĀ</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Karaļa dekrēts, ar ko groza 2016. gada 28. oktobra Karaļa dekrētu par elektronisko cigarešu ražošanu un tirdzniecību</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FILIPS, Beļģijas karalis,</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Sveicieni visiem klātesošajiem un gaidāmajiem!</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Ņemot vērā 1977. gada 24. janvāra Likumu par patērētāju veselības aizsardzību attiecībā uz pārtikas produktiem un citiem produktiem, jo īpaši tā 6. panta 1. punkta a) apakšpunktu, kas grozīts ar 1989. gada 22. marta aktu, 10. panta 1. punktu, kas aizstāts ar 1994. gada 9. februāra aktu, un 10. panta 3. punktu, kas aizstāts ar 2014. gada 10. aprīļa aktu, un 18. panta 1. punktu, kas aizstāts ar 1989. gada 22. marta aktu un kas grozīts ar 2003. gada 22. decembra aktu,</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Ņemot vērā 2016. gada 28. oktobra Karaļa dekrētu par elektronisko cigarešu ražošanu un tirdzniecību;</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Ņemot vērā Finanšu inspekcijas atzinumu, kas izdots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Ņemot vērā Valsts padomes atzinumu </w:t>
            </w:r>
            <w:r>
              <w:rPr>
                <w:sz w:val="22"/>
                <w:highlight w:val="yellow"/>
                <w:rFonts w:ascii="Garamond" w:hAnsi="Garamond"/>
              </w:rPr>
              <w:t xml:space="preserve">...</w:t>
            </w:r>
            <w:r>
              <w:rPr>
                <w:sz w:val="22"/>
                <w:rFonts w:ascii="Garamond" w:hAnsi="Garamond"/>
              </w:rPr>
              <w:t xml:space="preserve">, kas izdots </w:t>
            </w:r>
            <w:r>
              <w:rPr>
                <w:sz w:val="22"/>
                <w:highlight w:val="yellow"/>
                <w:rFonts w:ascii="Garamond" w:hAnsi="Garamond"/>
              </w:rPr>
              <w:t xml:space="preserve">XX</w:t>
            </w:r>
            <w:r>
              <w:rPr>
                <w:sz w:val="22"/>
                <w:rFonts w:ascii="Garamond" w:hAnsi="Garamond"/>
              </w:rPr>
              <w:t xml:space="preserve"> saskaņā ar 84. panta 1. punkta 1. un 2. apakšpunktu Aktos par Valsts padomi, kas konsolidēti 1973. gada 12. janvārī,</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Pēc ekonomikas ministra, sabiedrības veselības ministra un mazo un vidējo uzņēmumu ministra priekšlikuma,</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ESMU PASLUDINĀJIS UN AR ŠO PASLUDINU</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bCs/>
                <w:rFonts w:ascii="Garamond" w:hAnsi="Garamond"/>
              </w:rPr>
              <w:t xml:space="preserve">1. pants.</w:t>
            </w:r>
            <w:r>
              <w:rPr>
                <w:sz w:val="22"/>
                <w:rFonts w:ascii="Garamond" w:hAnsi="Garamond"/>
              </w:rPr>
              <w:t xml:space="preserve"> </w:t>
            </w:r>
            <w:r>
              <w:rPr>
                <w:sz w:val="22"/>
                <w:rFonts w:ascii="Garamond" w:hAnsi="Garamond"/>
              </w:rPr>
              <w:t xml:space="preserve">Karaļa 2016. gada 28. oktobra dekrēta par elektronisko cigarešu ražošanu un tirdzniecību 2. pantā ir izdarīti šādi grozījumi:</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1. punktā starp vārdiem “tvaiku, kas satur” un vārdu “nikotīnu” iekļauj vārdus “vai nav”;</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iekļauj 2. punkta 1. apakšpunktu, kurā teikts:</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atkārtoti uzpildāms flakons bez nikotīna: tvertne, kurā ir šķidrums, kas nesatur nikotīnu un ko var izmantot elektroniskās cigaretes uzpildīšanai;”;</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iekļauj 10. punkta 1. apakšpunktu, kurā teikts:</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minētā pārrobežu tālpārdošana: tālpārdošana patērētājiem, ja patērētājs, pasūtot preci no mazumtirgotāja, atrodas dalībvalstī, kas nav tā dalībvalsts vai trešā valsts, kurā minētais mazumtirgotājs veic uzņēmējdarbību;</w:t>
            </w:r>
            <w:r>
              <w:rPr>
                <w:sz w:val="22"/>
                <w:rFonts w:ascii="Garamond" w:hAnsi="Garamond"/>
              </w:rPr>
              <w:t xml:space="preserve"> </w:t>
            </w:r>
            <w:r>
              <w:rPr>
                <w:sz w:val="22"/>
                <w:rFonts w:ascii="Garamond" w:hAnsi="Garamond"/>
              </w:rPr>
              <w:t xml:space="preserve">uzskata, ka mazumtirgotājs veic uzņēmējdarbību dalībvalstī:</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fiziskām personām: ja tās uzņēmējdarbības vieta ir minētajā dalībvalstī;</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citos gadījumos: ja tās juridiskā adrese, centrālā administrācija vai uzņēmējdarbības vieta, tostarp filiāle, aģentūra vai jebkurš cits uzņēmums, atrodas minētajā dalībvalstī;”;</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13. punktu aizstāj ar šādu:</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importētājs: īpašnieks vai persona, kurai ir tiesības atbrīvoties no Eiropas Savienības teritorijā ievestām elektroniskajām cigaretēm, uzpildes flakoniem un bez nikotīna uzpildes flakoniem;”;</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iekļauj 13. punkta 1. apakšpunktu, kurā teikts:</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importētājs Beļģijā:</w:t>
            </w:r>
            <w:r>
              <w:rPr>
                <w:sz w:val="22"/>
                <w:rFonts w:ascii="Garamond" w:hAnsi="Garamond"/>
              </w:rPr>
              <w:t xml:space="preserve">  </w:t>
            </w:r>
            <w:r>
              <w:rPr>
                <w:sz w:val="22"/>
                <w:rFonts w:ascii="Garamond" w:hAnsi="Garamond"/>
              </w:rPr>
              <w:t xml:space="preserve">Beļģijas teritorijā ievesto elektronisko cigarešu, uzpildes flakonu un bez nikotīna uzpildes flakonu īpašnieks vai persona, kurai ir tiesības rīkoties ar tām;”;</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sarakstu papildina ar 18., 19. un 20. punktu, kas ir šādi:</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brīdinājums par ietekmi uz veselību: brīdinājums par produkta nelabvēlīgo ietekmi uz cilvēku veselību vai par citām neparedzētām tā lietošanas sekām;</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aromāts: piedeva, kas piešķir smaržu un/vai garšu;</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mazumtirgotājs: jebkurā tirdzniecības vietā, kurā tirgū laiž elektroniskās cigaretes, uzpildes flakonus un bez nikotīna uzpildes flakonus, tostarp fiziskas personas.”;</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b/>
                <w:bCs/>
                <w:rFonts w:ascii="Garamond" w:hAnsi="Garamond"/>
              </w:rPr>
              <w:t xml:space="preserve">2. pants.</w:t>
            </w:r>
            <w:r>
              <w:rPr>
                <w:sz w:val="22"/>
                <w:rFonts w:ascii="Garamond" w:hAnsi="Garamond"/>
              </w:rPr>
              <w:t xml:space="preserve"> </w:t>
            </w:r>
            <w:r>
              <w:rPr>
                <w:sz w:val="22"/>
                <w:rFonts w:ascii="Garamond" w:hAnsi="Garamond"/>
              </w:rPr>
              <w:t xml:space="preserve">Tā paša dekrēta, kas grozīts ar Karaļa 2017. gada 17. maija dekrētu, 3. pantu aizstāj ar šādu:</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“3. pants Paziņošana</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Par elektronisko cigarešu un uzpildes flakonu tirdzniecību ir jāziņo dienestam.</w:t>
            </w:r>
            <w:r>
              <w:rPr>
                <w:sz w:val="22"/>
                <w:rFonts w:ascii="Garamond" w:hAnsi="Garamond"/>
              </w:rPr>
              <w:t xml:space="preserve"> </w:t>
            </w:r>
            <w:r>
              <w:rPr>
                <w:sz w:val="22"/>
                <w:rFonts w:ascii="Garamond" w:hAnsi="Garamond"/>
              </w:rPr>
              <w:t xml:space="preserve">Ražotājs vai importētājs, vai importētājs Beļģijā, ja pirmajiem diviem nav juridiskās adreses Beļģijā un nav paziņojis par produktu, paziņo dienestam par visām elektroniskajām cigaretēm un uzpildes flakoniem, ko tas plāno laist tirgū.</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Šo paziņojumu iesniedz elektroniskā formā sešus mēnešus pirms plānotās tirdzniecības dienas.</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Atkarībā no tā, vai paziņojums attiecas uz elektronisko cigareti vai uzpildes flakonu, paziņojumā iekļauj šādu informāciju:</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ražotāja, importētāja un importētāja Beļģijā nosaukumu un kontaktinformāciju;</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visu produkta sastāvdaļu sarakstu un emisijas, kas rodas, lietojot šo produktu, pēc zīmola un veida, norādot to daudzumu;</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toksikoloģiskos datus, kas attiecas uz produkta sastāvdaļām un emisijām, tai skaitā karsējot, jo īpaši attiecībā uz to ietekmi uz patērētāju veselību ieelpojot, un,</w:t>
            </w:r>
            <w:r>
              <w:rPr>
                <w:sz w:val="22"/>
                <w:i/>
                <w:iCs/>
                <w:rFonts w:ascii="Garamond" w:hAnsi="Garamond"/>
              </w:rPr>
              <w:t xml:space="preserve"> inter alia</w:t>
            </w:r>
            <w:r>
              <w:rPr>
                <w:sz w:val="22"/>
                <w:rFonts w:ascii="Garamond" w:hAnsi="Garamond"/>
              </w:rPr>
              <w:t xml:space="preserve">, ņemot vērā jebkādu atkarību;</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informāciju par nikotīna devu un ieelpošanu normālos vai saprātīgi paredzamos patēriņa apstākļos;</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produkta sastāvdaļu aprakstu, tostarp, ja nepieciešams, elektroniskās cigaretes vai uzpildes tvertnes atvēršanas un uzpildes mehānismu;</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ražošanas procesa aprakstu, jo īpaši norādot, vai tas ietver masveida ražošanu, un deklarāciju, ka ražošanas process nodrošina atbilstību šā panta prasībām;</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deklarāciju, ka ražotājs, importētājs un importētājs Beļģijā uzņemas pilnu atbildību par produkta kvalitāti un drošumu, to laižot tirgū un normālos vai saprātīgi paredzamos lietošanas apstākļos;</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iepakojuma vienību un ārējā iepakojuma marķējumu un lietošanas instrukcijas saturu, kā minēts šā dekrēta 5. panta 9. punktā.</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Ja dienests uzskata, ka iesniegtā informācija ir nepilnīga, tam ir tiesības pieprasīt tās papildināšanu.</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Informācija par produktu, kas sniegta saskaņā ar šā panta 3. punktu, ir pieejama Pakalpojuma tīmekļa vietnē, ja Pakalpojums uzskata, ka tā ir pilnīga, un ir samaksāts šā panta 7. punktā minētais rēķins.</w:t>
            </w:r>
            <w:r>
              <w:rPr>
                <w:sz w:val="22"/>
                <w:rFonts w:ascii="Garamond" w:hAnsi="Garamond"/>
              </w:rPr>
              <w:t xml:space="preserve"> </w:t>
            </w:r>
            <w:r>
              <w:rPr>
                <w:sz w:val="22"/>
                <w:rFonts w:ascii="Garamond" w:hAnsi="Garamond"/>
              </w:rPr>
              <w:t xml:space="preserve">Produktus, kas nav iekļauti Servisa tīmekļa vietnē publicētajā apstiprināto produktu sarakstā, nevar laist tirgū.</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Ievadot informāciju, jānorāda informācija, kas veido komercnoslēpumu vai ir konfidenciāla kādā citā veidā.</w:t>
            </w:r>
            <w:r>
              <w:rPr>
                <w:sz w:val="22"/>
                <w:rFonts w:ascii="Garamond" w:hAnsi="Garamond"/>
              </w:rPr>
              <w:t xml:space="preserve"> </w:t>
            </w:r>
            <w:r>
              <w:rPr>
                <w:sz w:val="22"/>
                <w:rFonts w:ascii="Garamond" w:hAnsi="Garamond"/>
              </w:rPr>
              <w:t xml:space="preserve">Šie apgalvojumi ir jāpamato pēc pieprasījuma.</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Par konfidenciālu vai komercnoslēpumu neuzskata šādu informāciju:</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sastāvdaļas, ko izmanto daudzumos, kas pārsniedz 0,1 % no šķidruma galīgās formulas;</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pētījumi un dati, kas nosūtīti saskaņā ar šo pantu, jo īpaši attiecībā uz toksicitāti vai atkarību no produktiem.</w:t>
            </w:r>
            <w:r>
              <w:rPr>
                <w:sz w:val="22"/>
                <w:rFonts w:ascii="Garamond" w:hAnsi="Garamond"/>
              </w:rPr>
              <w:t xml:space="preserve"> </w:t>
            </w:r>
            <w:r>
              <w:rPr>
                <w:sz w:val="22"/>
                <w:rFonts w:ascii="Garamond" w:hAnsi="Garamond"/>
              </w:rPr>
              <w:t xml:space="preserve">Ja šie pētījumi ir saistīti ar konkrētām preču zīmēm, svītro tiešas un netiešas atsauces uz preču zīmi un dara pieejamu pārskatīto versiju.</w:t>
            </w:r>
            <w:r>
              <w:rPr>
                <w:sz w:val="22"/>
                <w:rFonts w:ascii="Garamond" w:hAnsi="Garamond"/>
              </w:rPr>
              <w:t xml:space="preserve"> </w:t>
            </w:r>
            <w:r>
              <w:rPr>
                <w:sz w:val="22"/>
                <w:rFonts w:ascii="Garamond" w:hAnsi="Garamond"/>
              </w:rPr>
              <w:t xml:space="preserve">Ikvienai personai, kas sniedz paziņojumu, jānosūta dienestam visi pētījumi un dati, kā arī pārskatītā versija.</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Jebkura persona, kas iesniedz paziņojumu dienestam saskaņā ar 1. līdz 4. punktu, maksā Budžeta fondam izejvielu un produktu maksu EUR 200 apmērā par katru produktu.</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Šī maksa jāsamaksā 30 dienu laikā pēc rēķina nosūtīšanas.</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Šī maksa ir jāmaksā, tiklīdz dati ir ievadīti paziņošanas sistēmā</w:t>
            </w:r>
            <w:r>
              <w:t xml:space="preserve"> </w:t>
            </w:r>
            <w:r>
              <w:rPr>
                <w:sz w:val="22"/>
                <w:rFonts w:ascii="Garamond" w:hAnsi="Garamond"/>
              </w:rPr>
              <w:t xml:space="preserve">kā to noteicis ministrs saskaņā ar 3. panta 13. punktu, un tā ir neatgūstama.</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Ražotājs, importētājs vai importētājs Beļģijā, ja pirmajiem diviem nav juridiskās adreses Beļģijā un nav paziņojuši ražojumu, par katru ražojuma pārveidojumu, kura rezultātā mainās dati, kas nosūtīti saskaņā ar 1. līdz 4. punktu, iesniedz jaunu attiecīgo informāciju.</w:t>
            </w:r>
            <w:r>
              <w:rPr>
                <w:sz w:val="22"/>
                <w:rFonts w:ascii="Garamond" w:hAnsi="Garamond"/>
              </w:rPr>
              <w:t xml:space="preserve"> </w:t>
            </w:r>
            <w:r>
              <w:rPr>
                <w:sz w:val="22"/>
                <w:rFonts w:ascii="Garamond" w:hAnsi="Garamond"/>
              </w:rPr>
              <w:t xml:space="preserve">Šīs izmaiņas tiek uzskatītas par būtiskām izmaiņām, izņemot izmaiņas, ko pieprasa dienests, kontaktinformācijas izmaiņas un iepriekšējā gada pārdošanas apjoma datu ieviešanu, kā noteikts šā panta 10. punktā.</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Jebkura persona, kas iesniedz būtiskas izmaiņas Pakalpojumā saskaņā ar 8. punktu, maksā Budžeta fondam izejvielu un produktu maksu EUR 100 apmērā par katru produktu.</w:t>
            </w:r>
            <w:r>
              <w:rPr>
                <w:sz w:val="22"/>
                <w:rFonts w:ascii="Garamond" w:hAnsi="Garamond"/>
              </w:rPr>
              <w:t xml:space="preserve"> </w:t>
            </w:r>
            <w:r>
              <w:rPr>
                <w:sz w:val="22"/>
                <w:rFonts w:ascii="Garamond" w:hAnsi="Garamond"/>
              </w:rPr>
              <w:t xml:space="preserve">Šī maksa jāsamaksā 30 dienu laikā pēc rēķina nosūtīšanas.</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Šī maksa ir jāmaksā, tiklīdz dati ir grozīti paziņošanas sistēmā, ko ministrs noteicis saskaņā ar 3. panta 13. punktu, un tā ir neatgūstama.</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Ražotājs, importētājs vai importētājs Beļģijā, ja pirmajiem diviem nav juridiskās adreses Beļģijā un nav paziņojuši par produktu, katru gadu ne vēlāk kā līdz 1. martam iesniedz dienestam:</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izsmeļošus datus par iepriekšējā gada pārdošanas apjomiem, pēc zīmola un produkta veida;</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informāciju par dažādu patērētāju grupu, tai skaitā jauniešu, nesmēķētāju un galveno faktisko lietotāju, vēlmēm;</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produktu pārdošanas metodi;</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kopsavilkumus attiecībā uz iepriekš minēto veikto tirgus pētījumu, tai skaitā to tulkojumu angļu valodā.</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Ikviena persona, kas iesniedz gada datus dienestam saskaņā ar 10. punktu, maksā Budžeta fondam izejvielu un produktu maksu EUR 50 apmērā par katru produktu.</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Šī maksa jāsamaksā 30 dienu laikā pēc rēķina nosūtīšanas.</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Šī maksa ir jāmaksā, tiklīdz dati ir ievadīti paziņošanas sistēmā, kā to noteicis ministrs saskaņā ar 3. panta 13. punktu, un tā ir neatgūstama.</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Ja ražotājam, importētājam vai importētājam Beļģijā, ja pirmajiem diviem nav galvenā biroja Beļģijā, ir jāizveido un jāuztur sistēma informācijas iegūšanai par šo produktu iespējamo kaitīgo ietekmi uz cilvēku veselību.</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Ja kāds no šiem uzņēmējiem uzskata vai viņam ir iemesls uzskatīt, ka tā rīcībā esošās elektroniskās cigaretes vai uzpildes flakoni, kurus paredzēts laist tirgū vai kuri laisti tirgū, nav droši, nav labas kvalitātes vai neatbilst šim dekrētam, tas nekavējoties veic nepieciešamos koriģējošos pasākumus, lai nodrošinātu attiecīgā ražojuma atbilstību šim dekrētam, atkarībā no konkrētā gadījuma to atsauc vai atsauc.</w:t>
            </w:r>
            <w:r>
              <w:rPr>
                <w:sz w:val="22"/>
                <w:rFonts w:ascii="Garamond" w:hAnsi="Garamond"/>
              </w:rPr>
              <w:t xml:space="preserve"> </w:t>
            </w:r>
            <w:r>
              <w:rPr>
                <w:sz w:val="22"/>
                <w:rFonts w:ascii="Garamond" w:hAnsi="Garamond"/>
              </w:rPr>
              <w:t xml:space="preserve">Šādos gadījumos uzņēmējam ir arī nekavējoties jāinformē dienests, jo īpaši norādot riskus cilvēku veselībai un drošībai un visus veiktos koriģējošos pasākumus, kā arī šo korektīvo pasākumu rezultātus.</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Dienests var arī pieprasīt no uzņēmējiem papildu informāciju, piemēram, par elektronisko cigarešu vai uzpildes flakonu drošuma un kvalitātes aspektiem vai jebkādu iespējamu nelabvēlīgu ietekmi.</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Šajā pantā minētās informācijas nosūtīšanas un pieejamības modeli un šajā pantā prasītās informācijas nosūtīšanas veidu var noteikt ministrs.</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b/>
                <w:bCs/>
                <w:rFonts w:ascii="Garamond" w:hAnsi="Garamond"/>
              </w:rPr>
              <w:t xml:space="preserve">3. pants.</w:t>
            </w:r>
            <w:r>
              <w:rPr>
                <w:sz w:val="22"/>
                <w:rFonts w:ascii="Garamond" w:hAnsi="Garamond"/>
              </w:rPr>
              <w:t xml:space="preserve"> </w:t>
            </w:r>
            <w:r>
              <w:rPr>
                <w:sz w:val="22"/>
                <w:rFonts w:ascii="Garamond" w:hAnsi="Garamond"/>
              </w:rPr>
              <w:t xml:space="preserve">4. pantu tajā pašā dekrētā</w:t>
            </w:r>
            <w:r>
              <w:t xml:space="preserve"> </w:t>
            </w:r>
            <w:r>
              <w:rPr>
                <w:sz w:val="22"/>
                <w:rFonts w:ascii="Garamond" w:hAnsi="Garamond"/>
              </w:rPr>
              <w:t xml:space="preserve">aizstāj ar šādu:</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“4. pants Sastāvs un tehniskie standarti</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Nikotīnu saturošu šķidrumu laiž tirgū tikai:</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īpašos uzpildes konteineros, kuru maksimālais tilpums ir 10 mililitri;</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vienreizējas lietošanas kārtridžos.</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Kārtridži vai rezervuāri nedrīkst pārsniegt 2 mililitrus.</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Vienreizējās lietošanas elektroniskās cigaretes ir aizliegtas.</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Aizliegts laist tirgū elektroniskās cigaretes, kurām ir pievilcīgas iezīmes, kas nav noderīgas ierīces darbināšanai.</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Nikotīnu saturošais šķidrums nesatur vairāk kā 20 miligramus nikotīna mililitrā.</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Nikotīnu saturošais šķidrums nesatur šādas piedevas:</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vitamīni vai citas piedevas, kas rada iespaidu, ka elektroniskajai cigaretei ir labvēlīga ietekme uz veselību vai ka ir samazināts tās radītais veselības apdraudējums;</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kofeīns vai taurīns, vai citas piedevas un stimulanti, kas saistīti ar enerģiju un/vai vitalitāti;</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piedevas, kas emisijām piešķir krāsvielu īpašības;</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piedevas, kurām bez sadegšanas ir CMR īpašības.</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Ministrs izveido citu aizliegto piedevu sarakstu un/vai atļauto piedevu sarakstu.</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Nikotīnu saturoša šķidruma ražošanā izmanto tikai augstas tīrības pakāpes sastāvdaļas.</w:t>
            </w:r>
            <w:r>
              <w:rPr>
                <w:sz w:val="22"/>
                <w:rFonts w:ascii="Garamond" w:hAnsi="Garamond"/>
              </w:rPr>
              <w:t xml:space="preserve"> </w:t>
            </w:r>
            <w:r>
              <w:rPr>
                <w:sz w:val="22"/>
                <w:rFonts w:ascii="Garamond" w:hAnsi="Garamond"/>
              </w:rPr>
              <w:t xml:space="preserve">Vielām, kas nav 3. panta 2. punktā minētās sastāvdaļas, jābūt nikotīnu saturošā šķidrumā zīmju veidā, ja ražošanas laikā šādas pēdas tehniski nav iespējams novērst.</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Nikotīnu saturošā šķidrumā, izņemot nikotīnu, izmanto tikai tās sastāvdaļas, kas, neatkarīgi no tā, vai tās ir uzkarsētas vai neuzkarsētas, neapdraud cilvēku veselību.</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Elektroniskās cigaretes nodrošina konsekventas nikotīna devas normālas lietošanas apstākļos.</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Elektroniskās cigaretes un uzpildes flakoni ir aprīkoti ar bērniem neatveramu ierīci un ir droši pret viltojumiem;</w:t>
            </w:r>
            <w:r>
              <w:rPr>
                <w:sz w:val="22"/>
                <w:rFonts w:ascii="Garamond" w:hAnsi="Garamond"/>
              </w:rPr>
              <w:t xml:space="preserve"> </w:t>
            </w:r>
            <w:r>
              <w:rPr>
                <w:sz w:val="22"/>
                <w:rFonts w:ascii="Garamond" w:hAnsi="Garamond"/>
              </w:rPr>
              <w:t xml:space="preserve">tie ir aizsargāti pret lūzumiem un noplūdēm un ir aprīkoti ar ierīci, kas nodrošina, ka piepildīšanas laikā tie nenoplūst.</w:t>
            </w:r>
            <w:r>
              <w:rPr>
                <w:sz w:val="22"/>
                <w:rFonts w:ascii="Garamond" w:hAnsi="Garamond"/>
              </w:rPr>
              <w:t xml:space="preserve"> </w:t>
            </w:r>
            <w:r>
              <w:rPr>
                <w:sz w:val="22"/>
                <w:rFonts w:ascii="Garamond" w:hAnsi="Garamond"/>
              </w:rPr>
              <w:t xml:space="preserve">Tie atbilst ISO 8317:2003 prasībām.</w:t>
            </w:r>
            <w:r>
              <w:rPr>
                <w:sz w:val="22"/>
                <w:rFonts w:ascii="Garamond" w:hAnsi="Garamond"/>
              </w:rPr>
              <w:t xml:space="preserve"> </w:t>
            </w:r>
            <w:r>
              <w:rPr>
                <w:sz w:val="22"/>
                <w:rFonts w:ascii="Garamond" w:hAnsi="Garamond"/>
              </w:rPr>
              <w:t xml:space="preserve">Ministrs nosaka uzpildes mehānisma tehniskos standartus.</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Ministrs nosaka analīzes standartus un metodes, kas jāizmanto, lai pārbaudītu, kā tiek īstenoti šajā pantā paredzētie noteikumi par sastāvu un emisijām.</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b/>
                <w:bCs/>
                <w:rFonts w:ascii="Garamond" w:hAnsi="Garamond"/>
              </w:rPr>
              <w:t xml:space="preserve">4. pants.</w:t>
            </w:r>
            <w:r>
              <w:rPr>
                <w:sz w:val="22"/>
                <w:b/>
                <w:rFonts w:ascii="Garamond" w:hAnsi="Garamond"/>
              </w:rPr>
              <w:t xml:space="preserve"> </w:t>
            </w:r>
            <w:r>
              <w:rPr>
                <w:sz w:val="22"/>
                <w:rFonts w:ascii="Garamond" w:hAnsi="Garamond"/>
              </w:rPr>
              <w:t xml:space="preserve">Tā paša dekrēta 5. pantu aizstāj ar šādu:</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“5. pants Marķēšana</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Uz katras elektroniskās cigaretes vai uzpildes tvertnes iepakojuma vienības, kā arī uz jebkura ārējā iepakojuma ir šajā pantā paredzētais brīdinājums par ietekmi uz veselību holandiešu, franču un vācu valodā.</w:t>
            </w:r>
            <w:r>
              <w:rPr>
                <w:sz w:val="22"/>
                <w:rFonts w:ascii="Garamond" w:hAnsi="Garamond"/>
              </w:rPr>
              <w:t xml:space="preserve"> </w:t>
            </w:r>
            <w:r>
              <w:rPr>
                <w:sz w:val="22"/>
                <w:rFonts w:ascii="Garamond" w:hAnsi="Garamond"/>
              </w:rPr>
              <w:t xml:space="preserve">Katru valodu drukā jaunā rindā.</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Brīdinājums par ietekmi uz veselību aizņem visu iepakojuma vienības vai tam paredzētā ārējā iepakojuma virsmu. To nekādā veidā nedrīkst komentēt, pārfrāzēt vai uz to atsaukties.</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Brīdinājums par ietekmi uz veselību uz iepakojuma vienības vai jebkura ārējā iepakojuma ir neatņemams, neizdzēšami uzdrukāts un pilnībā redzams.</w:t>
            </w:r>
            <w:r>
              <w:rPr>
                <w:sz w:val="22"/>
                <w:rFonts w:ascii="Garamond" w:hAnsi="Garamond"/>
              </w:rPr>
              <w:t xml:space="preserve"> </w:t>
            </w:r>
            <w:r>
              <w:rPr>
                <w:sz w:val="22"/>
                <w:rFonts w:ascii="Garamond" w:hAnsi="Garamond"/>
              </w:rPr>
              <w:t xml:space="preserve">To pilnībā vai daļēji neaizsedz vai nepārtrauc ar nodokļu markām, cenu zīmēm, drošības ierīcēm, iesaiņojumiem, aploksnēm, kastēm vai citiem priekšmetiem.</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Kad iepakojuma vienība ir atvērta, brīdinājums par ietekmi uz veselību paliek neskarts.</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Brīdinājums par ietekmi uz veselību ir ierāmēts ar melnu apmali, kuras platums ir 1 mm un kura atrodas šim brīdinājumam paredzētajā zonā.</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Elektronisko cigarešu un uzpildes flakonu iepakojuma vienības un ārējais iepakojums ietver šādu brīdinājumu par ietekmi uz veselību:</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nicotine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[Šajā produktā esošais nikotīns rada spēcīgu atkarību.</w:t>
            </w:r>
            <w:r>
              <w:rPr>
                <w:sz w:val="22"/>
                <w:rFonts w:ascii="Garamond" w:hAnsi="Garamond"/>
              </w:rPr>
              <w:t xml:space="preserve"> </w:t>
            </w:r>
            <w:r>
              <w:rPr>
                <w:sz w:val="22"/>
                <w:rFonts w:ascii="Garamond" w:hAnsi="Garamond"/>
              </w:rPr>
              <w:t xml:space="preserve">To nav ieteicams lietot nesmēķētājiem.]</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nicotine.</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Brīdinājums par ietekmi uz veselību:</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parādās uz divām lielākajām iepakojuma vienības virsmām un uz jebkura ārējā iepakojuma.</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Uz iepakojuma vienībām ar četrām līdzīga izmēra virsmām brīdinājumam jābūt uz divām pretējām virsmām, no kurām viena ir galvenā virsma, kas attēlo zīmolu.</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Uz cilindriska iepakojuma vienībām brīdinājums par ietekmi uz veselību ir tikai vienreiz un aptver visu apkārtmēru.</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sedz 35 % no attiecīgās iepakojuma vienības un jebkura ārējā iepakojuma virsmas;</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jāatrodas iepakojuma vienības un jebkāda ārējā iepakojuma attiecīgās virsmas apakšā un uz paralēlām iepakošanas vienībām un jebkāda ārējā iepakojuma, atrodas paralēli iepakojuma vienības vai ārējā iepakojuma sānu malai.</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Brīdinājuma par ietekmi uz veselību teksts ir šāds:</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paralēli galvenajam tekstam, kas atrodas uz šim brīdinājumam paredzētās virsmas;</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uzdrukāts treknrakstā melnā Helvetica uz balta fona ar rakstzīmju izmēru tā, ka teksts aizņem lielāko iespējamo tai paredzētās virsmas daļu, neietekmējot tā lasāmību;</w:t>
            </w:r>
            <w:r>
              <w:rPr>
                <w:sz w:val="22"/>
                <w:rFonts w:ascii="Garamond" w:hAnsi="Garamond"/>
              </w:rPr>
              <w:t xml:space="preserve"> </w:t>
            </w:r>
            <w:r>
              <w:rPr>
                <w:sz w:val="22"/>
                <w:rFonts w:ascii="Garamond" w:hAnsi="Garamond"/>
              </w:rPr>
              <w:t xml:space="preserve">un</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tai rezervētās virsmas centrā.</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Uz elektronisko cigarešu un uzpildes flakonu iepakojuma vienībām ir jābūt lietošanas instrukcijai vismaz holandiešu, franču un vācu valodās, kurā ir:</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produkta lietošanas un uzglabāšanas instrukcijas, tai skaitā atzīme, kas norāda, ka jauniešiem un nesmēķētājiem nav ieteicams lietot produktu;</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kontrindikācijas;</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brīdinājumi konkrētām riska grupām;</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iespējamās blakusparādības;</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atkarība un toksicitāte;</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ražotāja, importētāja vai importētāja Beļģijā un fiziskās vai juridiskās personas Eiropas Savienībā kontaktinformācija;</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Indes apkarošanas centra numurs.</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Elektronisko cigarešu un uzpildes flakonu iepakojuma vienībās, kā arī visos ārējos iepakojumos iekļauj sarakstu vismaz holandiešu, franču un vācu valodā, kurā ir:</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visas produktā esošās sastāvdaļas, tai skaitā aromatizētāji un alergēni; dilstošā secībā pēc svara;</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norāde par produkta nikotīna saturu un vienā devā izplatīto daudzumu;</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partijas numurs, pirms kura ir vārds “partija”;</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ieteikums, ka produkts jāglabā bērniem nepieejamā vietā teksta vai logotipa veidā;</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produkta ID, ko izsniedz paziņošanas sistēma, ko ministrs noteicis saskaņā ar 3. panta 13. punktu.</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Uzpildes flakoniem ir derīguma termiņš.</w:t>
            </w:r>
            <w:r>
              <w:rPr>
                <w:sz w:val="22"/>
                <w:rFonts w:ascii="Garamond" w:hAnsi="Garamond"/>
              </w:rPr>
              <w:t xml:space="preserve"> </w:t>
            </w:r>
            <w:r>
              <w:rPr>
                <w:sz w:val="22"/>
                <w:rFonts w:ascii="Garamond" w:hAnsi="Garamond"/>
              </w:rPr>
              <w:t xml:space="preserve">Uzpildes flakonus, kuru derīguma termiņš ir beidzies, vairs nedrīkst laist tirgū.</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Neskarot 10. punktu, elektronisko cigarešu un uzpildes flakonu iepakojuma vienības un ārējais iepakojums nesatur:</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jebkādu ierosinājumu, ka konkrētā elektroniskā cigarete vai uzpildes konteiners ir mazāk kaitīgs nekā citi vai ka tas ir paredzēts, lai samazinātu dažu kaitīgu dūmu sastāvdaļu ietekmi, vai ka tam ir vitāla, stimulējoša, dziedinoša, atjaunojoša, dabiska, bioloģiska vai labvēlīga ietekme uz veselību vai dzīvesveidu;</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jebkādu līdzību ar pārtikas vai kosmētikas līdzekļiem;</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jebkādu ierosinājumu, ka konkrētā elektroniskā cigarete vai uzpildes konteiners ir vieglāk bioloģiski noārdāms vai ka tam ir cits ieguvums videi;</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jebkuru garšu, smaržu, aromātu vai to neesamību.</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Iepakojuma vienības un jebkāds ārējais iepakojums nesniedz ekonomisku labumu, izmantojot drukātus kuponus, atlaižu piedāvājumus, bezmaksas izplatīšanu, “divus par viena cenu ” vai citus līdzīgus piedāvājumus.</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14.</w:t>
            </w:r>
            <w:r>
              <w:rPr>
                <w:sz w:val="22"/>
                <w:rFonts w:ascii="Garamond" w:hAnsi="Garamond"/>
              </w:rPr>
              <w:t xml:space="preserve"> </w:t>
            </w:r>
            <w:r>
              <w:rPr>
                <w:sz w:val="22"/>
                <w:rFonts w:ascii="Garamond" w:hAnsi="Garamond"/>
              </w:rPr>
              <w:t xml:space="preserve">Elementi un ierīces, kas aizliegtas saskaņā ar 12. un 13. punktu, cita starpā var ietvert ziņojumus, simbolus, nosaukumus, preču zīmes un grafiskas vai citas zīmes.</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15.</w:t>
            </w:r>
            <w:r>
              <w:rPr>
                <w:sz w:val="22"/>
                <w:rFonts w:ascii="Garamond" w:hAnsi="Garamond"/>
              </w:rPr>
              <w:t xml:space="preserve"> </w:t>
            </w:r>
            <w:r>
              <w:rPr>
                <w:sz w:val="22"/>
                <w:rFonts w:ascii="Garamond" w:hAnsi="Garamond"/>
              </w:rPr>
              <w:t xml:space="preserve">Zīmols un apakšzīmols, kas parādās uz iepakojuma vienības un ārējā iepakojuma, ir identisks tiem, kas ievadīti paziņošanas sistēmā</w:t>
            </w:r>
            <w:r>
              <w:t xml:space="preserve"> </w:t>
            </w:r>
            <w:r>
              <w:rPr>
                <w:sz w:val="22"/>
                <w:rFonts w:ascii="Garamond" w:hAnsi="Garamond"/>
              </w:rPr>
              <w:t xml:space="preserve">kā to noteicis ministrs saskaņā ar 3. panta 13. punktu.</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16.</w:t>
            </w:r>
            <w:r>
              <w:rPr>
                <w:sz w:val="22"/>
                <w:rFonts w:ascii="Garamond" w:hAnsi="Garamond"/>
              </w:rPr>
              <w:t xml:space="preserve"> </w:t>
            </w:r>
            <w:r>
              <w:rPr>
                <w:sz w:val="22"/>
                <w:rFonts w:ascii="Garamond" w:hAnsi="Garamond"/>
              </w:rPr>
              <w:t xml:space="preserve">Ministrs var paredzēt papildu nosacījumus attiecībā uz šajā pantā minētās informācijas saturu un noformējumu.</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b/>
                <w:bCs/>
                <w:rFonts w:ascii="Garamond" w:hAnsi="Garamond"/>
              </w:rPr>
              <w:t xml:space="preserve">5. pants.</w:t>
            </w:r>
            <w:r>
              <w:rPr>
                <w:sz w:val="22"/>
                <w:rFonts w:ascii="Garamond" w:hAnsi="Garamond"/>
              </w:rPr>
              <w:t xml:space="preserve"> </w:t>
            </w:r>
            <w:r>
              <w:rPr>
                <w:sz w:val="22"/>
                <w:rFonts w:ascii="Garamond" w:hAnsi="Garamond"/>
              </w:rPr>
              <w:t xml:space="preserve">Tā paša dekrēta 6. pantu aizstāj ar šādu:</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“6. pants.</w:t>
            </w:r>
            <w:r>
              <w:rPr>
                <w:sz w:val="22"/>
                <w:rFonts w:ascii="Garamond" w:hAnsi="Garamond"/>
              </w:rPr>
              <w:t xml:space="preserve"> </w:t>
            </w:r>
            <w:r>
              <w:rPr>
                <w:sz w:val="22"/>
                <w:rFonts w:ascii="Garamond" w:hAnsi="Garamond"/>
              </w:rPr>
              <w:t xml:space="preserve">Elektronisko cigarešu tālpārdošana</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Tālpārdošana patērētājiem un elektronisko cigarešu un uzpildes flakonu tālpārdošana patērētājiem ir aizliegta.</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Atkāpjoties no 1. punkta, pārrobežu tālpārdošana ir atļauta, ja to atļauj galamērķa dalībvalsts tiesību akti.”</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b/>
                <w:bCs/>
                <w:rFonts w:ascii="Garamond" w:hAnsi="Garamond"/>
              </w:rPr>
              <w:t xml:space="preserve">6. pants.</w:t>
            </w:r>
            <w:r>
              <w:rPr>
                <w:sz w:val="22"/>
                <w:b/>
                <w:rFonts w:ascii="Garamond" w:hAnsi="Garamond"/>
              </w:rPr>
              <w:t xml:space="preserve">  </w:t>
            </w:r>
            <w:r>
              <w:rPr>
                <w:sz w:val="22"/>
                <w:rFonts w:ascii="Garamond" w:hAnsi="Garamond"/>
              </w:rPr>
              <w:t xml:space="preserve">Tajā pašā dekrētā iekļauj 6. panta 1. punktu, kurā ir noteikts:</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“6.1 pants.</w:t>
            </w:r>
            <w:r>
              <w:rPr>
                <w:sz w:val="22"/>
                <w:rFonts w:ascii="Garamond" w:hAnsi="Garamond"/>
              </w:rPr>
              <w:t xml:space="preserve"> </w:t>
            </w:r>
            <w:r>
              <w:rPr>
                <w:sz w:val="22"/>
                <w:rFonts w:ascii="Garamond" w:hAnsi="Garamond"/>
              </w:rPr>
              <w:t xml:space="preserve">Uzpildes flakoni bez nikotīna</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Noteikumus par paziņošanu, kas paredzēti 3. pantā, piemēro bez nikotīna uzpildes flakoniem.</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Regulas 4. panta noteikumus par sastāvu un tehniskajiem standartiem piemēro bez nikotīna uzpildes flakoniem, izņemot 1., 4. un 8. punktu.</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5. panta noteikumus, izņemot 6. punktu, piemēro bez nikotīna uzpildes flakoniem.</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Brīdinājums par šāda veida produktu ietekmi uz veselību ir šāds:</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[Šis produkts kaitē jūsu veselībai.</w:t>
            </w:r>
            <w:r>
              <w:rPr>
                <w:sz w:val="22"/>
                <w:rFonts w:ascii="Garamond" w:hAnsi="Garamond"/>
              </w:rPr>
              <w:t xml:space="preserve"> </w:t>
            </w:r>
            <w:r>
              <w:rPr>
                <w:sz w:val="22"/>
                <w:rFonts w:ascii="Garamond" w:hAnsi="Garamond"/>
              </w:rPr>
              <w:t xml:space="preserve">To nav ieteicams lietot nesmēķētājiem.]</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6. pants par tālpārdošanu attiecas uz bez nikotīna uzpildes flakoniem.”</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b/>
                <w:bCs/>
                <w:rFonts w:ascii="Garamond" w:hAnsi="Garamond"/>
              </w:rPr>
              <w:t xml:space="preserve">7. pants.</w:t>
            </w:r>
            <w:r>
              <w:rPr>
                <w:sz w:val="22"/>
                <w:b/>
                <w:rFonts w:ascii="Garamond" w:hAnsi="Garamond"/>
              </w:rPr>
              <w:t xml:space="preserve">  </w:t>
            </w:r>
            <w:r>
              <w:rPr>
                <w:sz w:val="22"/>
                <w:rFonts w:ascii="Garamond" w:hAnsi="Garamond"/>
              </w:rPr>
              <w:t xml:space="preserve">Tā paša dekrēta 7. pantu aizstāj ar šādu:</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7. pants. Sankcijas</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Elektroniskās cigaretes, uzpildes flakonus un bez nikotīna uzpildes flakonus, kas neatbilst šā dekrēta noteikumiem, uzskata par kaitīgiem 1977. gada 24. janvāra Likuma par patērētāju veselības aizsardzību attiecībā uz pārtikas produktiem un citiem produktiem 18. panta nozīmē.</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Šā dekrēta noteikumu pārkāpumus izmeklē, reģistrē, izseko un soda saskaņā ar iepriekš minētā 1977. gada 24. janvāra likuma noteikumiem.</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Ražotāju, importētāju, importētāju Beļģijā un mazumtirgotāju var saukt pie atbildības par šā dekrēta noteikumu neievērošanu.”</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8. pants</w:t>
            </w:r>
            <w:r>
              <w:rPr>
                <w:sz w:val="22"/>
                <w:b/>
                <w:highlight w:val="yellow"/>
                <w:rFonts w:ascii="Garamond" w:hAnsi="Garamond"/>
              </w:rPr>
              <w:t xml:space="preserve"> </w:t>
            </w:r>
            <w:r>
              <w:rPr>
                <w:sz w:val="22"/>
                <w:highlight w:val="yellow"/>
                <w:rFonts w:ascii="Garamond" w:hAnsi="Garamond"/>
              </w:rPr>
              <w:t xml:space="preserve">Šis rīkojums stājas spēkā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b/>
                <w:bCs/>
                <w:rFonts w:ascii="Garamond" w:hAnsi="Garamond"/>
              </w:rPr>
              <w:t xml:space="preserve">9. pants.</w:t>
            </w:r>
            <w:r>
              <w:rPr>
                <w:sz w:val="22"/>
                <w:rFonts w:ascii="Garamond" w:hAnsi="Garamond"/>
              </w:rPr>
              <w:t xml:space="preserve"> </w:t>
            </w:r>
            <w:r>
              <w:rPr>
                <w:sz w:val="22"/>
                <w:rFonts w:ascii="Garamond" w:hAnsi="Garamond"/>
              </w:rPr>
              <w:t xml:space="preserve">Ekonomikas ministrs, sabiedrības veselības ministrs un mazo un vidējo uzņēmumu ministrs ir atbildīgi par šā dekrēta īstenošanu, ciktāl tas attiecas uz katru no tiem.</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Brisele</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Karalis:</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Ekonomikas ministrs,</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i/>
                <w:iCs/>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Sabiedrības veselības ministrs,</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i/>
                <w:iCs/>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Mazo un vidējo uzņēmumu ministrs,</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i/>
                <w:iCs/>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lv-LV"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lv-LV"/>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lv-LV"/>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lv-LV"/>
    </w:rPr>
  </w:style>
  <w:style w:type="paragraph" w:styleId="Titre9">
    <w:name w:val="heading 9"/>
    <w:basedOn w:val="Normal"/>
    <w:next w:val="Normal"/>
    <w:qFormat/>
    <w:pPr>
      <w:keepNext/>
      <w:tabs>
        <w:tab w:val="left" w:pos="567"/>
        <w:tab w:val="left" w:pos="2268"/>
      </w:tabs>
      <w:jc w:val="both"/>
      <w:outlineLvl w:val="8"/>
    </w:pPr>
    <w:rPr>
      <w:i/>
      <w:iCs/>
      <w:sz w:val="22"/>
      <w:lang w:val="lv-LV"/>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lv-LV"/>
    </w:rPr>
  </w:style>
  <w:style w:type="paragraph" w:styleId="Corpsdetexte3">
    <w:name w:val="Body Text 3"/>
    <w:basedOn w:val="Normal"/>
    <w:pPr>
      <w:widowControl w:val="0"/>
    </w:pPr>
    <w:rPr>
      <w:snapToGrid w:val="0"/>
      <w:sz w:val="22"/>
      <w:lang w:val="lv-LV"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lv-LV"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lv-LV"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lv-LV"/>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lv-LV"/>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lv-LV"/>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lv-LV"/>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lv-LV"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lv-LV"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lv-LV"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lv-LV" w:eastAsia="en-US"/>
    </w:rPr>
  </w:style>
  <w:style w:type="character" w:customStyle="1" w:styleId="En-tteCar">
    <w:name w:val="En-tête Car"/>
    <w:link w:val="En-tte"/>
    <w:uiPriority w:val="99"/>
    <w:rsid w:val="00792B2A"/>
    <w:rPr>
      <w:lang w:val="lv-LV" w:eastAsia="nl-NL"/>
    </w:rPr>
  </w:style>
  <w:style w:type="character" w:customStyle="1" w:styleId="PieddepageCar">
    <w:name w:val="Pied de page Car"/>
    <w:link w:val="Pieddepage"/>
    <w:uiPriority w:val="99"/>
    <w:rsid w:val="00792B2A"/>
    <w:rPr>
      <w:lang w:val="lv-LV" w:eastAsia="nl-NL"/>
    </w:rPr>
  </w:style>
  <w:style w:type="paragraph" w:styleId="Rvision">
    <w:name w:val="Revision"/>
    <w:hidden/>
    <w:uiPriority w:val="99"/>
    <w:semiHidden/>
    <w:rsid w:val="00B63DAF"/>
    <w:rPr>
      <w:lang w:val="lv-LV"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