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8B58" w14:textId="77777777" w:rsidR="001863C7" w:rsidRDefault="001863C7" w:rsidP="0017426D">
      <w:pPr>
        <w:pStyle w:val="PDK1Anlage"/>
      </w:pPr>
    </w:p>
    <w:p w14:paraId="2DDC9C24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PL- ------ 20200528 --- --- PROJET</w:t>
      </w:r>
    </w:p>
    <w:p w14:paraId="035EDD95" w14:textId="77777777" w:rsidR="001863C7" w:rsidRDefault="001863C7" w:rsidP="0017426D">
      <w:pPr>
        <w:pStyle w:val="PDK1Ausg"/>
      </w:pPr>
    </w:p>
    <w:p w14:paraId="69676210" w14:textId="77777777" w:rsidR="001863C7" w:rsidRDefault="001863C7" w:rsidP="0017426D">
      <w:pPr>
        <w:pStyle w:val="PDK2"/>
      </w:pPr>
    </w:p>
    <w:p w14:paraId="3E29DDD9" w14:textId="77777777" w:rsidR="001863C7" w:rsidRPr="005E4F4C" w:rsidRDefault="001863C7" w:rsidP="0017426D">
      <w:pPr>
        <w:pStyle w:val="11Titel"/>
      </w:pPr>
      <w:r>
        <w:t>Ustawa federalna zmieniająca ustawę o środkach ochrony roślin z 2011 r.</w:t>
      </w:r>
    </w:p>
    <w:p w14:paraId="6730A618" w14:textId="77777777" w:rsidR="001863C7" w:rsidRPr="005E4F4C" w:rsidRDefault="001863C7" w:rsidP="0017426D">
      <w:pPr>
        <w:pStyle w:val="12PromKlEinlSatz"/>
      </w:pPr>
      <w:r>
        <w:t>Rada Narodowa Austrii uchwaliła, co następuje:</w:t>
      </w:r>
    </w:p>
    <w:p w14:paraId="5060E5DF" w14:textId="77777777" w:rsidR="001863C7" w:rsidRPr="005E4F4C" w:rsidRDefault="001863C7" w:rsidP="0017426D">
      <w:pPr>
        <w:pStyle w:val="12PromKlEinlSatz"/>
      </w:pPr>
      <w:r>
        <w:t>W ustawie o środkach ochrony roślin z 2011 r., Federalny Dz.U. I nr 10/2011, zmienionej ostatnio ustawą opublikowaną w Federalnym Dz.U. I nr 79/2019, wprowadza się następujące zmiany:</w:t>
      </w:r>
    </w:p>
    <w:p w14:paraId="305F7F38" w14:textId="79CD14A3" w:rsidR="001863C7" w:rsidRPr="005E4F4C" w:rsidRDefault="001863C7" w:rsidP="0017426D">
      <w:pPr>
        <w:pStyle w:val="22NovAo2"/>
      </w:pPr>
      <w:r>
        <w:t>1. Skreśla się § 17 ust. 5.</w:t>
      </w:r>
    </w:p>
    <w:p w14:paraId="5AA04DB3" w14:textId="77777777" w:rsidR="001863C7" w:rsidRPr="005E4F4C" w:rsidRDefault="001863C7" w:rsidP="0017426D">
      <w:pPr>
        <w:pStyle w:val="21NovAo1"/>
      </w:pPr>
      <w:r>
        <w:t>2. § 18 ust. 10 otrzymuje brzmienie:</w:t>
      </w:r>
    </w:p>
    <w:p w14:paraId="52D1BB5F" w14:textId="77777777" w:rsidR="001863C7" w:rsidRDefault="001863C7" w:rsidP="0017426D">
      <w:pPr>
        <w:pStyle w:val="51Abs"/>
      </w:pPr>
      <w:r>
        <w:t>„(10) Zabrania się, zgodnie z zasadą ostrożności, wprowadzania do obrotu środków ochrony roślin zawierających substancję czynną glifosat.”.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35EE" w14:textId="77777777" w:rsidR="00EA3B27" w:rsidRDefault="00EA3B27">
      <w:r>
        <w:separator/>
      </w:r>
    </w:p>
  </w:endnote>
  <w:endnote w:type="continuationSeparator" w:id="0">
    <w:p w14:paraId="763BC9AC" w14:textId="77777777" w:rsidR="00EA3B27" w:rsidRDefault="00EA3B27">
      <w:r>
        <w:continuationSeparator/>
      </w:r>
    </w:p>
  </w:endnote>
  <w:endnote w:type="continuationNotice" w:id="1">
    <w:p w14:paraId="26A9AB46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E0234" w14:textId="77777777" w:rsidR="00EA3B27" w:rsidRDefault="00EA3B27">
      <w:r>
        <w:separator/>
      </w:r>
    </w:p>
  </w:footnote>
  <w:footnote w:type="continuationSeparator" w:id="0">
    <w:p w14:paraId="0E62D322" w14:textId="77777777" w:rsidR="00EA3B27" w:rsidRDefault="00EA3B27">
      <w:r>
        <w:continuationSeparator/>
      </w:r>
    </w:p>
  </w:footnote>
  <w:footnote w:type="continuationNotice" w:id="1">
    <w:p w14:paraId="44CA8DAD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A3020" w14:textId="77777777" w:rsidR="00AB239E" w:rsidRPr="00975078" w:rsidRDefault="00975078" w:rsidP="00975078">
    <w:pPr>
      <w:pStyle w:val="62Kopfzeile"/>
    </w:pPr>
    <w:r>
      <w:tab/>
      <w:t>167/A XXVII okres legislacyjny – pozarządowy projekt ustawy – tekst ustawy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z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AD1005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27CD2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pl-PL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pl-PL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