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B8A" w:rsidRDefault="00E30B8A" w:rsidP="003F4969">
      <w:pPr>
        <w:jc w:val="center"/>
        <w:rPr>
          <w:b/>
          <w:bCs/>
        </w:rPr>
      </w:pPr>
      <w:r>
        <w:rPr>
          <w:rFonts w:ascii="Courier New" w:hAnsi="Courier New"/>
          <w:sz w:val="20"/>
        </w:rPr>
        <w:t>1. --</w:t>
      </w:r>
      <w:r w:rsidR="00C322F7">
        <w:rPr>
          <w:rFonts w:ascii="Courier New" w:hAnsi="Courier New"/>
          <w:sz w:val="20"/>
        </w:rPr>
        <w:t>-</w:t>
      </w:r>
      <w:r>
        <w:rPr>
          <w:rFonts w:ascii="Courier New" w:hAnsi="Courier New"/>
          <w:sz w:val="20"/>
        </w:rPr>
        <w:t xml:space="preserve">---IND- 2020 0183 F-- DA- ------ </w:t>
      </w:r>
      <w:r>
        <w:rPr>
          <w:rFonts w:ascii="Segoe UI" w:hAnsi="Segoe UI"/>
          <w:color w:val="000000"/>
          <w:sz w:val="20"/>
        </w:rPr>
        <w:t>20210120</w:t>
      </w:r>
      <w:r>
        <w:rPr>
          <w:rFonts w:ascii="Calibri" w:hAnsi="Calibri"/>
          <w:sz w:val="20"/>
        </w:rPr>
        <w:t xml:space="preserve"> </w:t>
      </w:r>
      <w:r>
        <w:rPr>
          <w:rFonts w:ascii="Courier New" w:hAnsi="Courier New"/>
          <w:sz w:val="20"/>
        </w:rPr>
        <w:t>--- --- FINAL</w:t>
      </w:r>
    </w:p>
    <w:p w:rsidR="00895EA3" w:rsidRPr="00090FF0" w:rsidRDefault="00895EA3" w:rsidP="003F4969">
      <w:pPr>
        <w:jc w:val="center"/>
        <w:rPr>
          <w:b/>
          <w:bCs/>
        </w:rPr>
      </w:pPr>
      <w:r>
        <w:rPr>
          <w:b/>
        </w:rPr>
        <w:t>Dekret nr. 2020-1439 af 23. november 2020 om identificering af cykler</w:t>
      </w:r>
    </w:p>
    <w:p w:rsidR="00895EA3" w:rsidRPr="00090FF0" w:rsidRDefault="00895EA3" w:rsidP="00895EA3">
      <w:pPr>
        <w:rPr>
          <w:b/>
          <w:bCs/>
        </w:rPr>
      </w:pPr>
      <w:r>
        <w:rPr>
          <w:b/>
        </w:rPr>
        <w:t xml:space="preserve">Første version </w:t>
      </w:r>
    </w:p>
    <w:p w:rsidR="003F4969" w:rsidRPr="00090FF0" w:rsidRDefault="00895EA3" w:rsidP="003F4969">
      <w:pPr>
        <w:jc w:val="both"/>
      </w:pPr>
      <w:r>
        <w:t>Berørte grupper: forhandlere af nye eller brugte cykler, faciliteter til ophugning eller genanvendelse af cykler, cykelejere, cykelkøbere, cykelidentificeringsudbydere, politimyndigheder og gendarmeri, lokale politimyndigheder, hittegodskontorer, opbevaringssteder for beslaglagte genstande.</w:t>
      </w:r>
    </w:p>
    <w:p w:rsidR="003F4969" w:rsidRPr="00090FF0" w:rsidRDefault="00895EA3" w:rsidP="003F4969">
      <w:pPr>
        <w:jc w:val="both"/>
      </w:pPr>
      <w:r>
        <w:t>Formål: Retsakten fastlægger betingelserne for anvendelse af afsnit 2 i kapitel 1 i titel VII, (artikel L. 1271-2 til 5), i transportloven vedrørende identificering af cykler.</w:t>
      </w:r>
    </w:p>
    <w:p w:rsidR="003F4969" w:rsidRPr="00090FF0" w:rsidRDefault="00895EA3" w:rsidP="003F4969">
      <w:pPr>
        <w:jc w:val="both"/>
      </w:pPr>
      <w:r>
        <w:t>Ikrafttræden: Retsakten træder i kraft dagen efter offentliggørelsen.</w:t>
      </w:r>
    </w:p>
    <w:p w:rsidR="003F4969" w:rsidRPr="00090FF0" w:rsidRDefault="00895EA3" w:rsidP="003F4969">
      <w:pPr>
        <w:jc w:val="both"/>
      </w:pPr>
      <w:r>
        <w:t>Beskrivelse: Dekretet indeholder forpligtelser for forhandlerne, cykelejerne og de fagfolk, der udøver ophugnings- eller klargøringsopgaver med henblik på cyklernes genanvendelse eller genbrug, såvel som statens godkendelsesbetingelser for juridiske personer, der måtte iværksætte foranstaltninger til identificering af cykler. Dekretet omfatter ligeledes betingelserne for dataindsamlingen i forbindelse med den registrering, der foretages af de godkendte cykelidentificeringsudbydere og forvalteren af den unikke nationale fortegnelse over identificerede cykler.</w:t>
      </w:r>
    </w:p>
    <w:p w:rsidR="00895EA3" w:rsidRPr="00090FF0" w:rsidRDefault="00895EA3" w:rsidP="003F4969">
      <w:pPr>
        <w:jc w:val="both"/>
      </w:pPr>
      <w:r>
        <w:t xml:space="preserve">Henvisninger: Dette dekret er udarbejdet i henhold til artikel L 1271-5 i transportloven. Dette findes på </w:t>
      </w:r>
      <w:proofErr w:type="spellStart"/>
      <w:r>
        <w:t>Légifrances</w:t>
      </w:r>
      <w:proofErr w:type="spellEnd"/>
      <w:r>
        <w:t xml:space="preserve"> websted (https://www.legifrance.gouv.fr). </w:t>
      </w:r>
    </w:p>
    <w:p w:rsidR="003F4969" w:rsidRPr="00090FF0" w:rsidRDefault="00895EA3" w:rsidP="003F4969">
      <w:pPr>
        <w:jc w:val="both"/>
      </w:pPr>
      <w:r>
        <w:t>Premierministeren har</w:t>
      </w:r>
    </w:p>
    <w:p w:rsidR="003F4969" w:rsidRPr="00090FF0" w:rsidRDefault="00895EA3" w:rsidP="003F4969">
      <w:pPr>
        <w:jc w:val="both"/>
      </w:pPr>
      <w:r>
        <w:t>på baggrund af en rapport fra ministeren for grøn omstilling</w:t>
      </w:r>
    </w:p>
    <w:p w:rsidR="003F4969" w:rsidRPr="00090FF0" w:rsidRDefault="00895EA3" w:rsidP="003F4969">
      <w:pPr>
        <w:jc w:val="both"/>
      </w:pPr>
      <w:r>
        <w:t>under henvisning til Europa-Parlamentets og Rådets forordning (EU) 2016/679 af 27. april 2016 om beskyttelse af fysiske personer i forbindelse med behandling af personoplysninger og om fri udveksling af sådanne oplysninger og om ophævelse af direktiv 95/46/EF (generel forordning om databeskyttelse)</w:t>
      </w:r>
    </w:p>
    <w:p w:rsidR="003F4969" w:rsidRPr="00090FF0" w:rsidRDefault="00895EA3" w:rsidP="003F4969">
      <w:pPr>
        <w:jc w:val="both"/>
      </w:pPr>
      <w:r>
        <w:t>under henvisning til direktiv 2006/123/EF om tjenesteydelser i det indre marked, særlig artikel 15</w:t>
      </w:r>
    </w:p>
    <w:p w:rsidR="003F4969" w:rsidRPr="00090FF0" w:rsidRDefault="00895EA3" w:rsidP="003F4969">
      <w:pPr>
        <w:jc w:val="both"/>
      </w:pPr>
      <w:r>
        <w:t>under henvisning til Europa-Parlamentets og Rådets direktiv (EU) 2015/1535 af 9. september 2015 om en informationsprocedure med hensyn til tekniske forskrifter samt forskrifter for informationssamfundets tjenester (kodificeret udgave), og særlig notifikation nr. 2020/183/F</w:t>
      </w:r>
    </w:p>
    <w:p w:rsidR="0095276B" w:rsidRDefault="00895EA3" w:rsidP="003F4969">
      <w:pPr>
        <w:jc w:val="both"/>
      </w:pPr>
      <w:r>
        <w:t>under henvisning til handelsloven, særlig artikel L. 121-1</w:t>
      </w:r>
    </w:p>
    <w:p w:rsidR="003F4969" w:rsidRPr="00090FF0" w:rsidRDefault="00895EA3" w:rsidP="003F4969">
      <w:pPr>
        <w:jc w:val="both"/>
      </w:pPr>
      <w:bookmarkStart w:id="0" w:name="_GoBack"/>
      <w:bookmarkEnd w:id="0"/>
      <w:r>
        <w:t>under henvisning til straffeloven, særlig artikel 131-13 og R. 610-1</w:t>
      </w:r>
    </w:p>
    <w:p w:rsidR="003F4969" w:rsidRPr="00090FF0" w:rsidRDefault="00895EA3" w:rsidP="003F4969">
      <w:pPr>
        <w:jc w:val="both"/>
      </w:pPr>
      <w:r>
        <w:t>under henvisning til færdselsloven, særlig artikel R. 311-1</w:t>
      </w:r>
    </w:p>
    <w:p w:rsidR="003F4969" w:rsidRPr="00090FF0" w:rsidRDefault="00895EA3" w:rsidP="003F4969">
      <w:pPr>
        <w:jc w:val="both"/>
      </w:pPr>
      <w:r>
        <w:t>under henvisning til transportloven, særlig artikel L. 1271-2 til L. 1271-5</w:t>
      </w:r>
    </w:p>
    <w:p w:rsidR="003F4969" w:rsidRPr="00090FF0" w:rsidRDefault="00895EA3" w:rsidP="003F4969">
      <w:pPr>
        <w:jc w:val="both"/>
      </w:pPr>
      <w:r>
        <w:t>under henvisning til lov nr. 78-17 af 6. januar 1978 om databehandling, registre og frihedsrettigheder</w:t>
      </w:r>
    </w:p>
    <w:p w:rsidR="003F4969" w:rsidRPr="00090FF0" w:rsidRDefault="00895EA3" w:rsidP="003F4969">
      <w:pPr>
        <w:jc w:val="both"/>
      </w:pPr>
      <w:r>
        <w:t>under henvisning til udtalelse fra den nationale kommission for databehandling og frihedsrettigheder (CNIL) af 15. oktober 2020</w:t>
      </w:r>
    </w:p>
    <w:p w:rsidR="003F4969" w:rsidRPr="00090FF0" w:rsidRDefault="00895EA3" w:rsidP="003F4969">
      <w:pPr>
        <w:jc w:val="both"/>
      </w:pPr>
      <w:r>
        <w:t>og efter høring af statsrådet (afdelingen for offentlige arbejder)</w:t>
      </w:r>
    </w:p>
    <w:p w:rsidR="00895EA3" w:rsidRPr="00090FF0" w:rsidRDefault="00895EA3" w:rsidP="00090FF0">
      <w:pPr>
        <w:keepNext/>
        <w:jc w:val="both"/>
      </w:pPr>
      <w:r>
        <w:lastRenderedPageBreak/>
        <w:t>udstedt det følgende dekret:</w:t>
      </w:r>
    </w:p>
    <w:p w:rsidR="00895EA3" w:rsidRPr="00090FF0" w:rsidRDefault="00895EA3" w:rsidP="00090FF0">
      <w:pPr>
        <w:keepNext/>
        <w:jc w:val="both"/>
        <w:rPr>
          <w:b/>
          <w:bCs/>
        </w:rPr>
      </w:pPr>
      <w:r>
        <w:rPr>
          <w:b/>
        </w:rPr>
        <w:t>Artikel 1</w:t>
      </w:r>
    </w:p>
    <w:p w:rsidR="003F4969" w:rsidRPr="00090FF0" w:rsidRDefault="00895EA3" w:rsidP="00090FF0">
      <w:pPr>
        <w:keepNext/>
        <w:jc w:val="both"/>
      </w:pPr>
      <w:r>
        <w:t>Transportlovens bind II, første del, (den forskriftsmæssige del) suppleres med en titel VII, der affattes således:</w:t>
      </w:r>
    </w:p>
    <w:p w:rsidR="003F4969" w:rsidRPr="00090FF0" w:rsidRDefault="00895EA3" w:rsidP="003F4969">
      <w:pPr>
        <w:jc w:val="both"/>
      </w:pPr>
      <w:r>
        <w:t>Titel VII - AKTIV MOBILITET OG INTERMODALITET</w:t>
      </w:r>
    </w:p>
    <w:p w:rsidR="003F4969" w:rsidRPr="00090FF0" w:rsidRDefault="00895EA3" w:rsidP="003F4969">
      <w:pPr>
        <w:jc w:val="both"/>
      </w:pPr>
      <w:r>
        <w:t>KAPITEL I Aktiv mobilitet</w:t>
      </w:r>
    </w:p>
    <w:p w:rsidR="003F4969" w:rsidRPr="00090FF0" w:rsidRDefault="00895EA3" w:rsidP="003F4969">
      <w:pPr>
        <w:jc w:val="both"/>
      </w:pPr>
      <w:r>
        <w:t>Afsnit 1 – Identificering af cykler</w:t>
      </w:r>
    </w:p>
    <w:p w:rsidR="003F4969" w:rsidRPr="00090FF0" w:rsidRDefault="00895EA3" w:rsidP="003F4969">
      <w:pPr>
        <w:jc w:val="both"/>
      </w:pPr>
      <w:r>
        <w:t>Underafsnit 1 Identificeringsforpligtelse</w:t>
      </w:r>
    </w:p>
    <w:p w:rsidR="003F4969" w:rsidRPr="00090FF0" w:rsidRDefault="00895EA3" w:rsidP="00090FF0">
      <w:pPr>
        <w:keepNext/>
        <w:jc w:val="both"/>
      </w:pPr>
      <w:r>
        <w:t>Artikel R. 1271-1. – I dette afsnit forstås ved:</w:t>
      </w:r>
    </w:p>
    <w:p w:rsidR="003F4969" w:rsidRPr="00090FF0" w:rsidRDefault="00895EA3" w:rsidP="003F4969">
      <w:pPr>
        <w:jc w:val="both"/>
      </w:pPr>
      <w:r>
        <w:t>1) "cykel": cykel og pedalcykel med elektrisk hjælpemotor som defineret i henholdsvis stk. 6.10 og 6.11 i artikel R. 311-1 færdselsloven</w:t>
      </w:r>
    </w:p>
    <w:p w:rsidR="003F4969" w:rsidRPr="00090FF0" w:rsidRDefault="00895EA3" w:rsidP="003F4969">
      <w:pPr>
        <w:jc w:val="both"/>
      </w:pPr>
      <w:r>
        <w:t>2) "status for en cykel": en cykels status vil sige dens ejerforhold og dens anvendelse</w:t>
      </w:r>
    </w:p>
    <w:p w:rsidR="003F4969" w:rsidRPr="00090FF0" w:rsidRDefault="00895EA3" w:rsidP="003F4969">
      <w:pPr>
        <w:jc w:val="both"/>
      </w:pPr>
      <w:r>
        <w:t>3) "forhandler": forhandleren, således som vedkommende er defineret i artikel L. 121-1 i handelsloven</w:t>
      </w:r>
    </w:p>
    <w:p w:rsidR="003F4969" w:rsidRPr="00090FF0" w:rsidRDefault="00895EA3" w:rsidP="003F4969">
      <w:pPr>
        <w:jc w:val="both"/>
      </w:pPr>
      <w:r>
        <w:t>4) "godkendt udbyder": cykelidentificeringsudbyder, der er godkendt i overensstemmelse med betingelserne fastsat i artikel R. 1271-16</w:t>
      </w:r>
    </w:p>
    <w:p w:rsidR="003F4969" w:rsidRPr="00090FF0" w:rsidRDefault="00895EA3" w:rsidP="003F4969">
      <w:pPr>
        <w:jc w:val="both"/>
      </w:pPr>
      <w:r>
        <w:t>5) "unik national fortegnelse": den unikke nationale fortegnelse over identificerede cykler, der er fastsat i artikel L. 1271-3</w:t>
      </w:r>
    </w:p>
    <w:p w:rsidR="003F4969" w:rsidRPr="00090FF0" w:rsidRDefault="00895EA3" w:rsidP="003F4969">
      <w:pPr>
        <w:jc w:val="both"/>
      </w:pPr>
      <w:r>
        <w:t>6) "forvalter af den unikke nationale fortegnelse": forvalteren af den unikke nationale fortegnelse over identificerede cykler, der er udpeget i henhold til artikel R. 1271-23.</w:t>
      </w:r>
    </w:p>
    <w:p w:rsidR="003F4969" w:rsidRPr="00090FF0" w:rsidRDefault="00895EA3" w:rsidP="003F4969">
      <w:pPr>
        <w:jc w:val="both"/>
      </w:pPr>
      <w:r>
        <w:t xml:space="preserve">Artikel R. 1271-2. – Alle cykler, der sælges af en forhandler, bærer en </w:t>
      </w:r>
      <w:proofErr w:type="spellStart"/>
      <w:r>
        <w:t>identifikator</w:t>
      </w:r>
      <w:proofErr w:type="spellEnd"/>
      <w:r>
        <w:t xml:space="preserve"> fastmonteret på cyklen.</w:t>
      </w:r>
    </w:p>
    <w:p w:rsidR="003F4969" w:rsidRPr="00090FF0" w:rsidRDefault="00895EA3" w:rsidP="003F4969">
      <w:pPr>
        <w:jc w:val="both"/>
      </w:pPr>
      <w:r>
        <w:t>Artikel R. 1271-3. – Identificeringsforpligtelsen fastsat i artikel R. 1271-2 gælder fra den 1. januar 2021 ved salg af nye cykler og fra den 1. juli 2021 ved salg af brugte cykler.</w:t>
      </w:r>
    </w:p>
    <w:p w:rsidR="003F4969" w:rsidRPr="00090FF0" w:rsidRDefault="00895EA3" w:rsidP="00090FF0">
      <w:pPr>
        <w:keepNext/>
        <w:jc w:val="both"/>
      </w:pPr>
      <w:r>
        <w:t>Artikel R. 1271-4. – Identificeringsforpligtelsen fastsat i artikel R. 1271-2 gælder ikke:</w:t>
      </w:r>
    </w:p>
    <w:p w:rsidR="003F4969" w:rsidRPr="00090FF0" w:rsidRDefault="00895EA3" w:rsidP="003F4969">
      <w:pPr>
        <w:jc w:val="both"/>
      </w:pPr>
      <w:r>
        <w:t>1) barnecykler, hvis hjul har en diameter på mindre end eller lig med 40,64 centimeter (16 tommer)</w:t>
      </w:r>
    </w:p>
    <w:p w:rsidR="003F4969" w:rsidRPr="00090FF0" w:rsidRDefault="00895EA3" w:rsidP="003F4969">
      <w:pPr>
        <w:jc w:val="both"/>
      </w:pPr>
      <w:r>
        <w:t>2) for cykler, der er genstand for salg mellem erhvervsdrivende cykelhandlere.</w:t>
      </w:r>
    </w:p>
    <w:p w:rsidR="003F4969" w:rsidRPr="00090FF0" w:rsidRDefault="00895EA3" w:rsidP="003F4969">
      <w:pPr>
        <w:jc w:val="both"/>
      </w:pPr>
      <w:r>
        <w:t xml:space="preserve">Artikel R. 1271-5. – Cykeltrailere og personkøretøjer med hjælpemotor som defineret i stk. 6.15 og 6.16 i artikel R. 311-1 i færdselsloven kan forsynes med en </w:t>
      </w:r>
      <w:proofErr w:type="spellStart"/>
      <w:r>
        <w:t>identifikator</w:t>
      </w:r>
      <w:proofErr w:type="spellEnd"/>
      <w:r>
        <w:t>, hvis køberen eller ejeren anmoder om det. Det samme gælder børnecykler nævnt i nr. 1) i artikel R. 1271-4. Bestemmelserne i dette afsnit finder derefter anvendelse.</w:t>
      </w:r>
    </w:p>
    <w:p w:rsidR="003F4969" w:rsidRPr="00090FF0" w:rsidRDefault="00895EA3" w:rsidP="003F4969">
      <w:pPr>
        <w:jc w:val="both"/>
      </w:pPr>
      <w:r>
        <w:t>Underafsnit 2</w:t>
      </w:r>
    </w:p>
    <w:p w:rsidR="003F4969" w:rsidRPr="00090FF0" w:rsidRDefault="00895EA3" w:rsidP="003F4969">
      <w:pPr>
        <w:jc w:val="both"/>
      </w:pPr>
      <w:r>
        <w:t>Identificeringsbestemmelser</w:t>
      </w:r>
    </w:p>
    <w:p w:rsidR="003F4969" w:rsidRPr="00090FF0" w:rsidRDefault="00895EA3" w:rsidP="003F4969">
      <w:pPr>
        <w:jc w:val="both"/>
      </w:pPr>
      <w:r>
        <w:t xml:space="preserve">Artikel R. 1271-6. – Identificeringen består i anbringelse på cyklen af en </w:t>
      </w:r>
      <w:proofErr w:type="spellStart"/>
      <w:r>
        <w:t>identifikator</w:t>
      </w:r>
      <w:proofErr w:type="spellEnd"/>
      <w:r>
        <w:t>, som tildeles af forvalteren af​den nationale fortegnelse og leveres af en godkendt udbyder.</w:t>
      </w:r>
    </w:p>
    <w:p w:rsidR="003F4969" w:rsidRPr="00090FF0" w:rsidRDefault="00895EA3" w:rsidP="003F4969">
      <w:pPr>
        <w:jc w:val="both"/>
      </w:pPr>
      <w:r>
        <w:lastRenderedPageBreak/>
        <w:t xml:space="preserve">Når </w:t>
      </w:r>
      <w:proofErr w:type="spellStart"/>
      <w:r>
        <w:t>identifikatoren</w:t>
      </w:r>
      <w:proofErr w:type="spellEnd"/>
      <w:r>
        <w:t xml:space="preserve"> anbringes, skal det sikres, at dens placering er permanent, og at den ikke kan ændres, undtagen i tilfælde af bevidst ødelæggelse.</w:t>
      </w:r>
    </w:p>
    <w:p w:rsidR="003F4969" w:rsidRPr="00090FF0" w:rsidRDefault="00895EA3" w:rsidP="003F4969">
      <w:pPr>
        <w:jc w:val="both"/>
      </w:pPr>
      <w:proofErr w:type="spellStart"/>
      <w:r>
        <w:t>Identifikatoren</w:t>
      </w:r>
      <w:proofErr w:type="spellEnd"/>
      <w:r>
        <w:t xml:space="preserve"> placeres, undtagen under særlige omstændigheder, på cyklens stel, og den er let at læse på en henstillet cykel.</w:t>
      </w:r>
    </w:p>
    <w:p w:rsidR="003F4969" w:rsidRPr="00090FF0" w:rsidRDefault="00895EA3" w:rsidP="003F4969">
      <w:pPr>
        <w:jc w:val="both"/>
      </w:pPr>
      <w:r>
        <w:t xml:space="preserve">Artikel R. 1271-7. – På salgstidspunktet indsamler forhandleren fra køberen de personoplysninger, der er nævnt i nr. 1) i stk. I </w:t>
      </w:r>
      <w:proofErr w:type="spellStart"/>
      <w:r>
        <w:t>i</w:t>
      </w:r>
      <w:proofErr w:type="spellEnd"/>
      <w:r>
        <w:t xml:space="preserve"> artikel R. 1271-13, hvilket gør det muligt at identificere og kontakte ejeren af​cyklen, og overfører disse sammen med dem, der vedrører beskrivelsen af cyklen og dens status, til den godkendte operatør, der har leveret den pågældende </w:t>
      </w:r>
      <w:proofErr w:type="spellStart"/>
      <w:r>
        <w:t>identifikator</w:t>
      </w:r>
      <w:proofErr w:type="spellEnd"/>
      <w:r>
        <w:t>.</w:t>
      </w:r>
    </w:p>
    <w:p w:rsidR="003F4969" w:rsidRPr="00090FF0" w:rsidRDefault="00895EA3" w:rsidP="003F4969">
      <w:pPr>
        <w:jc w:val="both"/>
      </w:pPr>
      <w:r>
        <w:t xml:space="preserve">Forhandleren giver køberen et kvittering for købet, hvoraf cyklens </w:t>
      </w:r>
      <w:proofErr w:type="spellStart"/>
      <w:r>
        <w:t>identifikator</w:t>
      </w:r>
      <w:proofErr w:type="spellEnd"/>
      <w:r>
        <w:t xml:space="preserve"> fremgår, og giver vedkommende de oplysninger, der gør det muligt for cyklens ejer at få adgang til de oplysninger om vedkommende, der er sendt til den autoriserede operatør, og om nødvendigt at rette dem.</w:t>
      </w:r>
    </w:p>
    <w:p w:rsidR="003F4969" w:rsidRPr="00090FF0" w:rsidRDefault="00895EA3" w:rsidP="003F4969">
      <w:pPr>
        <w:jc w:val="both"/>
      </w:pPr>
      <w:r>
        <w:t>Underafsnit 3</w:t>
      </w:r>
    </w:p>
    <w:p w:rsidR="003F4969" w:rsidRPr="00090FF0" w:rsidRDefault="00895EA3" w:rsidP="003F4969">
      <w:pPr>
        <w:jc w:val="both"/>
      </w:pPr>
      <w:r>
        <w:t>Ejerskifte eller ændring af cyklens status</w:t>
      </w:r>
    </w:p>
    <w:p w:rsidR="003F4969" w:rsidRPr="00090FF0" w:rsidRDefault="00895EA3" w:rsidP="003F4969">
      <w:pPr>
        <w:jc w:val="both"/>
      </w:pPr>
      <w:r>
        <w:t xml:space="preserve">Artikel 1271-8. – Når en identificeret cykel sælges, meddeler ejeren af den, når denne ikke er forhandler eller en fagperson, der udøver ophugnings- eller klargøringsopgaver med henblik på cyklernes genanvendelse eller genbrug, dette til den godkendte operatør, der leverede </w:t>
      </w:r>
      <w:proofErr w:type="spellStart"/>
      <w:r>
        <w:t>identifikatoren</w:t>
      </w:r>
      <w:proofErr w:type="spellEnd"/>
      <w:r>
        <w:t>, og giver den erhvervende part de oplysninger, der giver denne adgang til den pågældende operatørs fortegnelse, så vedkommende kan få registreret sine data der.</w:t>
      </w:r>
    </w:p>
    <w:p w:rsidR="003F4969" w:rsidRPr="00090FF0" w:rsidRDefault="00895EA3" w:rsidP="003F4969">
      <w:pPr>
        <w:jc w:val="both"/>
      </w:pPr>
      <w:r>
        <w:t>Artikel R. 1271-9. – Hvis en identificeret cykel stjæles, returneres efter tyveri, skrottes, ødelægges eller bliver genstand for anden statusændring, skal ejeren underrette den berørte godkendte operatør inden for to uger.</w:t>
      </w:r>
    </w:p>
    <w:p w:rsidR="003F4969" w:rsidRPr="00090FF0" w:rsidRDefault="00895EA3" w:rsidP="003F4969">
      <w:pPr>
        <w:jc w:val="both"/>
      </w:pPr>
      <w:r>
        <w:t xml:space="preserve">Artikel R. 1271-10. – Hvis en identificeret cykel overdrages til en fagperson, der udøver ophugnings- eller klargøringsopgaver med henblik på cyklernes genanvendelse eller genbrug, underretter denne fagperson, der skal være registreret hos forvalteren af den nationale fortegnelse, sidstnævnte herom. Forvalteren af den nationale fortegnelse sender disse oplysninger til den godkendte operatør, der har leveret </w:t>
      </w:r>
      <w:proofErr w:type="spellStart"/>
      <w:r>
        <w:t>identifikatoren</w:t>
      </w:r>
      <w:proofErr w:type="spellEnd"/>
      <w:r>
        <w:t>, som så kontakter ejeren for at fortælle, hvor vedkommendes cykel befinder sig, og at vedkommende har tre måneder til at hente den, idet ejeren angiver, at cyklen, hvis den ikke afhentes inden for denne periode, kan sælges eller ophugges. Hvis ejeren ikke kendes, eller hvis den fagperson, der opbevarer cyklen, som han er forpligtet til, oplyser, at vedkommende ikke har hentet cyklen inden for tre måneder, slettes de persondata, der er registreret af den autoriserede operatør og er knyttet til cyklen, af den godkendte operatør og forvalteren af den nationale fortegnelse. Forvalteren af den nationale fortegnelse giver derefter fagpersonen de oplysninger, der kræves for at anmelde ejerskiftet til den godkendte operatør.</w:t>
      </w:r>
    </w:p>
    <w:p w:rsidR="003F4969" w:rsidRPr="00090FF0" w:rsidRDefault="00895EA3" w:rsidP="003F4969">
      <w:pPr>
        <w:jc w:val="both"/>
      </w:pPr>
      <w:r>
        <w:t>Transport- og indenrigsministeren kan i en fælles bekendtgørelse specificere bestemmelserne for anvendelse af de foregående afsnit.</w:t>
      </w:r>
    </w:p>
    <w:p w:rsidR="003F4969" w:rsidRPr="00090FF0" w:rsidRDefault="00895EA3" w:rsidP="003F4969">
      <w:pPr>
        <w:jc w:val="both"/>
      </w:pPr>
      <w:r>
        <w:t>Ved overdragelse af en identificeret cykel skal fagpersonen opfylde forpligtelserne som fastsat i artikel R. 1271-7.</w:t>
      </w:r>
    </w:p>
    <w:p w:rsidR="003F4969" w:rsidRPr="00090FF0" w:rsidRDefault="00895EA3" w:rsidP="003F4969">
      <w:pPr>
        <w:jc w:val="both"/>
      </w:pPr>
      <w:r>
        <w:t>Underafsnit 4</w:t>
      </w:r>
    </w:p>
    <w:p w:rsidR="003F4969" w:rsidRPr="00090FF0" w:rsidRDefault="00895EA3" w:rsidP="003F4969">
      <w:pPr>
        <w:jc w:val="both"/>
      </w:pPr>
      <w:r>
        <w:t>Udbyder godkendt til identificering af cykler</w:t>
      </w:r>
    </w:p>
    <w:p w:rsidR="003F4969" w:rsidRPr="00090FF0" w:rsidRDefault="00895EA3" w:rsidP="003F4969">
      <w:pPr>
        <w:jc w:val="both"/>
      </w:pPr>
      <w:r>
        <w:t xml:space="preserve">Artikel R. 1271-11. – En godkendt udbyder har en teknisk indretning til at anbringe </w:t>
      </w:r>
      <w:proofErr w:type="spellStart"/>
      <w:r>
        <w:t>identifikatoren</w:t>
      </w:r>
      <w:proofErr w:type="spellEnd"/>
      <w:r>
        <w:t xml:space="preserve"> på cyklen, som udelukkende leveres til vedkommende af forvalteren af den nationale fortegnelse.</w:t>
      </w:r>
    </w:p>
    <w:p w:rsidR="003F4969" w:rsidRPr="00090FF0" w:rsidRDefault="00895EA3" w:rsidP="003F4969">
      <w:pPr>
        <w:jc w:val="both"/>
      </w:pPr>
      <w:proofErr w:type="spellStart"/>
      <w:r>
        <w:lastRenderedPageBreak/>
        <w:t>Identifikatorens</w:t>
      </w:r>
      <w:proofErr w:type="spellEnd"/>
      <w:r>
        <w:t xml:space="preserve"> format fastsættes ved en fælles bekendtgørelse fra transport- og indenrigsministeren.</w:t>
      </w:r>
    </w:p>
    <w:p w:rsidR="003F4969" w:rsidRPr="00090FF0" w:rsidRDefault="00895EA3" w:rsidP="003F4969">
      <w:pPr>
        <w:jc w:val="both"/>
      </w:pPr>
      <w:r>
        <w:t>Den tekniske indretning, der anvendes til at identificere cykler, kan være underlagt de betingelser, der fremgår af den fælles bekendtgørelse fra transport- og indenrigsministeren.</w:t>
      </w:r>
    </w:p>
    <w:p w:rsidR="003F4969" w:rsidRPr="00090FF0" w:rsidRDefault="00895EA3" w:rsidP="003F4969">
      <w:pPr>
        <w:jc w:val="both"/>
      </w:pPr>
      <w:r>
        <w:t>Artikel R. 1271-12. – Hver godkendt udbyder er ansvarlig for vedligeholdelse af en database med identificerede cykler, hvis formål er de samme som dem i den unikke nationale fortegnelse over identificerede cykler, der er nævnt i artikel R. 1271-19.</w:t>
      </w:r>
    </w:p>
    <w:p w:rsidR="003F4969" w:rsidRPr="00090FF0" w:rsidRDefault="00895EA3" w:rsidP="003F4969">
      <w:pPr>
        <w:jc w:val="both"/>
      </w:pPr>
      <w:r>
        <w:t>Den godkendte operatør overfører data og oplysninger i denne database til forvalteren af​den nationale fortegnelse i overensstemmelse med de procedurer, der er fastlagt af sidstnævnte. Bestemmelserne om overførslen kan fastsættes ved en fælles bekendtgørelse fra transport- og indenrigsministeren.</w:t>
      </w:r>
    </w:p>
    <w:p w:rsidR="003F4969" w:rsidRPr="00090FF0" w:rsidRDefault="00895EA3" w:rsidP="00090FF0">
      <w:pPr>
        <w:keepNext/>
        <w:jc w:val="both"/>
      </w:pPr>
      <w:r>
        <w:t xml:space="preserve">Artikel R. 1271-13. – Stk. I. - En godkendt udbyders database indeholder for hver </w:t>
      </w:r>
      <w:proofErr w:type="spellStart"/>
      <w:r>
        <w:t>cykelidentifikator</w:t>
      </w:r>
      <w:proofErr w:type="spellEnd"/>
      <w:r>
        <w:t>:</w:t>
      </w:r>
    </w:p>
    <w:p w:rsidR="003F4969" w:rsidRPr="00090FF0" w:rsidRDefault="00895EA3" w:rsidP="003F4969">
      <w:pPr>
        <w:jc w:val="both"/>
      </w:pPr>
      <w:r>
        <w:t>1) personoplysninger, der gør det muligt at identificere og kontakte ejeren af​cyklen: efternavn og fornavn eller firmanavn på ejeren eller i givet fald medejeren samt telefonnummer og e-mailadresse; men i tilfælde af medejerskab kan disse sidstnævnte elementer imidlertid kun indsamles for en af​medejerne</w:t>
      </w:r>
    </w:p>
    <w:p w:rsidR="003F4969" w:rsidRPr="00090FF0" w:rsidRDefault="00895EA3" w:rsidP="003F4969">
      <w:pPr>
        <w:jc w:val="both"/>
      </w:pPr>
      <w:r>
        <w:t>2) data, der beskriver cyklen: køretøjets type, mærke, model, farve</w:t>
      </w:r>
    </w:p>
    <w:p w:rsidR="003F4969" w:rsidRPr="00090FF0" w:rsidRDefault="00895EA3" w:rsidP="003F4969">
      <w:pPr>
        <w:jc w:val="both"/>
      </w:pPr>
      <w:r>
        <w:t>3) cyklens status. De forskellige statusser for cyklen fastsættes ved en fælles bekendtgørelse fra transport- og indenrigsministeren.</w:t>
      </w:r>
    </w:p>
    <w:p w:rsidR="003F4969" w:rsidRPr="00090FF0" w:rsidRDefault="00895EA3" w:rsidP="00090FF0">
      <w:pPr>
        <w:keepNext/>
        <w:jc w:val="both"/>
      </w:pPr>
      <w:r>
        <w:t>Stk. II. – I denne database kan også oplyses:</w:t>
      </w:r>
    </w:p>
    <w:p w:rsidR="003F4969" w:rsidRPr="00090FF0" w:rsidRDefault="00895EA3" w:rsidP="003F4969">
      <w:pPr>
        <w:jc w:val="both"/>
      </w:pPr>
      <w:r>
        <w:t>1) valgfri personoplysninger: postadresse og fødselsdato for ejer eller, hvis relevant, for medejere</w:t>
      </w:r>
    </w:p>
    <w:p w:rsidR="003F4969" w:rsidRPr="00090FF0" w:rsidRDefault="00895EA3" w:rsidP="003F4969">
      <w:pPr>
        <w:jc w:val="both"/>
      </w:pPr>
      <w:r>
        <w:t>2) valgfri oplysninger til beskrivelse af cyklen: serienummer på cyklen, serienummer på motoren, serienummer på batteriet.</w:t>
      </w:r>
    </w:p>
    <w:p w:rsidR="003F4969" w:rsidRPr="00090FF0" w:rsidRDefault="00895EA3" w:rsidP="003F4969">
      <w:pPr>
        <w:jc w:val="both"/>
      </w:pPr>
      <w:r>
        <w:t>Artikel R. 1271-14. – Retten til indsigelse gælder ikke for de godkendte udbyderes forvaltning af databaser over identificerede cykler.</w:t>
      </w:r>
    </w:p>
    <w:p w:rsidR="003F4969" w:rsidRPr="00090FF0" w:rsidRDefault="00895EA3" w:rsidP="003F4969">
      <w:pPr>
        <w:jc w:val="both"/>
      </w:pPr>
      <w:r>
        <w:t>De identificerede cyklers ejeres ret til indsigt og berigtigelse udøves over for den pågældende godkendte udbyder.</w:t>
      </w:r>
    </w:p>
    <w:p w:rsidR="003F4969" w:rsidRPr="00090FF0" w:rsidRDefault="00895EA3" w:rsidP="003F4969">
      <w:pPr>
        <w:jc w:val="both"/>
      </w:pPr>
      <w:r>
        <w:t xml:space="preserve">Artikel R. 1271-15. – Hvis en fysisk eller juridisk person ikke længere ejer en cykel, meddeler vedkommende dette til den godkendte udbyder, der leverede </w:t>
      </w:r>
      <w:proofErr w:type="spellStart"/>
      <w:r>
        <w:t>identifikatoren</w:t>
      </w:r>
      <w:proofErr w:type="spellEnd"/>
      <w:r>
        <w:t>, som inden for 24 timer foretager en sikker sletning af personoplysningerne i artikel R. 1271-13, der vedrører vedkommende.</w:t>
      </w:r>
    </w:p>
    <w:p w:rsidR="003F4969" w:rsidRPr="00090FF0" w:rsidRDefault="00895EA3" w:rsidP="003F4969">
      <w:pPr>
        <w:jc w:val="both"/>
      </w:pPr>
      <w:r>
        <w:t>Artikel R. 1271-16. – Cykelidentificeringsudbyderne godkendes af transportministeren efter høring af indenrigsministeren og forvalteren af den nationale fortegnelse, hvis de opfylder de betingelser for solvens, kompetence og pålidelighed, der er defineret i et fælles dekret fra transport- og indenrigsministeren.</w:t>
      </w:r>
    </w:p>
    <w:p w:rsidR="00EC3AAD" w:rsidRPr="00090FF0" w:rsidRDefault="00895EA3" w:rsidP="003F4969">
      <w:pPr>
        <w:jc w:val="both"/>
      </w:pPr>
      <w:r>
        <w:t>Godkendelsen gælder for ét år og kan ved stiltiende samtykke fornys i seks år.</w:t>
      </w:r>
    </w:p>
    <w:p w:rsidR="00EC3AAD" w:rsidRPr="00090FF0" w:rsidRDefault="00895EA3" w:rsidP="003F4969">
      <w:pPr>
        <w:jc w:val="both"/>
      </w:pPr>
      <w:r>
        <w:t xml:space="preserve">Artikel R. 1271-17. – Hvis den godkendte udbyder tilsidesætter de forpligtelser, der pålægges denne i henhold til bestemmelserne i dette afsnit, eller de forpligtelser, der pålægges denne i henhold til Europa-Parlamentets og Rådets forordning (EU) 2016/679 af 27. april 2016 om beskyttelse af fysiske personer i forbindelse med behandling af personoplysninger og om fri udveksling af sådanne oplysninger og om ophævelse af direktiv 95/46/EF og lov nr. 78-17 af 6. januar 1978 om databehandling, filer og frihedsrettigheder, kan transportministeren bede forvalteren af den unikke </w:t>
      </w:r>
      <w:r>
        <w:lastRenderedPageBreak/>
        <w:t xml:space="preserve">nationale fortegnelse om at suspendere al tildeling af </w:t>
      </w:r>
      <w:proofErr w:type="spellStart"/>
      <w:r>
        <w:t>identifikatorer</w:t>
      </w:r>
      <w:proofErr w:type="spellEnd"/>
      <w:r>
        <w:t xml:space="preserve"> i en periode, som transportministeren fastsætter, og som ikke kan overstige et år, eller trække godkendelsen tilbage. Det samme gælder, hvis den godkendte udbyder ophører med at opfylde en eller flere af de betingelser, der er fastsat for godkendelse anført i artikel R. 1271-16.</w:t>
      </w:r>
    </w:p>
    <w:p w:rsidR="00EC3AAD" w:rsidRPr="00090FF0" w:rsidRDefault="00895EA3" w:rsidP="003F4969">
      <w:pPr>
        <w:jc w:val="both"/>
      </w:pPr>
      <w:r>
        <w:t>Den udbyder, det drejer sig om, underrettes på forhånd om årsagerne og arten af de påtænkte foranstaltninger og får mulighed for at afgive skriftlige bemærkninger, og i givet fald, på vedkommendes anmodning, mundtlige bemærkninger. I suspenderingsperioden beholder udbyderen dataene vedrørende de identificerede cykler og registrerer de optagelser eller ændringer, der er sendt til vedkommende.</w:t>
      </w:r>
    </w:p>
    <w:p w:rsidR="00EC3AAD" w:rsidRPr="00090FF0" w:rsidRDefault="00895EA3" w:rsidP="003F4969">
      <w:pPr>
        <w:jc w:val="both"/>
      </w:pPr>
      <w:r>
        <w:t>Artikel R. 1271-18. – Hvis en autoriseret operatør ophører med sin aktivitet eller får sin godkendelse trukket tilbage, indgår forvalteren af den nationale fortegnelse i stedet for den pågældende og påtager sig alle de forpligtelser, der påhviler godkendte udbydere i henhold til dette afsnit. Til dette formål meddeler forvalteren de enkelte ejere af de identificerede cykler de oplysninger, der giver vedkommende mulighed for at udøve deres ret til indsigt og berigtigelse.</w:t>
      </w:r>
    </w:p>
    <w:p w:rsidR="00EC3AAD" w:rsidRPr="00090FF0" w:rsidRDefault="00895EA3" w:rsidP="003F4969">
      <w:pPr>
        <w:jc w:val="both"/>
      </w:pPr>
      <w:r>
        <w:t>Underafsnit 5</w:t>
      </w:r>
    </w:p>
    <w:p w:rsidR="00EC3AAD" w:rsidRPr="00090FF0" w:rsidRDefault="00895EA3" w:rsidP="003F4969">
      <w:pPr>
        <w:jc w:val="both"/>
      </w:pPr>
      <w:r>
        <w:t>Den unikke nationale fortegnelse over identificerede cykler</w:t>
      </w:r>
    </w:p>
    <w:p w:rsidR="00EC3AAD" w:rsidRPr="00090FF0" w:rsidRDefault="00895EA3" w:rsidP="003F4969">
      <w:pPr>
        <w:jc w:val="both"/>
      </w:pPr>
      <w:r>
        <w:t>Artikel R. 1271-19. – Den unikke nationale fortegnelse over identificerede cykler, der er fastsat i artikel L. 1271-3, giver mulighed for at bekæmpe tyveri, hæleri eller ulovligt videresalg og i givet fald mulighed for at returnere cyklen til dens ejer.</w:t>
      </w:r>
    </w:p>
    <w:p w:rsidR="00EC3AAD" w:rsidRPr="00090FF0" w:rsidRDefault="00895EA3" w:rsidP="003F4969">
      <w:pPr>
        <w:jc w:val="both"/>
      </w:pPr>
      <w:r>
        <w:t>Den udgøres af de oplysninger, der fremgår af databaserne hos de i henhold til artikel R. 1271-13 godkendte udbydere.</w:t>
      </w:r>
    </w:p>
    <w:p w:rsidR="00EC3AAD" w:rsidRPr="00090FF0" w:rsidRDefault="00895EA3" w:rsidP="003F4969">
      <w:pPr>
        <w:jc w:val="both"/>
      </w:pPr>
      <w:r>
        <w:t>Retten til indsigelse gælder ikke for den unikke nationale fortegnelse.</w:t>
      </w:r>
    </w:p>
    <w:p w:rsidR="00EC3AAD" w:rsidRPr="00090FF0" w:rsidRDefault="00895EA3" w:rsidP="003F4969">
      <w:pPr>
        <w:jc w:val="both"/>
      </w:pPr>
      <w:r>
        <w:t>De oplysninger, der fremgår af den unikke nationale fortegnelse, må ikke anvendes til kommercielle formål, men kan dog anvendes til statistiske formål.</w:t>
      </w:r>
    </w:p>
    <w:p w:rsidR="00EC3AAD" w:rsidRPr="00090FF0" w:rsidRDefault="00895EA3" w:rsidP="003F4969">
      <w:pPr>
        <w:jc w:val="both"/>
      </w:pPr>
      <w:r>
        <w:t>Artikel R. 1271-20. – Ændringer, der foretages af ejeren af​en identificeret cykel i en godkendt udbyders database, sendes samtidigt til og registreres af forvalteren af den nationale fortegnelse. Det samme gælder for sikker sletning af personoplysninger hos den autoriserede udbyder, hvis den fysiske eller juridiske person meddeler, at vedkommende ikke længere ejer cyklen.</w:t>
      </w:r>
    </w:p>
    <w:p w:rsidR="00EC3AAD" w:rsidRPr="00090FF0" w:rsidRDefault="00895EA3" w:rsidP="003F4969">
      <w:pPr>
        <w:jc w:val="both"/>
      </w:pPr>
      <w:r>
        <w:t xml:space="preserve">Artikel R. 1271-21. – Den status for cyklen, der fremgår af den unikke nationale fortegnelse, er frit tilgængelig ved hjælp af </w:t>
      </w:r>
      <w:proofErr w:type="spellStart"/>
      <w:r>
        <w:t>cykelidentifikatoren</w:t>
      </w:r>
      <w:proofErr w:type="spellEnd"/>
      <w:r>
        <w:t>.</w:t>
      </w:r>
    </w:p>
    <w:p w:rsidR="00EC3AAD" w:rsidRPr="00090FF0" w:rsidRDefault="00895EA3" w:rsidP="00090FF0">
      <w:pPr>
        <w:keepNext/>
        <w:jc w:val="both"/>
      </w:pPr>
      <w:r>
        <w:t>Artikel R. 1271-22. Dataene i den unikke nationale fortegnelse er tilgængelige inden for de rammer, de er tillagt, og udelukkende til de formål, der fremgår af artikel L. 1271-3:</w:t>
      </w:r>
    </w:p>
    <w:p w:rsidR="00EC3AAD" w:rsidRPr="00090FF0" w:rsidRDefault="00895EA3" w:rsidP="003F4969">
      <w:pPr>
        <w:jc w:val="both"/>
      </w:pPr>
      <w:r>
        <w:t>1) for politimyndigheder, gendarmeri og toldmyndigheder</w:t>
      </w:r>
    </w:p>
    <w:p w:rsidR="00EC3AAD" w:rsidRPr="00090FF0" w:rsidRDefault="00895EA3" w:rsidP="003F4969">
      <w:pPr>
        <w:jc w:val="both"/>
      </w:pPr>
      <w:r>
        <w:t>2) for ansatte i det lokale politi, landbetjente og ansatte på hittegodskontorer, der er bemyndiget af deres lokalforvaltning</w:t>
      </w:r>
    </w:p>
    <w:p w:rsidR="00EC3AAD" w:rsidRPr="00090FF0" w:rsidRDefault="00895EA3" w:rsidP="003F4969">
      <w:pPr>
        <w:jc w:val="both"/>
      </w:pPr>
      <w:r>
        <w:t>3) for godkendte opbevaringssteder for beslaglagte genstande under anvendelse af artikel R. 325-24 i færdselsloven</w:t>
      </w:r>
    </w:p>
    <w:p w:rsidR="00EC3AAD" w:rsidRPr="00090FF0" w:rsidRDefault="00895EA3" w:rsidP="003F4969">
      <w:pPr>
        <w:jc w:val="both"/>
      </w:pPr>
      <w:r>
        <w:t>4) personer, tjenester eller organer, der bidrager til identificering af cykler</w:t>
      </w:r>
    </w:p>
    <w:p w:rsidR="00EC3AAD" w:rsidRPr="00090FF0" w:rsidRDefault="00895EA3" w:rsidP="003F4969">
      <w:pPr>
        <w:jc w:val="both"/>
      </w:pPr>
      <w:r>
        <w:lastRenderedPageBreak/>
        <w:t>5) for direktøren for centralforvaltningen for transport og mobilitet eller ansatte under dennes myndighed.</w:t>
      </w:r>
    </w:p>
    <w:p w:rsidR="00EC3AAD" w:rsidRPr="00090FF0" w:rsidRDefault="00895EA3" w:rsidP="003F4969">
      <w:pPr>
        <w:jc w:val="both"/>
      </w:pPr>
      <w:r>
        <w:t>Betingelserne for adgang til den unikke nationale fortegnelse kan fastsættes ved en fælles bekendtgørelse fra transport- og indenrigsministeren.</w:t>
      </w:r>
    </w:p>
    <w:p w:rsidR="00EC3AAD" w:rsidRPr="00090FF0" w:rsidRDefault="00895EA3" w:rsidP="003F4969">
      <w:pPr>
        <w:jc w:val="both"/>
      </w:pPr>
      <w:r>
        <w:t>Artikel R. 1271-23. – Forvaltningen af den unikke nationale fortegnelse varetages af et organ med stort kendskab til cykelbranchen og opfylder de kvalifikations-, erfarings- og tekniske kompetencekrav, der kræves for at kunne forvalte en national identificeringsfortegnelse med personoplysninger på en pålidelig og sikker måde. Organet står for at forvalte den unikke nationale fortegnelse.</w:t>
      </w:r>
    </w:p>
    <w:p w:rsidR="00EC3AAD" w:rsidRPr="00090FF0" w:rsidRDefault="00895EA3" w:rsidP="003F4969">
      <w:pPr>
        <w:jc w:val="both"/>
      </w:pPr>
      <w:r>
        <w:t>Transportministeren udnævner organet for en periode på seks år. Udnævnelsen kan forlænges.</w:t>
      </w:r>
    </w:p>
    <w:p w:rsidR="00EC3AAD" w:rsidRPr="00090FF0" w:rsidRDefault="00895EA3" w:rsidP="00090FF0">
      <w:pPr>
        <w:keepNext/>
        <w:jc w:val="both"/>
      </w:pPr>
      <w:r>
        <w:t>Artikel R. 1271-24. – Transportministeren kan når som helst trække forvaltningen af den nationale fortegnelse tilbage fra det udpegede organ:</w:t>
      </w:r>
    </w:p>
    <w:p w:rsidR="00EC3AAD" w:rsidRPr="00090FF0" w:rsidRDefault="00895EA3" w:rsidP="003F4969">
      <w:pPr>
        <w:jc w:val="both"/>
      </w:pPr>
      <w:r>
        <w:t>1) hvis det udpegede organ ophører med at opfylde betingelserne fastsat i artikel R. 1271-23</w:t>
      </w:r>
    </w:p>
    <w:p w:rsidR="00EC3AAD" w:rsidRPr="00090FF0" w:rsidRDefault="00895EA3" w:rsidP="003F4969">
      <w:pPr>
        <w:jc w:val="both"/>
      </w:pPr>
      <w:r>
        <w:t>2) ved alvorlig tilsidesættelse af de forpligtelser, der pålægges organet i henhold til bestemmelserne i dette afsnit, eller de forpligtelser, der pålægges det i henhold til Europa-Parlamentets og Rådets forordning (EU) 2016/679 af 27. april 2016 om beskyttelse af fysiske personer i forbindelse med behandling af personoplysninger og om fri udveksling af sådanne oplysninger og om ophævelse af direktiv 95/46/EF og lov nr. 78-17 af 6. januar 1978 om databehandling, filer og frihedsrettigheder</w:t>
      </w:r>
    </w:p>
    <w:p w:rsidR="00EC3AAD" w:rsidRPr="00090FF0" w:rsidRDefault="00895EA3" w:rsidP="003F4969">
      <w:pPr>
        <w:jc w:val="both"/>
      </w:pPr>
      <w:r>
        <w:t>3) af hensyn til den almene interesse.</w:t>
      </w:r>
    </w:p>
    <w:p w:rsidR="00EC3AAD" w:rsidRPr="00090FF0" w:rsidRDefault="00895EA3" w:rsidP="003F4969">
      <w:pPr>
        <w:jc w:val="both"/>
      </w:pPr>
      <w:r>
        <w:t>I tilfældene i nr. 1) og 2) giver ministeren på forhånd organet mulighed for igen at sikre opfyldelsen af forpligtelserne inden for en fastsat frist.</w:t>
      </w:r>
    </w:p>
    <w:p w:rsidR="00EC3AAD" w:rsidRPr="00090FF0" w:rsidRDefault="00895EA3" w:rsidP="003F4969">
      <w:pPr>
        <w:jc w:val="both"/>
      </w:pPr>
      <w:r>
        <w:t>Underafsnit 6 Sanktioner</w:t>
      </w:r>
    </w:p>
    <w:p w:rsidR="00EC3AAD" w:rsidRPr="00090FF0" w:rsidRDefault="00895EA3" w:rsidP="00090FF0">
      <w:pPr>
        <w:keepNext/>
        <w:jc w:val="both"/>
      </w:pPr>
      <w:r>
        <w:t>Artikel R. 1271-25. – Følgende straffes med bøde som fastsat for overtrædelser af første klasse, hvis en forhandler:</w:t>
      </w:r>
    </w:p>
    <w:p w:rsidR="00EC3AAD" w:rsidRPr="00090FF0" w:rsidRDefault="00895EA3" w:rsidP="003F4969">
      <w:pPr>
        <w:jc w:val="both"/>
      </w:pPr>
      <w:r>
        <w:t>1) sælger en cykel, der er underlagt identificeringsforpligtelsen, uden at have identificeret den</w:t>
      </w:r>
    </w:p>
    <w:p w:rsidR="00EC3AAD" w:rsidRPr="00090FF0" w:rsidRDefault="00895EA3" w:rsidP="003F4969">
      <w:pPr>
        <w:jc w:val="both"/>
      </w:pPr>
      <w:r>
        <w:t xml:space="preserve">2) ikke sender </w:t>
      </w:r>
      <w:proofErr w:type="spellStart"/>
      <w:r>
        <w:t>identifikator</w:t>
      </w:r>
      <w:proofErr w:type="spellEnd"/>
      <w:r>
        <w:t xml:space="preserve"> og status for en cykel, som vedkommende har solgt, til den godkendte udbyder, der har leveret </w:t>
      </w:r>
      <w:proofErr w:type="spellStart"/>
      <w:r>
        <w:t>identifikatoren</w:t>
      </w:r>
      <w:proofErr w:type="spellEnd"/>
      <w:r>
        <w:t>.</w:t>
      </w:r>
    </w:p>
    <w:p w:rsidR="00EC3AAD" w:rsidRPr="00090FF0" w:rsidRDefault="00895EA3" w:rsidP="00090FF0">
      <w:pPr>
        <w:keepNext/>
        <w:jc w:val="both"/>
      </w:pPr>
      <w:r>
        <w:t>Artikel R. 1271-26. – Det straffes med bøde fastsat for overtrædelser af første klasse, hvis en fagperson, der udøver ophugnings- eller klargøringsopgaver med henblik på cyklernes genanvendelse:</w:t>
      </w:r>
    </w:p>
    <w:p w:rsidR="00EC3AAD" w:rsidRPr="00090FF0" w:rsidRDefault="00895EA3" w:rsidP="003F4969">
      <w:pPr>
        <w:jc w:val="both"/>
      </w:pPr>
      <w:r>
        <w:t>1) ikke oplyser forvalteren af den nationale fortegnelse om, at en identificeret cykel er blevet indleveret til vedkommende</w:t>
      </w:r>
    </w:p>
    <w:p w:rsidR="00EC3AAD" w:rsidRPr="00090FF0" w:rsidRDefault="00895EA3" w:rsidP="003F4969">
      <w:pPr>
        <w:jc w:val="both"/>
      </w:pPr>
      <w:r>
        <w:t>2) ikke oplyser forvalteren af den nationale fortegnelse om, at en identificeret cykel ikke er blevet hentet af dens ejer</w:t>
      </w:r>
    </w:p>
    <w:p w:rsidR="00895EA3" w:rsidRPr="00090FF0" w:rsidRDefault="00895EA3" w:rsidP="003F4969">
      <w:pPr>
        <w:jc w:val="both"/>
      </w:pPr>
      <w:r>
        <w:t xml:space="preserve">3) ikke sender </w:t>
      </w:r>
      <w:proofErr w:type="spellStart"/>
      <w:r>
        <w:t>identifikator</w:t>
      </w:r>
      <w:proofErr w:type="spellEnd"/>
      <w:r>
        <w:t xml:space="preserve"> og status for en cykel til den godkendte udbyder, der har leveret </w:t>
      </w:r>
      <w:proofErr w:type="spellStart"/>
      <w:r>
        <w:t>identifikatoren</w:t>
      </w:r>
      <w:proofErr w:type="spellEnd"/>
      <w:r>
        <w:t xml:space="preserve">, udleverer en identificeret cykel. </w:t>
      </w:r>
    </w:p>
    <w:p w:rsidR="00895EA3" w:rsidRPr="00090FF0" w:rsidRDefault="00895EA3" w:rsidP="00090FF0">
      <w:pPr>
        <w:keepNext/>
        <w:jc w:val="both"/>
        <w:rPr>
          <w:b/>
          <w:bCs/>
        </w:rPr>
      </w:pPr>
      <w:r>
        <w:rPr>
          <w:b/>
        </w:rPr>
        <w:t>Artikel 2</w:t>
      </w:r>
    </w:p>
    <w:p w:rsidR="00895EA3" w:rsidRPr="00090FF0" w:rsidRDefault="00895EA3" w:rsidP="003F4969">
      <w:pPr>
        <w:jc w:val="both"/>
      </w:pPr>
      <w:r>
        <w:t>Ministeren for grøn og solidarisk omstilling, indenrigsministeren, seglbevareren, justitsministeren og viceministeren for grøn omstilling med ansvar for transport er hver især ansvarlige for gennemførelsen af nærværende dekret, som offentliggøres i Journal officiel, Den Franske Republiks statstidende.</w:t>
      </w:r>
    </w:p>
    <w:p w:rsidR="00EC3AAD" w:rsidRPr="00090FF0" w:rsidRDefault="00895EA3" w:rsidP="003F4969">
      <w:pPr>
        <w:jc w:val="both"/>
      </w:pPr>
      <w:r>
        <w:lastRenderedPageBreak/>
        <w:t>Udfærdiget den 23. november 2020</w:t>
      </w:r>
    </w:p>
    <w:p w:rsidR="00EC3AAD" w:rsidRPr="00090FF0" w:rsidRDefault="00895EA3" w:rsidP="003F4969">
      <w:pPr>
        <w:jc w:val="both"/>
      </w:pPr>
      <w:r>
        <w:t xml:space="preserve">På premierministerens vegne: Jean </w:t>
      </w:r>
      <w:proofErr w:type="spellStart"/>
      <w:r>
        <w:t>Castex</w:t>
      </w:r>
      <w:proofErr w:type="spellEnd"/>
    </w:p>
    <w:p w:rsidR="00EC3AAD" w:rsidRPr="00090FF0" w:rsidRDefault="00895EA3" w:rsidP="003F4969">
      <w:pPr>
        <w:jc w:val="both"/>
      </w:pPr>
      <w:r>
        <w:t xml:space="preserve">Viceministeren for grøn omstilling med ansvar for transport, Jean-Baptiste </w:t>
      </w:r>
      <w:proofErr w:type="spellStart"/>
      <w:r>
        <w:t>Djebbari</w:t>
      </w:r>
      <w:proofErr w:type="spellEnd"/>
    </w:p>
    <w:p w:rsidR="00EC3AAD" w:rsidRPr="00090FF0" w:rsidRDefault="00895EA3" w:rsidP="003F4969">
      <w:pPr>
        <w:jc w:val="both"/>
      </w:pPr>
      <w:r>
        <w:t xml:space="preserve">Ministeren for grøn omstilling, Barbara </w:t>
      </w:r>
      <w:proofErr w:type="spellStart"/>
      <w:r>
        <w:t>Pompili</w:t>
      </w:r>
      <w:proofErr w:type="spellEnd"/>
    </w:p>
    <w:p w:rsidR="00EC3AAD" w:rsidRPr="00090FF0" w:rsidRDefault="00895EA3" w:rsidP="003F4969">
      <w:pPr>
        <w:jc w:val="both"/>
      </w:pPr>
      <w:r>
        <w:t xml:space="preserve">Indenrigsministeren, </w:t>
      </w:r>
      <w:proofErr w:type="spellStart"/>
      <w:r>
        <w:t>Gérald</w:t>
      </w:r>
      <w:proofErr w:type="spellEnd"/>
      <w:r>
        <w:t xml:space="preserve"> </w:t>
      </w:r>
      <w:proofErr w:type="spellStart"/>
      <w:r>
        <w:t>Darmanin</w:t>
      </w:r>
      <w:proofErr w:type="spellEnd"/>
    </w:p>
    <w:p w:rsidR="00895EA3" w:rsidRPr="00090FF0" w:rsidRDefault="00895EA3" w:rsidP="003F4969">
      <w:pPr>
        <w:jc w:val="both"/>
      </w:pPr>
      <w:r>
        <w:t xml:space="preserve">Seglbevarer og justitsminister, </w:t>
      </w:r>
      <w:proofErr w:type="spellStart"/>
      <w:r>
        <w:t>Éric</w:t>
      </w:r>
      <w:proofErr w:type="spellEnd"/>
      <w:r>
        <w:t xml:space="preserve"> </w:t>
      </w:r>
      <w:proofErr w:type="spellStart"/>
      <w:r>
        <w:t>Dupond-Moretti</w:t>
      </w:r>
      <w:proofErr w:type="spellEnd"/>
    </w:p>
    <w:sectPr w:rsidR="00895EA3" w:rsidRPr="00090FF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615F" w:rsidRDefault="001D615F" w:rsidP="00004586">
      <w:pPr>
        <w:spacing w:after="0" w:line="240" w:lineRule="auto"/>
      </w:pPr>
      <w:r>
        <w:separator/>
      </w:r>
    </w:p>
  </w:endnote>
  <w:endnote w:type="continuationSeparator" w:id="0">
    <w:p w:rsidR="001D615F" w:rsidRDefault="001D615F" w:rsidP="0000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615F" w:rsidRDefault="001D615F" w:rsidP="00004586">
      <w:pPr>
        <w:spacing w:after="0" w:line="240" w:lineRule="auto"/>
      </w:pPr>
      <w:r>
        <w:separator/>
      </w:r>
    </w:p>
  </w:footnote>
  <w:footnote w:type="continuationSeparator" w:id="0">
    <w:p w:rsidR="001D615F" w:rsidRDefault="001D615F" w:rsidP="000045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EA3"/>
    <w:rsid w:val="00004586"/>
    <w:rsid w:val="00090FF0"/>
    <w:rsid w:val="00163BBB"/>
    <w:rsid w:val="001D615F"/>
    <w:rsid w:val="003F4969"/>
    <w:rsid w:val="007F47DB"/>
    <w:rsid w:val="00887817"/>
    <w:rsid w:val="00895EA3"/>
    <w:rsid w:val="0095276B"/>
    <w:rsid w:val="00C322F7"/>
    <w:rsid w:val="00E30B8A"/>
    <w:rsid w:val="00EC3AA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16C8C"/>
  <w15:chartTrackingRefBased/>
  <w15:docId w15:val="{6EF8C073-4646-4396-BA44-C8F14C4EC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586"/>
    <w:pPr>
      <w:tabs>
        <w:tab w:val="center" w:pos="4320"/>
        <w:tab w:val="right" w:pos="8640"/>
      </w:tabs>
      <w:spacing w:after="0" w:line="240" w:lineRule="auto"/>
    </w:pPr>
  </w:style>
  <w:style w:type="character" w:customStyle="1" w:styleId="HeaderChar">
    <w:name w:val="Header Char"/>
    <w:basedOn w:val="DefaultParagraphFont"/>
    <w:link w:val="Header"/>
    <w:uiPriority w:val="99"/>
    <w:rsid w:val="00004586"/>
  </w:style>
  <w:style w:type="paragraph" w:styleId="Footer">
    <w:name w:val="footer"/>
    <w:basedOn w:val="Normal"/>
    <w:link w:val="FooterChar"/>
    <w:uiPriority w:val="99"/>
    <w:unhideWhenUsed/>
    <w:rsid w:val="00004586"/>
    <w:pPr>
      <w:tabs>
        <w:tab w:val="center" w:pos="4320"/>
        <w:tab w:val="right" w:pos="8640"/>
      </w:tabs>
      <w:spacing w:after="0" w:line="240" w:lineRule="auto"/>
    </w:pPr>
  </w:style>
  <w:style w:type="character" w:customStyle="1" w:styleId="FooterChar">
    <w:name w:val="Footer Char"/>
    <w:basedOn w:val="DefaultParagraphFont"/>
    <w:link w:val="Footer"/>
    <w:uiPriority w:val="99"/>
    <w:rsid w:val="00004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528826">
      <w:bodyDiv w:val="1"/>
      <w:marLeft w:val="0"/>
      <w:marRight w:val="0"/>
      <w:marTop w:val="0"/>
      <w:marBottom w:val="0"/>
      <w:divBdr>
        <w:top w:val="none" w:sz="0" w:space="0" w:color="auto"/>
        <w:left w:val="none" w:sz="0" w:space="0" w:color="auto"/>
        <w:bottom w:val="none" w:sz="0" w:space="0" w:color="auto"/>
        <w:right w:val="none" w:sz="0" w:space="0" w:color="auto"/>
      </w:divBdr>
      <w:divsChild>
        <w:div w:id="1502811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2648</Words>
  <Characters>15094</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Ke, Tingting</cp:lastModifiedBy>
  <cp:revision>6</cp:revision>
  <dcterms:created xsi:type="dcterms:W3CDTF">2020-11-25T08:54:00Z</dcterms:created>
  <dcterms:modified xsi:type="dcterms:W3CDTF">2021-01-22T01:59:00Z</dcterms:modified>
</cp:coreProperties>
</file>