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Ruotsin kansanterveysviraston määräykset</w:t>
      </w:r>
      <w:r>
        <w:br/>
      </w:r>
      <w:r>
        <w:t xml:space="preserve">tupakkaa sisältämättömistä nikotiinituotteista;</w:t>
      </w:r>
      <w:r>
        <w:t xml:space="preserve">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annettu </w:t>
      </w:r>
      <w:r>
        <w:rPr>
          <w:highlight w:val="yellow"/>
        </w:rPr>
        <w:t xml:space="preserve">[päivämäärä]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sz w:val="21"/>
          <w:b w:val="0"/>
        </w:rPr>
        <w:t xml:space="preserve">Ruotsin kansanterveysvirasto säätää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sz w:val="21"/>
          <w:b w:val="0"/>
        </w:rPr>
        <w:t xml:space="preserve"> tupakkaa sisältämättömistä nikotiinituotteista annetun asetuksen (2022:1263) 4 §:n nojalla seuraavaa.</w:t>
      </w:r>
      <w:r>
        <w:rPr>
          <w:sz w:val="21"/>
          <w:b w:val="0"/>
        </w:rPr>
        <w:t xml:space="preserve">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 xml:space="preserve">Johdantosäännökset</w:t>
      </w:r>
    </w:p>
    <w:p w14:paraId="78C85C8F" w14:textId="77777777" w:rsidR="009902B0" w:rsidRDefault="009902B0" w:rsidP="000509F1">
      <w:pPr>
        <w:pStyle w:val="HSLF-FS-Rubrik-3"/>
      </w:pPr>
      <w:r>
        <w:t xml:space="preserve">Soveltamisala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1 §</w:t>
      </w:r>
      <w:r>
        <w:t xml:space="preserve">  Näillä määräyksillä täydennetään tupakkaa sisältämättömistä nikotiinituotteista annetun lain (2022:1257) ja tupakkaa sisältämättömistä nikotiinituotteista annetun asetuksen (2022:1263) säännöksiä.</w:t>
      </w:r>
      <w:r>
        <w:t xml:space="preserve">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2 §</w:t>
      </w:r>
      <w:r>
        <w:t xml:space="preserve">  Näitä määräyksiä soveltavat sellaisten tupakkaa sisältämättömien nikotiinituotteiden valmistajat, maahantuojat ja jakelijat, jotka on tarkoitus asettaa kuluttajien saataville markkinoilla.</w:t>
      </w:r>
      <w:r>
        <w:t xml:space="preserve">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</w:t>
      </w:r>
      <w:r>
        <w:t xml:space="preserve">Määräyksissä on säännöksiä, jotka koskevat tuoteilmoitusta, merkintöjä, ilmoitusvelvollisuutta ja tiedonantovelvollisuutta.</w:t>
      </w:r>
      <w:r>
        <w:t xml:space="preserve">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t xml:space="preserve">Määritelmät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3 §</w:t>
      </w:r>
      <w:r>
        <w:t xml:space="preserve">  Tupakkaa sisältämättömistä nikotiinituotteista annetussa laissa (2022:1257) ja tupakkaa sisältämättömistä nikotiinituotteista annetussa asetuksessa (2022:1263) käytetyillä termeillä ja käsitteillä on sama merkitys näissä määräyksissä.</w:t>
      </w:r>
      <w:r>
        <w:t xml:space="preserve">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4 §</w:t>
      </w:r>
      <w:r>
        <w:t xml:space="preserve">  Näissä määräyksissä sovelletaan myös seuraavia termejä:</w:t>
      </w:r>
      <w:r>
        <w:t xml:space="preserve">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jakelija:</w:t>
      </w:r>
      <w:r>
        <w:t xml:space="preserve"> toimitusketjuun kuuluva luonnollinen henkilö tai oikeushenkilö, joka asettaa tupakkaa sisältämättömän nikotiinituotteen saataville markkinoilla mutta joka ei ole valmistaja tai maahantuoja;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mainospaikka:</w:t>
      </w:r>
      <w:r>
        <w:t xml:space="preserve"> tupakkaa sisältämättömistä nikotiinituotteista annetun lain (2022:1257) 10 §:n ensimmäisen momentin 1 ja 2 kohdassa tarkoitetuissa tiedotusvälineissä kaupalliseen mainontaan tarkoitettu alue;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vähittäismyyntipakkaus: </w:t>
      </w:r>
      <w:r>
        <w:t xml:space="preserve">tupakkaa sisältämättömän nikotiinituotteen pienin yksittäispakkaus, joka on saatettu markkinoille;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myyntipäällys:</w:t>
      </w:r>
      <w:r>
        <w:t xml:space="preserve"> pakkaus, jossa tupakkaa sisältämättömät nikotiinituotteet saatetaan markkinoille ja joka sisältää vähittäismyyntipakkauksen tai useita vähittäismyyntipakkauksia;</w:t>
      </w:r>
      <w:r>
        <w:t xml:space="preserve"> </w:t>
      </w:r>
      <w:r>
        <w:t xml:space="preserve">läpinäkyviä kääreitä ei pidetä myyntipäällyksenä.</w:t>
      </w:r>
      <w:r>
        <w:t xml:space="preserve">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 xml:space="preserve">Tuoteilmoitus</w:t>
      </w:r>
    </w:p>
    <w:p w14:paraId="2EBE1B3B" w14:textId="77777777" w:rsidR="00B274C8" w:rsidRDefault="00B274C8" w:rsidP="00B274C8">
      <w:r>
        <w:rPr>
          <w:b/>
        </w:rPr>
        <w:t xml:space="preserve">5 §</w:t>
      </w:r>
      <w:r>
        <w:t xml:space="preserve">  Tupakkaa sisältämättömistä nikotiinituotteista annetun lain (2022:1257) 5 §:n mukainen tuoteilmoitus on toimitettava Ruotsin kansanterveysviraston tuoteilmoitusta varten tarjoamassa teknisessä ratkaisussa käytetyssä muodossa.</w:t>
      </w:r>
      <w:r>
        <w:t xml:space="preserve">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 xml:space="preserve">Merkinnät</w:t>
      </w:r>
    </w:p>
    <w:p w14:paraId="37B24B72" w14:textId="77777777" w:rsidR="00B274C8" w:rsidRDefault="00B274C8" w:rsidP="00B274C8">
      <w:pPr>
        <w:pStyle w:val="HSLF-FS-Rubrik-3"/>
      </w:pPr>
      <w:r>
        <w:t xml:space="preserve">Ainesosaluettelo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 xml:space="preserve">6 §</w:t>
      </w:r>
      <w:r>
        <w:t xml:space="preserve">  </w:t>
      </w:r>
      <w:r>
        <w:rPr>
          <w:sz w:val="21"/>
        </w:rPr>
        <w:t xml:space="preserve">Tupakkaa sisältämättömistä nikotiinituotteista annetun asetuksen (2022:1263) 11 §:n mukainen ainesosaluettelo on annettava vähittäismyyntipakkauksen ja myyntipäällyksen yhdellä suurimmista pinnoista, ja sen on katettava 20 prosenttia tästä pinnasta.</w:t>
      </w:r>
      <w:r>
        <w:rPr>
          <w:sz w:val="21"/>
        </w:rPr>
        <w:t xml:space="preserve"> </w:t>
      </w:r>
      <w:r>
        <w:rPr>
          <w:sz w:val="21"/>
        </w:rPr>
        <w:t xml:space="preserve">Muilta osin ainesosaluettelon on täytettävä 9 §:n c–e ja g momentissa säädetyt vaatimukset.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sz w:val="21"/>
          <w:b/>
        </w:rPr>
        <w:t xml:space="preserve">7 §</w:t>
      </w:r>
      <w:r>
        <w:rPr>
          <w:sz w:val="21"/>
        </w:rPr>
        <w:t xml:space="preserve">  Ainesosaluettelon on oltava ruotsiksi.</w:t>
      </w:r>
    </w:p>
    <w:p w14:paraId="5A867DE5" w14:textId="77777777" w:rsidR="00B274C8" w:rsidRPr="00B274C8" w:rsidRDefault="00B274C8" w:rsidP="00B274C8">
      <w:r>
        <w:rPr>
          <w:sz w:val="21"/>
          <w:b/>
        </w:rPr>
        <w:t xml:space="preserve">8 §</w:t>
      </w:r>
      <w:r>
        <w:rPr>
          <w:sz w:val="21"/>
        </w:rPr>
        <w:t xml:space="preserve">  Edellä olevan 6 §:n mukaiset ainesosaluettelot voidaan kiinnittää tarroilla edellyttäen, ettei näitä tarroja voida irrottaa.</w:t>
      </w:r>
      <w:r>
        <w:rPr>
          <w:sz w:val="21"/>
        </w:rPr>
        <w:t xml:space="preserve">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 xml:space="preserve">Terveysvaroitus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sz w:val="21"/>
          <w:b/>
        </w:rPr>
        <w:t xml:space="preserve">9 §</w:t>
      </w:r>
      <w:r>
        <w:rPr>
          <w:sz w:val="21"/>
        </w:rPr>
        <w:t xml:space="preserve">  Tupakkaa sisältämättömistä nikotiinituotteista annetun asetuksen (2022:1263) 12 §:ssä tarkoitetun terveysvaroituksen on täytettävä seuraavat vaatimukset: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 xml:space="preserve">a. se on näyttävä vähittäismyyntipakkauksen ja mahdollisen myyntipäällyksen kahdella suurimmalla pinnalla;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 xml:space="preserve">b. sen on katettava 30 prosenttia vähittäismyyntipakkauksen ja mahdollisen myyntipäällyksen pinnasta;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 xml:space="preserve">c. se on kirjoitettava mustalla lihavoidulla Helvetica-kirjasimella;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 xml:space="preserve">d. se on kirjoitettava mustalla valkoiselle taustalle;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 xml:space="preserve">e. se on kirjoitettava kirjasinkoolla, jolla varmistetaan, että teksti peittää mahdollisimman suuren osan tälle merkinnälle varatusta alueesta;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 xml:space="preserve">f. sen on oltava keskellä sille varattua aluetta, ja suorakulmaisissa pakkauksissa ja mahdollisessa myyntipäällyksessä sen on oltava yhdensuuntainen vähittäismyyntipakkauksen tai myyntipäällyksen sivulaidan kanssa;</w:t>
      </w:r>
      <w:r>
        <w:t xml:space="preserve"> </w:t>
      </w:r>
      <w:r>
        <w:t xml:space="preserve">ja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 xml:space="preserve">g. sen on oltava yhdensuuntainen näille varoituksille varatulla pinnalla olevan painetun päätekstin kanssa.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sz w:val="21"/>
          <w:b/>
        </w:rPr>
        <w:t xml:space="preserve">10 §</w:t>
      </w:r>
      <w:r>
        <w:rPr>
          <w:sz w:val="21"/>
        </w:rPr>
        <w:t xml:space="preserve">  Edellä olevan 9 §:n mukaiset terveysvaroitukset voidaan kiinnittää tarroilla edellyttäen, ettei näitä tarroja voida irrottaa.</w:t>
      </w:r>
    </w:p>
    <w:p w14:paraId="61CF3BF9" w14:textId="11E7944F" w:rsidR="00DA031C" w:rsidRDefault="00DA031C" w:rsidP="00144DE9">
      <w:pPr>
        <w:pStyle w:val="HSLF-FS-Rubrik-2"/>
      </w:pPr>
      <w:r>
        <w:t xml:space="preserve">Terveysvaroitus kaupan pitämisen yhteydessä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eastAsia="Calibri"/>
        </w:rPr>
      </w:pPr>
      <w:r>
        <w:rPr>
          <w:sz w:val="21"/>
          <w:color w:val="000000"/>
          <w:b/>
        </w:rPr>
        <w:t xml:space="preserve">11 §  </w:t>
      </w:r>
      <w:r>
        <w:rPr>
          <w:sz w:val="21"/>
          <w:color w:val="000000"/>
        </w:rPr>
        <w:t xml:space="preserve">Tupakkaa sisältämättömistä nikotiinituotteista annetun lain (2022:1257) 10 §:n ensimmäisen momentin 1 ja 2 kohdan mukaisen myynninedistämisen yhteydessä tupakkaa sisältämättömistä nikotiinituotteista annetun asetuksen (2022:1263) 12 §:n </w:t>
      </w:r>
      <w:r>
        <w:rPr>
          <w:sz w:val="21"/>
        </w:rPr>
        <w:t xml:space="preserve">mukaisen terveysvaroituksen on oltava selvästi näkyvillä aina, kun tuote tai tuotteen tavaramerkki on esillä.</w:t>
      </w:r>
      <w:r>
        <w:rPr>
          <w:sz w:val="21"/>
        </w:rPr>
        <w:t xml:space="preserve"> </w:t>
      </w:r>
      <w:r>
        <w:rPr>
          <w:sz w:val="21"/>
        </w:rPr>
        <w:t xml:space="preserve">Terveysvaroituksen on katettava 30 prosenttia mainospaikasta ja oltava kaikilta muilta osin näiden määräysten 9 §:n c–e ja g momentin säännösten mukainen.</w:t>
      </w:r>
      <w:r>
        <w:rPr>
          <w:sz w:val="21"/>
        </w:rPr>
        <w:t xml:space="preserve">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sz w:val="21"/>
          <w:color w:val="000000"/>
          <w:b/>
        </w:rPr>
        <w:t xml:space="preserve">  </w:t>
      </w:r>
      <w:r>
        <w:rPr>
          <w:sz w:val="21"/>
          <w:color w:val="000000"/>
        </w:rPr>
        <w:t xml:space="preserve">Tupakkaa sisältämättömistä nikotiinituotteista annetun lain (2022:1257) 10 §:n ensimmäisen momentin 3 kohdan mukaisen kaupan pitämisen yhteydessä tupakkaa sisältämättömistä nikotiinituotteista annetun asetuksen (2022:1263) 12 §:n </w:t>
      </w:r>
      <w:r>
        <w:rPr>
          <w:sz w:val="21"/>
        </w:rPr>
        <w:t xml:space="preserve">mukaisen terveysvaroituksen on oltava selvästi näkyvillä aina, kun tuote tai tuotteen tavaramerkki on esillä.</w:t>
      </w:r>
      <w:r>
        <w:rPr>
          <w:sz w:val="21"/>
        </w:rPr>
        <w:t xml:space="preserve"> </w:t>
      </w:r>
      <w:r>
        <w:rPr>
          <w:sz w:val="21"/>
        </w:rPr>
        <w:t xml:space="preserve">Terveysvaroituksen on kaikilta muilta osin oltava näiden määräysten 9 §:n c–e momentin säännösten mukainen.</w:t>
      </w:r>
      <w:r>
        <w:rPr>
          <w:sz w:val="21"/>
        </w:rPr>
        <w:t xml:space="preserve">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 xml:space="preserve">Ilmoitusvelvollisuus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sz w:val="21"/>
          <w:szCs w:val="21"/>
          <w:rFonts w:eastAsia="Calibri"/>
        </w:rPr>
      </w:pPr>
      <w:r>
        <w:rPr>
          <w:sz w:val="21"/>
          <w:b/>
        </w:rPr>
        <w:t xml:space="preserve">12 §</w:t>
      </w:r>
      <w:r>
        <w:rPr>
          <w:sz w:val="21"/>
        </w:rPr>
        <w:t xml:space="preserve">  Tupakkaa sisältämättömistä nikotiinituotteista annetun lain (2022:1257) 14 §:n mukaiset tiedot on toimitettava samassa teknisessä ratkaisussa kuin näiden määräysten 5 §:n mukainen tuoteilmoitus.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Tiedonantovelvollisuus</w:t>
      </w:r>
      <w:r>
        <w:t xml:space="preserve">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 xml:space="preserve">13 §</w:t>
      </w:r>
      <w:r>
        <w:rPr>
          <w:b w:val="0"/>
        </w:rPr>
        <w:t xml:space="preserve">  </w:t>
      </w:r>
      <w:r>
        <w:rPr>
          <w:b w:val="0"/>
          <w:i w:val="0"/>
          <w:sz w:val="21"/>
        </w:rPr>
        <w:t xml:space="preserve">Tupakkaa sisältämättömistä nikotiinituotteista annetun lain (2022:1257) 16 §:n toisen momentin mukainen valmistajan, maahantuojan ja jakelijan tiedonanto on toimitettava samassa teknisessä ratkaisussa kuin näiden määräysten 5 §:n mukainen tuoteilmoitus.</w:t>
      </w:r>
      <w:r>
        <w:rPr>
          <w:b w:val="0"/>
          <w:i w:val="0"/>
          <w:sz w:val="21"/>
        </w:rPr>
        <w:t xml:space="preserve">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 xml:space="preserve"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 xml:space="preserve">Näiden määräysten 5, 11 ja 12 § tulevat voimaan 1 päivänä tammikuuta 2024,</w:t>
      </w:r>
      <w:r>
        <w:rPr>
          <w:color w:val="auto"/>
        </w:rPr>
        <w:t xml:space="preserve"> </w:t>
      </w:r>
      <w:r>
        <w:rPr>
          <w:color w:val="auto"/>
        </w:rPr>
        <w:t xml:space="preserve">ja kaikki muut pykälät tulevat voimaan 1 päivänä heinäkuuta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Ruotsin kansanterveysvirasto</w:t>
      </w:r>
      <w:r>
        <w:t xml:space="preserve">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 xml:space="preserve"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 xml:space="preserve"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 xml:space="preserve"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Ilmoitus on tehty teknisiä määräyksiä ja tietoyhteiskunnan palveluja koskevia määräyksiä koskevien tietojen toimittamisessa noudatettavasta menettelystä 9 päivänä syyskuuta 2015 annetun Euroopan parlamentin ja neuvoston direktiivin (EU) 2015/1535 mukaisesti.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BB6229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LUONNOS"/>
          <w10:wrap anchorx="margin" anchory="margin"/>
        </v:shape>
      </w:pict>
    </w:r>
    <w: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 xml:space="preserve">HSLF-FS</w:t>
                          </w:r>
                          <w:r>
                            <w:br/>
                          </w:r>
                          <w:r>
                            <w:t xml:space="preserve"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BB6229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LUONNOS"/>
          <w10:wrap anchorx="margin" anchory="margin"/>
        </v:shape>
      </w:pic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 xml:space="preserve">HSLF-FS</w:t>
                          </w:r>
                          <w:r>
                            <w:br/>
                          </w:r>
                          <w:r>
                            <w:t xml:space="preserve"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BB6229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LUONNOS"/>
          <w10:wrap anchorx="margin" anchory="margin"/>
        </v:shape>
      </w:pict>
    </w:r>
    <w:r>
      <w:t xml:space="preserve">Terveydenhuoltoa, sairaanhoitoa, sosiaalipalveluja, lääkkeitä, kansanterveyttä jne. koskeva yhteinen säädöskokoelma</w:t>
    </w:r>
  </w:p>
  <w:p w14:paraId="1C104ACA" w14:textId="77777777" w:rsidR="00DB331A" w:rsidRDefault="004D7ACB" w:rsidP="00B27E7C">
    <w:pPr>
      <w:pStyle w:val="HSLF-FS-Dokmentinformation"/>
      <w:ind w:right="-96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 xml:space="preserve">HSLF-FS</w:t>
                          </w:r>
                          <w:r>
                            <w:br/>
                          </w:r>
                          <w:r>
                            <w:t xml:space="preserve"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 xml:space="preserve">Ilmestynyt painosta xx päivänä heinäkuuta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 xml:space="preserve">Ilmestynyt painosta xx päivänä heinäkuuta 20xx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>
      <w:t xml:space="preserve">ISSN xxx-xxxx, osanumero xxxxxxxx</w:t>
    </w:r>
    <w:r>
      <w:br/>
    </w:r>
    <w:r>
      <w:t xml:space="preserve">Julkaisija:</w:t>
    </w:r>
    <w:r>
      <w:t xml:space="preserve"> </w:t>
    </w:r>
    <w:r>
      <w:t xml:space="preserve">Lakiosaston johtaja, Pär Ödman, sosiaalihallitus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dirty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8</cp:revision>
  <cp:lastPrinted>2013-04-29T08:38:00Z</cp:lastPrinted>
  <dcterms:created xsi:type="dcterms:W3CDTF">2023-01-20T11:15:00Z</dcterms:created>
  <dcterms:modified xsi:type="dcterms:W3CDTF">2023-01-27T11:16:00Z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