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Ministerie van Justitie en Consumentenbescherming</w:t>
      </w:r>
    </w:p>
    <w:p w14:paraId="4622CA11" w14:textId="77777777" w:rsidR="002720FF" w:rsidRPr="00683CE0" w:rsidRDefault="002720FF" w:rsidP="00EA1D8C">
      <w:pPr>
        <w:pStyle w:val="DokumentkopfTitel"/>
      </w:pPr>
      <w:r>
        <w:t xml:space="preserve">Wijzigingsvoorstel</w:t>
      </w:r>
    </w:p>
    <w:p w14:paraId="3FAED9FF" w14:textId="77777777" w:rsidR="002720FF" w:rsidRPr="00683CE0" w:rsidRDefault="002720FF" w:rsidP="00EA1D8C">
      <w:pPr>
        <w:pStyle w:val="DokumentkopfBezeichnung"/>
      </w:pPr>
      <w:r>
        <w:t xml:space="preserve">betreffende de ontwerp-wet van de Federale regering</w:t>
      </w:r>
    </w:p>
    <w:p w14:paraId="31EDF417" w14:textId="77777777" w:rsidR="002720FF" w:rsidRPr="00683CE0" w:rsidRDefault="002720FF" w:rsidP="00EA1D8C">
      <w:pPr>
        <w:pStyle w:val="DokumentkopfBezeichnung"/>
      </w:pPr>
      <w:r>
        <w:t xml:space="preserve">- document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Wetsontwerp inzake eerlijke consumentenovereenkomsten</w:t>
      </w:r>
    </w:p>
    <w:p w14:paraId="43B17458" w14:textId="77777777" w:rsidR="002720FF" w:rsidRDefault="002720FF" w:rsidP="00EA1D8C">
      <w:pPr>
        <w:spacing w:line="360" w:lineRule="auto"/>
        <w:rPr>
          <w:sz w:val="22"/>
          <w:rFonts w:ascii="Arial" w:hAnsi="Arial" w:cs="Arial"/>
        </w:rPr>
      </w:pPr>
      <w:r>
        <w:rPr>
          <w:sz w:val="22"/>
          <w:rFonts w:ascii="Arial" w:hAnsi="Arial"/>
        </w:rPr>
        <w:t xml:space="preserve">Er is voorgesteld dat het Bundestag (Parlement) zou moeten besluiten</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over de goedkeuring van de ontwerp-wet in document 19/26915 met de volgende bepalingen, anders ongewijzigd:</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Aan de titel wordt de volgende voetnoot toegevoegd:</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De aanmelding heeft plaatsgevonden overeenkomstig Richtlijn (EU) 2015/1535 van het Europees Parlement en de Raad van 9 september 2015 betreffende een informatieprocedure op het gebied van technische voorschriften en regels betreffende de diensten van de informatiemaatschappij. (PB1.L 241 van 17 september 2015, blz. 1).</w:t>
      </w:r>
    </w:p>
    <w:p w14:paraId="321F69E0" w14:textId="6E4A4B30" w:rsidR="00826E52" w:rsidRDefault="00826E52" w:rsidP="00416421">
      <w:pPr>
        <w:pStyle w:val="EmpfehlungNummerierungStufe1"/>
      </w:pPr>
      <w:r>
        <w:t xml:space="preserve">Artikel 1 wordt als volgt gewijzigd:</w:t>
      </w:r>
    </w:p>
    <w:p w14:paraId="63EFF5B4" w14:textId="6CD7E956" w:rsidR="0021568B" w:rsidRPr="0021568B" w:rsidRDefault="0021568B" w:rsidP="00DA2D64">
      <w:pPr>
        <w:pStyle w:val="EmpfehlungNummerierungStufe2"/>
      </w:pPr>
      <w:r>
        <w:t xml:space="preserve">Na punt 3 worden de volgende punten 4 tot en met 6 ingevoegd:</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In § 312(7), zin 1, worden de woorden “§ 312 l” vervangen door “§ 312 m”.</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Na § 312j wordt de volgende § 312k ingevoegd:</w:t>
      </w:r>
    </w:p>
    <w:p w14:paraId="2A7410BB" w14:textId="77777777" w:rsidR="0075168F" w:rsidRPr="00E574A2" w:rsidRDefault="0075168F" w:rsidP="009D590D">
      <w:pPr>
        <w:pStyle w:val="RevisionParagraphBezeichnermanuell"/>
        <w:spacing w:after="120"/>
        <w:ind w:left="1345" w:hanging="90"/>
        <w:outlineLvl w:val="7"/>
      </w:pPr>
      <w:r>
        <w:t xml:space="preserve">‘§ 312k</w:t>
      </w:r>
    </w:p>
    <w:p w14:paraId="41B291F4" w14:textId="486B3F04" w:rsidR="0075168F" w:rsidRPr="00416421" w:rsidRDefault="0075168F" w:rsidP="009D590D">
      <w:pPr>
        <w:pStyle w:val="RevisionParagraphberschrift"/>
        <w:spacing w:before="120" w:after="120"/>
        <w:ind w:left="1345"/>
        <w:outlineLvl w:val="7"/>
      </w:pPr>
      <w:r>
        <w:t xml:space="preserve">Beëindiging van consumentenovereenkomsten in de elektronische handel</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Wanneer een website consumenten in staat stelt een overeenkomst inzake elektronische handel te sluiten die tot doel heeft een permanente schuldrelatie tot stand te brengen en een onderneming verplicht een dienst in ruil te verrichten, moet de onderneming voldoen aan de in die bepaling neergelegde verplichtingen.</w:t>
      </w:r>
      <w:r>
        <w:t xml:space="preserve"> </w:t>
      </w:r>
      <w:r>
        <w:t xml:space="preserve">Dit is niet van toepassing op</w:t>
      </w:r>
    </w:p>
    <w:p w14:paraId="2FF8D6A4" w14:textId="14FBFEC6" w:rsidR="00C10FA1" w:rsidRPr="0090252A" w:rsidRDefault="0052341C" w:rsidP="009D590D">
      <w:pPr>
        <w:pStyle w:val="RevisionNummerierungStufe1"/>
        <w:tabs>
          <w:tab w:val="clear" w:pos="425"/>
          <w:tab w:val="num" w:pos="1770"/>
        </w:tabs>
        <w:ind w:left="1770"/>
      </w:pPr>
      <w:r>
        <w:t xml:space="preserve">contracten waarvan de opzegging alleen in een strengere vorm dan schriftelijk is voorzien; en</w:t>
      </w:r>
    </w:p>
    <w:p w14:paraId="3F8AA9D7" w14:textId="7C181D21" w:rsidR="00E57275" w:rsidRPr="00AE662A" w:rsidRDefault="006F7B3A" w:rsidP="009D590D">
      <w:pPr>
        <w:pStyle w:val="RevisionNummerierungStufe1"/>
        <w:tabs>
          <w:tab w:val="clear" w:pos="425"/>
          <w:tab w:val="num" w:pos="1770"/>
        </w:tabs>
        <w:ind w:left="1770"/>
      </w:pPr>
      <w:r>
        <w:t xml:space="preserve">met betrekking tot websites in het kader van financiële diensten of contracten met betrekking tot financiële diensten.</w:t>
      </w:r>
    </w:p>
    <w:p w14:paraId="45A2845B" w14:textId="6F37F124" w:rsidR="009E06E3" w:rsidRDefault="00AE3F1C" w:rsidP="009D590D">
      <w:pPr>
        <w:pStyle w:val="RevisionJuristischerAbsatz"/>
        <w:tabs>
          <w:tab w:val="clear" w:pos="850"/>
          <w:tab w:val="num" w:pos="2195"/>
        </w:tabs>
        <w:ind w:left="1345"/>
      </w:pPr>
      <w:r>
        <w:t xml:space="preserve">De onderneming moet ervoor zorgen dat de consument op de website een verklaring kan afleggen van de gewone of buitengewone opzegging van een overeenkomst die op de website is gesloten in overeenstemming met de zin van § 1, Zin 1 via een beëindigingsknop.</w:t>
      </w:r>
      <w:r>
        <w:t xml:space="preserve"> </w:t>
      </w:r>
      <w:r>
        <w:t xml:space="preserve">De beëindigingsknop moet gemakkelijk leesbaar zijn met niets anders dan de woorden “overeenkomsten hier annuleren” of met een passende ondubbelzinnige vermelding worden geëtiketteerd.</w:t>
      </w:r>
      <w:r>
        <w:t xml:space="preserve"> </w:t>
      </w:r>
      <w:r>
        <w:t xml:space="preserve">De knop moet de consument rechtstreeks naar een bevestigingspagina leiden die</w:t>
      </w:r>
    </w:p>
    <w:p w14:paraId="63A70429" w14:textId="0658A2E9" w:rsidR="002A3FE5" w:rsidRDefault="006E2F12" w:rsidP="009D590D">
      <w:pPr>
        <w:pStyle w:val="RevisionNummerierungStufe1"/>
        <w:tabs>
          <w:tab w:val="clear" w:pos="425"/>
          <w:tab w:val="num" w:pos="1770"/>
        </w:tabs>
        <w:ind w:left="1770"/>
      </w:pPr>
      <w:r>
        <w:t xml:space="preserve">de consument vraagt en de mogelijkheid biedt informatie te verstrekken</w:t>
      </w:r>
    </w:p>
    <w:p w14:paraId="1A0A97F8" w14:textId="04EE9D94" w:rsidR="006E2F12" w:rsidRDefault="002A3FE5" w:rsidP="009D590D">
      <w:pPr>
        <w:pStyle w:val="RevisionNummerierungStufe2"/>
        <w:tabs>
          <w:tab w:val="clear" w:pos="850"/>
          <w:tab w:val="num" w:pos="2195"/>
        </w:tabs>
        <w:ind w:left="2195"/>
      </w:pPr>
      <w:r>
        <w:t xml:space="preserve">wat betreft de aard van de beëindiging en, in geval van buitengewone beëindiging, de grond van beëindiging,</w:t>
      </w:r>
    </w:p>
    <w:p w14:paraId="459452DE" w14:textId="5BCFA0A2" w:rsidR="002A3FE5" w:rsidRDefault="002A3FE5" w:rsidP="009D590D">
      <w:pPr>
        <w:pStyle w:val="RevisionNummerierungStufe2"/>
        <w:tabs>
          <w:tab w:val="clear" w:pos="850"/>
          <w:tab w:val="num" w:pos="2195"/>
        </w:tabs>
        <w:ind w:left="2195"/>
      </w:pPr>
      <w:r>
        <w:t xml:space="preserve">wat betreft de ondubbelzinnige identificatie ervan,</w:t>
      </w:r>
    </w:p>
    <w:p w14:paraId="0B7A6589" w14:textId="2A8E4FF6" w:rsidR="002A3FE5" w:rsidRDefault="002A3FE5" w:rsidP="009D590D">
      <w:pPr>
        <w:pStyle w:val="RevisionNummerierungStufe2"/>
        <w:tabs>
          <w:tab w:val="clear" w:pos="850"/>
          <w:tab w:val="num" w:pos="2195"/>
        </w:tabs>
        <w:ind w:left="2195"/>
      </w:pPr>
      <w:r>
        <w:t xml:space="preserve">met betrekking tot de ondubbelzinnige aanwijzing van het Verdrag,</w:t>
      </w:r>
    </w:p>
    <w:p w14:paraId="309E68B5" w14:textId="4790EC1D" w:rsidR="00846EFD" w:rsidRDefault="00846EFD" w:rsidP="009D590D">
      <w:pPr>
        <w:pStyle w:val="RevisionNummerierungStufe2"/>
        <w:tabs>
          <w:tab w:val="clear" w:pos="850"/>
          <w:tab w:val="num" w:pos="2195"/>
        </w:tabs>
        <w:ind w:left="2195"/>
      </w:pPr>
      <w:r>
        <w:t xml:space="preserve">op het tijdstip waarop de beëindiging de contractuele relatie moet beëindigen,</w:t>
      </w:r>
    </w:p>
    <w:p w14:paraId="1E1303B1" w14:textId="2C482F67" w:rsidR="002A3FE5" w:rsidRDefault="00AE3F1C" w:rsidP="00846EFD">
      <w:pPr>
        <w:pStyle w:val="RevisionNummerierungStufe2"/>
        <w:tabs>
          <w:tab w:val="clear" w:pos="850"/>
          <w:tab w:val="num" w:pos="2195"/>
        </w:tabs>
        <w:ind w:left="2195"/>
      </w:pPr>
      <w:r>
        <w:t xml:space="preserve">voor de snelle elektronische overdracht van de bevestiging van beëindiging aan hem en</w:t>
      </w:r>
    </w:p>
    <w:p w14:paraId="4F18B29F" w14:textId="576EFA0F" w:rsidR="00222EE0" w:rsidRDefault="009E06E3" w:rsidP="009D590D">
      <w:pPr>
        <w:pStyle w:val="RevisionNummerierungStufe1"/>
        <w:tabs>
          <w:tab w:val="clear" w:pos="425"/>
          <w:tab w:val="num" w:pos="1770"/>
        </w:tabs>
        <w:ind w:left="1770"/>
      </w:pPr>
      <w:r>
        <w:t xml:space="preserve">een bevestigingsknop bevat waarmee de consument de kennisgeving van opzegging kan indienen en die gemakkelijk leesbaar is met niets anders dan de woorden “nu annuleren” of gemarkeerd met een passende ondubbelzinnige formulering.</w:t>
      </w:r>
    </w:p>
    <w:p w14:paraId="41B87BA6" w14:textId="4412EB32" w:rsidR="00591E40" w:rsidRDefault="009F7F4E" w:rsidP="009D590D">
      <w:pPr>
        <w:pStyle w:val="RevisionJuristischerAbsatzFolgeabsatz"/>
        <w:ind w:left="1345"/>
      </w:pPr>
      <w:r>
        <w:t xml:space="preserve">De gebruikersinterfaces en de bevestigingspagina moeten permanent beschikbaar en onmiddellijk en gemakkelijk toegankelijk zijn.</w:t>
      </w:r>
    </w:p>
    <w:p w14:paraId="01895F53" w14:textId="274AB82F" w:rsidR="00F15270" w:rsidRDefault="0075168F" w:rsidP="009D590D">
      <w:pPr>
        <w:pStyle w:val="RevisionJuristischerAbsatz"/>
        <w:tabs>
          <w:tab w:val="clear" w:pos="850"/>
          <w:tab w:val="num" w:pos="2195"/>
        </w:tabs>
        <w:ind w:left="1345"/>
      </w:pPr>
      <w:r>
        <w:t xml:space="preserve">De consument moet op een duurzame drager zijn verklaring van beëindiging kunnen bewaren door op de bevestigingsknop met de datum en het tijdstip van de levering te drukken, zodat kan worden vastgesteld dat de verklaring van beëindiging is ingediend door op de bevestigingsknop te drukken.</w:t>
      </w:r>
    </w:p>
    <w:p w14:paraId="0E1A934D" w14:textId="79962F83" w:rsidR="0075168F" w:rsidRPr="004C591F" w:rsidRDefault="0075168F" w:rsidP="009D590D">
      <w:pPr>
        <w:pStyle w:val="RevisionJuristischerAbsatz"/>
        <w:tabs>
          <w:tab w:val="clear" w:pos="850"/>
          <w:tab w:val="num" w:pos="2195"/>
        </w:tabs>
        <w:ind w:left="1345"/>
      </w:pPr>
      <w:r>
        <w:t xml:space="preserve">De onderneming bevestigt de consument onmiddellijk de inhoud en de datum en het tijdstip van ontvangst van de kennisgeving van opzegging, alsmede de datum waarop de overeenkomst door de opzegging zal worden beëindigd, schriftelijk langs elektronische weg.</w:t>
      </w:r>
      <w:r>
        <w:t xml:space="preserve"> </w:t>
      </w:r>
      <w:r>
        <w:t xml:space="preserve">Aangenomen wordt dat de onderneming onmiddellijk na de indiening van de aanvraag een kennisgeving van beëindiging heeft ontvangen door op de bevestigingsknop te drukken.</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Indien de consument niet aangeeft op welk tijdstip de beëindiging bedoeld is om de contractuele relatie te beëindigen bij het indienen van de kennisgeving van beëindiging, dan zal de opzegging bij twijfel zo spoedig mogelijk worden uitgevoerd.</w:t>
      </w:r>
    </w:p>
    <w:p w14:paraId="0063AC95" w14:textId="2CD687CE" w:rsidR="0075168F" w:rsidRPr="000C76EB" w:rsidRDefault="003C1CD0" w:rsidP="009D590D">
      <w:pPr>
        <w:pStyle w:val="RevisionJuristischerAbsatz"/>
        <w:tabs>
          <w:tab w:val="clear" w:pos="850"/>
          <w:tab w:val="num" w:pos="2195"/>
        </w:tabs>
        <w:ind w:left="1345"/>
      </w:pPr>
      <w:r>
        <w:t xml:space="preserve">Indien de knoppen en de bevestigingspagina niet beschikbaar worden gesteld overeenkomstig de leden 1 en 2, kan een consument een overeenkomst opzeggen waarvoor de knoppen en de bevestigingspagina voor opzegging te allen tijde en zonder inachtneming van een opzegtermijn ter beschikking moeten worden gesteld.</w:t>
      </w:r>
      <w:r>
        <w:t xml:space="preserve"> </w:t>
      </w:r>
      <w:r>
        <w:t xml:space="preserve">Dit heeft geen invloed op de mogelijkheid voor de consument om bij wijze van uitzondering op te zeggen.”</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De voorgaande §§ 312k en 312 l worden §§ 312 l en 312 m.’</w:t>
      </w:r>
    </w:p>
    <w:p w14:paraId="6405AD62" w14:textId="2EED1D99" w:rsidR="0021568B" w:rsidRDefault="0021568B" w:rsidP="00DA2D64">
      <w:pPr>
        <w:pStyle w:val="EmpfehlungNummerierungStufe2"/>
      </w:pPr>
      <w:r>
        <w:t xml:space="preserve">Het vorige nummer 4 wordt nummer 7.</w:t>
      </w:r>
    </w:p>
    <w:p w14:paraId="2D9EE4F1" w14:textId="49ED0B65" w:rsidR="00D663F5" w:rsidRDefault="00D663F5" w:rsidP="008E21D5">
      <w:pPr>
        <w:pStyle w:val="EmpfehlungNummerierungStufe1"/>
      </w:pPr>
      <w:r>
        <w:t xml:space="preserve">Artikel 2 luidt als volgt:</w:t>
      </w:r>
    </w:p>
    <w:p w14:paraId="2A51C349" w14:textId="28141D5E" w:rsidR="008657B1" w:rsidRPr="008657B1" w:rsidRDefault="008657B1" w:rsidP="009D590D">
      <w:pPr>
        <w:pStyle w:val="RevisionArtikelBezeichnermanuell"/>
        <w:ind w:left="425" w:hanging="70"/>
      </w:pPr>
      <w:r>
        <w:t xml:space="preserve">‘Artikel 2</w:t>
      </w:r>
    </w:p>
    <w:p w14:paraId="5837AD5B" w14:textId="0C0D5684" w:rsidR="008657B1" w:rsidRPr="008657B1" w:rsidRDefault="008657B1" w:rsidP="009D590D">
      <w:pPr>
        <w:pStyle w:val="RevisionArtikelberschrift"/>
        <w:ind w:left="425"/>
      </w:pPr>
      <w:r>
        <w:t xml:space="preserve">Wijziging van de inleidende wet op het Burgerlijk Wetboek</w:t>
      </w:r>
    </w:p>
    <w:p w14:paraId="460ABE0F" w14:textId="5A512474" w:rsidR="008657B1" w:rsidRPr="004F1B81" w:rsidRDefault="007B6582" w:rsidP="009D590D">
      <w:pPr>
        <w:pStyle w:val="RevisionJuristischerAbsatzmanuell"/>
        <w:tabs>
          <w:tab w:val="clear" w:pos="850"/>
          <w:tab w:val="left" w:pos="1275"/>
        </w:tabs>
        <w:ind w:left="425"/>
      </w:pPr>
      <w:r>
        <w:t xml:space="preserve">De inleidende wet op het Burgerlijk Wetboek in de versie gepubliceerd op 21 september 1994 (Staatsblad I, blz. 2494, 1997; I blz. 1061), laatstelijk gewijzigd bij artikel 10 van de wet van 22 december 2020 (Staatsblad I blz. 3328), is gewijzigd, wordt als volgt gewijzigd:</w:t>
      </w:r>
    </w:p>
    <w:p w14:paraId="6B027298" w14:textId="034AC32F" w:rsidR="008657B1" w:rsidRPr="004F1B81" w:rsidRDefault="008657B1" w:rsidP="009D590D">
      <w:pPr>
        <w:pStyle w:val="RevisionNummerierungStufe1"/>
        <w:tabs>
          <w:tab w:val="clear" w:pos="425"/>
          <w:tab w:val="num" w:pos="850"/>
        </w:tabs>
        <w:ind w:left="850"/>
      </w:pPr>
      <w:r>
        <w:t xml:space="preserve">Artikel 229 wordt vervangen door het volgende lid §...</w:t>
      </w:r>
      <w:r>
        <w:t xml:space="preserve"> </w:t>
      </w:r>
      <w:r>
        <w:t xml:space="preserve">[introduceren: volgende aanduiding bij vrije telling wanneer afgekondigd] toegevoegd:</w:t>
      </w:r>
    </w:p>
    <w:p w14:paraId="57F318B2" w14:textId="77777777" w:rsidR="008657B1" w:rsidRPr="004F1B81" w:rsidRDefault="008657B1" w:rsidP="009D590D">
      <w:pPr>
        <w:pStyle w:val="RevisionParagraphBezeichnermanuell"/>
        <w:ind w:left="850" w:hanging="90"/>
      </w:pPr>
      <w:r>
        <w:t xml:space="preserve">‘§...</w:t>
      </w:r>
      <w:r>
        <w:t xml:space="preserve"> </w:t>
      </w:r>
      <w:r>
        <w:t xml:space="preserve">[opnemen: volgende aanduiding bij vrije telling wanneer afgekondigd]</w:t>
      </w:r>
    </w:p>
    <w:p w14:paraId="240738A9" w14:textId="77777777" w:rsidR="008657B1" w:rsidRPr="004F1B81" w:rsidRDefault="008657B1" w:rsidP="009D590D">
      <w:pPr>
        <w:pStyle w:val="RevisionParagraphberschrift"/>
        <w:ind w:left="850"/>
      </w:pPr>
      <w:r>
        <w:t xml:space="preserve">Overgangsbepaling op de wet inzake eerlijke consumentenovereenkomsten</w:t>
      </w:r>
    </w:p>
    <w:p w14:paraId="48E37EC8" w14:textId="49D04865" w:rsidR="008657B1" w:rsidRPr="008657B1" w:rsidRDefault="008657B1" w:rsidP="009D590D">
      <w:pPr>
        <w:pStyle w:val="RevisionJuristischerAbsatzmanuell"/>
        <w:tabs>
          <w:tab w:val="clear" w:pos="850"/>
          <w:tab w:val="left" w:pos="1700"/>
        </w:tabs>
        <w:ind w:left="850"/>
      </w:pPr>
      <w:r>
        <w:t xml:space="preserve">Aan een schuld die voorafgaat aan de...</w:t>
      </w:r>
      <w:r>
        <w:t xml:space="preserve"> </w:t>
      </w:r>
      <w:r>
        <w:t xml:space="preserve">[instelling:</w:t>
      </w:r>
      <w:r>
        <w:t xml:space="preserve"> </w:t>
      </w:r>
      <w:r>
        <w:t xml:space="preserve">De datum van inwerkingtreding overeenkomstig de zin van artikel 5(3), van deze wet] is van toepassing op de bepalingen van het Burgerlijk Wetboek zoals gewijzigd tot die datum.”</w:t>
      </w:r>
    </w:p>
    <w:p w14:paraId="28F84168" w14:textId="767BCDD5" w:rsidR="0062256C" w:rsidRPr="008657B1" w:rsidRDefault="00D663F5" w:rsidP="009D590D">
      <w:pPr>
        <w:pStyle w:val="RevisionNummerierungStufe1"/>
        <w:tabs>
          <w:tab w:val="clear" w:pos="425"/>
          <w:tab w:val="num" w:pos="850"/>
        </w:tabs>
        <w:ind w:left="850"/>
      </w:pPr>
      <w:r>
        <w:t xml:space="preserve">In artikel 246e(1)(2), nummer 10, worden de woorden “§ 312k” vervangen door “§ 312 l”.</w:t>
      </w:r>
    </w:p>
    <w:p w14:paraId="7A235F18" w14:textId="116CF696" w:rsidR="008E21D5" w:rsidRDefault="007B6582" w:rsidP="004F1B81">
      <w:pPr>
        <w:pStyle w:val="EmpfehlungNummerierungStufe1"/>
      </w:pPr>
      <w:r>
        <w:t xml:space="preserve">Na artikel 5, zin 1 wordt de volgende zin ingevoegd:</w:t>
      </w:r>
    </w:p>
    <w:p w14:paraId="0316D114" w14:textId="7AD83BCB" w:rsidR="008E21D5" w:rsidRDefault="0052608D" w:rsidP="009D590D">
      <w:pPr>
        <w:pStyle w:val="RevisionJuristischerAbsatzFolgeabsatz"/>
        <w:ind w:left="425"/>
      </w:pPr>
      <w:r>
        <w:t xml:space="preserve">‘Artikelen 1, leden 4 tot en met 6, en artikel 2(2), treden in werking op 1 juli 2022.’</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Toelichting</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Ad (1)</w:t>
      </w:r>
    </w:p>
    <w:p w14:paraId="52A0ADE0" w14:textId="23FAA1FA" w:rsidR="00B358A3" w:rsidRPr="009B1298" w:rsidRDefault="00B358A3" w:rsidP="009B1298">
      <w:pPr>
        <w:pStyle w:val="Text"/>
        <w:rPr>
          <w:sz w:val="22"/>
        </w:rPr>
      </w:pPr>
      <w:r>
        <w:rPr>
          <w:sz w:val="22"/>
        </w:rPr>
        <w:t xml:space="preserve">De aanvulling is noodzakelijk omdat de bepaling van nummer 2, onder a), (artikel 1, lid 5) onderworpen is aan kennisgeving krachtens</w:t>
      </w:r>
      <w:r>
        <w:t xml:space="preserve"> Richtlijn (EU) 2015/1535 van het Europees Parlement en de Raad van 9 september 2015 betreffende een informatieprocedure op het gebied van technische voorschriften en regels betreffende de diensten van de informatiemaatschappij.</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Ad (2)</w:t>
      </w:r>
    </w:p>
    <w:p w14:paraId="1CDBD418" w14:textId="66377B48" w:rsidR="00395EE9" w:rsidRPr="00DA2D64" w:rsidRDefault="000F009A" w:rsidP="00DA2D64">
      <w:pPr>
        <w:pStyle w:val="Text"/>
        <w:rPr>
          <w:sz w:val="22"/>
        </w:rPr>
      </w:pPr>
      <w:r>
        <w:rPr>
          <w:sz w:val="22"/>
        </w:rPr>
        <w:t xml:space="preserve">Nummer 2 bevat wijzigingen in artikel 1 van het wetsontwerp, dat voorziet in wijzigingen van het Burgerlijk Wetboek (BGB).</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Ad (a)</w:t>
      </w:r>
    </w:p>
    <w:p w14:paraId="3BCE5677" w14:textId="7A163C5E" w:rsidR="000F009A" w:rsidRPr="00DA2D64" w:rsidRDefault="000F009A" w:rsidP="00DA2D64">
      <w:pPr>
        <w:pStyle w:val="Text"/>
        <w:rPr>
          <w:sz w:val="22"/>
        </w:rPr>
      </w:pPr>
      <w:r>
        <w:rPr>
          <w:sz w:val="22"/>
        </w:rPr>
        <w:t xml:space="preserve">Letter a bevat de wijzigingen in het BGB die noodzakelijk zijn door de toevoeging van § 312k BGB in de ontwerpversie.</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Ad artikel 1, punt 4</w:t>
      </w:r>
    </w:p>
    <w:p w14:paraId="196525AF" w14:textId="07A1B367" w:rsidR="00910B03" w:rsidRDefault="00910B03" w:rsidP="0052608D">
      <w:pPr>
        <w:pStyle w:val="Text"/>
        <w:rPr>
          <w:sz w:val="22"/>
        </w:rPr>
      </w:pPr>
      <w:r>
        <w:rPr>
          <w:sz w:val="22"/>
        </w:rPr>
        <w:t xml:space="preserve">Het is een gevolgwijziging die wordt bepaald door de invoeging van een nieuwe § 312k BGB in de ontwerpversie.</w:t>
      </w:r>
      <w:r>
        <w:rPr>
          <w:sz w:val="22"/>
        </w:rPr>
        <w:t xml:space="preserve"> </w:t>
      </w:r>
      <w:r>
        <w:rPr>
          <w:sz w:val="22"/>
        </w:rPr>
        <w:t xml:space="preserve">§ 312k van het Duitse Burgerlijk Wetboek zal naar verwachting worden uitgevoerd met een eerdere datum van inwerkingtreding door een wetsontwerp tot wijziging van het Burgerlijk Wetboek en de inleidende wet op het Burgerlijk Wetboek ter uitvoering van de EU-richtlijn voor betere handhaving en modernisering van de wetgeving van de Unie inzake consumentenbescherming en tot intrekking van de Verordening betreffende de overdracht van verantwoordelijkheid voor de tenuitvoerlegging van Verordening (EG) nr. 2006/2004 aan het federale ministerie van Justitie en Consumentenbescherming (drukwerk van de Federale raad 61/21, hierna:</w:t>
      </w:r>
      <w:r>
        <w:rPr>
          <w:sz w:val="22"/>
        </w:rPr>
        <w:t xml:space="preserve"> </w:t>
      </w:r>
      <w:r>
        <w:rPr>
          <w:sz w:val="22"/>
        </w:rPr>
        <w:t xml:space="preserve">Ontwerp-wet betreffende de tenuitvoerlegging van de Moderniseringsrichtlijn).</w:t>
      </w:r>
    </w:p>
    <w:p w14:paraId="58637A12" w14:textId="3F86D1C5" w:rsidR="00910B03" w:rsidRDefault="00910B03" w:rsidP="00910B03">
      <w:pPr>
        <w:pStyle w:val="Text"/>
        <w:rPr>
          <w:b/>
          <w:sz w:val="22"/>
          <w:rFonts w:ascii="Arial" w:hAnsi="Arial" w:cs="Arial"/>
        </w:rPr>
      </w:pPr>
      <w:r>
        <w:rPr>
          <w:b/>
          <w:sz w:val="22"/>
          <w:rFonts w:ascii="Arial" w:hAnsi="Arial"/>
        </w:rPr>
        <w:t xml:space="preserve">Ad artikel 1, punt 5</w:t>
      </w:r>
    </w:p>
    <w:p w14:paraId="29FC6254" w14:textId="01CF6BCB" w:rsidR="000F009A" w:rsidRDefault="000F009A" w:rsidP="00FF6FE5">
      <w:pPr>
        <w:pStyle w:val="Text"/>
        <w:rPr>
          <w:sz w:val="22"/>
        </w:rPr>
      </w:pPr>
      <w:r>
        <w:rPr>
          <w:sz w:val="22"/>
        </w:rPr>
        <w:t xml:space="preserve">Artikel 1(5), introduceert een nieuwe § 312k BGB in het Duitse Burgerlijk Wetboek.</w:t>
      </w:r>
    </w:p>
    <w:p w14:paraId="7B4EFA06" w14:textId="328EC3DA" w:rsidR="00910D9D" w:rsidRDefault="00F24FDD" w:rsidP="00FF6FE5">
      <w:pPr>
        <w:pStyle w:val="Text"/>
        <w:rPr>
          <w:sz w:val="22"/>
        </w:rPr>
      </w:pPr>
      <w:r>
        <w:rPr>
          <w:sz w:val="22"/>
        </w:rPr>
        <w:t xml:space="preserve">Het beëindigen van contracten die in de elektronische handel zijn gesloten vormt vaak een bijzondere uitdaging voor de consument.</w:t>
      </w:r>
      <w:r>
        <w:rPr>
          <w:sz w:val="22"/>
        </w:rPr>
        <w:t xml:space="preserve"> </w:t>
      </w:r>
      <w:r>
        <w:rPr>
          <w:sz w:val="22"/>
        </w:rPr>
        <w:t xml:space="preserve">In vergelijking met de eenvoudige sluiting van de betreffende overeenkomst is de beëindiging ervan deels niet direct via een website mogelijk of vaak gecompliceerd door het ontwerp van de website.</w:t>
      </w:r>
    </w:p>
    <w:p w14:paraId="1FDAB131" w14:textId="77777777" w:rsidR="00910D9D" w:rsidRDefault="00993AD2" w:rsidP="00FF6FE5">
      <w:pPr>
        <w:pStyle w:val="Text"/>
        <w:rPr>
          <w:sz w:val="22"/>
        </w:rPr>
      </w:pPr>
      <w:r>
        <w:rPr>
          <w:sz w:val="22"/>
        </w:rPr>
        <w:t xml:space="preserve">De in § 312k BGB in de ontwerpversie voorgestelde verplichtingen van de onderneming hebben tot doel de consument in staat te stellen om beëindigingsverklaringen af te geven in de elektronische handel op een vergelijkbaar simpele manier, rekening houdend met de bijzonderheden van beëindigingsverklaringen, op een manier die vergelijkbaar is met de verklaringen voor het sluiten van de betreffende contracten.</w:t>
      </w:r>
    </w:p>
    <w:p w14:paraId="23CC65C4" w14:textId="1A6BC79E" w:rsidR="009019C7" w:rsidRDefault="00C50448" w:rsidP="00FF6FE5">
      <w:pPr>
        <w:pStyle w:val="Text"/>
        <w:rPr>
          <w:sz w:val="22"/>
        </w:rPr>
      </w:pPr>
      <w:r>
        <w:rPr>
          <w:sz w:val="22"/>
        </w:rPr>
        <w:t xml:space="preserve">§ 312k(1) van het Duitse Burgerlijk Wetboek (BGB) in de ontwerptekst bepaalt het toepassingsgebied van de bepaling.</w:t>
      </w:r>
      <w:r>
        <w:rPr>
          <w:sz w:val="22"/>
        </w:rPr>
        <w:t xml:space="preserve"> </w:t>
      </w:r>
      <w:r>
        <w:rPr>
          <w:sz w:val="22"/>
        </w:rPr>
        <w:t xml:space="preserve">§ 312k lid 2 van het Duitse Burgerlijk Wetboek (BGB) in het ontwerp schetst de verplichting van de onderneming om een beëindigingsknop te handhaven en geeft nadere specificaties voor het ontwerp van de door de onderneming ter beschikking te stellen technische middelen om de opzegging in te dienen.</w:t>
      </w:r>
      <w:r>
        <w:rPr>
          <w:sz w:val="22"/>
        </w:rPr>
        <w:t xml:space="preserve"> </w:t>
      </w:r>
      <w:r>
        <w:rPr>
          <w:sz w:val="22"/>
        </w:rPr>
        <w:t xml:space="preserve">§ 312k lid 3 van het Duitse Burgerlijk Wetboek (BGB) in de ontwerp-wet regelt de mogelijkheden van de consument om de door hem ingediende beëindigingsverklaring op te slaan.</w:t>
      </w:r>
      <w:r>
        <w:rPr>
          <w:sz w:val="22"/>
        </w:rPr>
        <w:t xml:space="preserve"> </w:t>
      </w:r>
      <w:r>
        <w:rPr>
          <w:sz w:val="22"/>
        </w:rPr>
        <w:t xml:space="preserve">§ 312k(4) van het Duitse Burgerlijk Wetboek (BGB) in de ontwerptekst voorziet in een verplichting voor de onderneming om de ontvangst van de kennisgeving van opzegging te bevestigen, alsmede een veronderstelling met betrekking tot toegang tot de kennisgeving van opzegging.</w:t>
      </w:r>
      <w:r>
        <w:rPr>
          <w:sz w:val="22"/>
        </w:rPr>
        <w:t xml:space="preserve"> </w:t>
      </w:r>
      <w:r>
        <w:rPr>
          <w:sz w:val="22"/>
        </w:rPr>
        <w:t xml:space="preserve">§ 312k lid 5 BGB in het ontwerp bevat een bepaling van twijfel over de beëindigingsdatum.</w:t>
      </w:r>
      <w:r>
        <w:rPr>
          <w:sz w:val="22"/>
        </w:rPr>
        <w:t xml:space="preserve"> </w:t>
      </w:r>
      <w:r>
        <w:rPr>
          <w:sz w:val="22"/>
        </w:rPr>
        <w:t xml:space="preserve">§ 312k lid 6 BGB in de ontwerpversie bepaalt dat, indien een onderneming niet voldoet aan de verplichtingen van § 312k, leden 1 en 2 BGB in de ontwerpversie, een overeenkomst te allen tijde en zonder inachtneming van een opzegtermijn kan worden opgezegd.</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Betreffende § 312k lid 1 BGB-E:</w:t>
      </w:r>
    </w:p>
    <w:p w14:paraId="17EDBBF1" w14:textId="7D78ECB9" w:rsidR="007E1EA0" w:rsidRPr="00FF6FE5" w:rsidRDefault="007E1EA0" w:rsidP="00FF6FE5">
      <w:pPr>
        <w:pStyle w:val="Text"/>
        <w:rPr>
          <w:sz w:val="22"/>
        </w:rPr>
      </w:pPr>
      <w:r>
        <w:rPr>
          <w:sz w:val="22"/>
        </w:rPr>
        <w:t xml:space="preserve">§ 312k lid 1 BGB in de ontwerpversie bevat de vereisten voor de verplichtingen van de onderneming uit hoofde van § 312k BGB in de ontwerpversie, alsmede een aantal uitzonderingen.</w:t>
      </w:r>
    </w:p>
    <w:p w14:paraId="79AB8D0A" w14:textId="6D12DF24" w:rsidR="005E1C0F" w:rsidRDefault="00297295" w:rsidP="005E1C0F">
      <w:pPr>
        <w:pStyle w:val="Text"/>
        <w:rPr>
          <w:sz w:val="22"/>
        </w:rPr>
      </w:pPr>
      <w:r>
        <w:rPr>
          <w:sz w:val="22"/>
        </w:rPr>
        <w:t xml:space="preserve">De verplichting van § 312k lid 1 van het Duitse Burgerlijk Wetboek (BGB) in de ontwerpversie is van toepassing op de onderneming wanneer de consument in staat wordt gesteld overeenkomsten te sluiten zoals gedefinieerd in § 312k lid 1 zin 1 van het Duitse Burgerlijk Wetboek (BGB) in de ontwerpversie.</w:t>
      </w:r>
    </w:p>
    <w:p w14:paraId="14C929D8" w14:textId="579E8842" w:rsidR="005E1C0F" w:rsidRDefault="005E1C0F" w:rsidP="005E1C0F">
      <w:pPr>
        <w:pStyle w:val="Text"/>
        <w:rPr>
          <w:sz w:val="22"/>
        </w:rPr>
      </w:pPr>
      <w:r>
        <w:rPr>
          <w:sz w:val="22"/>
        </w:rPr>
        <w:t xml:space="preserve">In § 312k lid 1 zin 1 BGB wordt in de ontwerpversie de term “contract in de elektronische handel” gebruikt, die wettelijk is gedefinieerd in § 312i lid 1 zin 1 van het Duitse Burgerlijk Wetboek.</w:t>
      </w:r>
    </w:p>
    <w:p w14:paraId="2230FA64" w14:textId="64CB3F4D" w:rsidR="004025EB" w:rsidRDefault="005E1C0F" w:rsidP="005E1C0F">
      <w:pPr>
        <w:pStyle w:val="Text"/>
        <w:rPr>
          <w:sz w:val="22"/>
        </w:rPr>
      </w:pPr>
      <w:r>
        <w:rPr>
          <w:sz w:val="22"/>
        </w:rPr>
        <w:t xml:space="preserve">Het sluiten van deze contracten moet in de ontwerpversie mogelijk worden gemaakt via een “website” in overeenstemming met § 312k(1), zin 1 BGB.</w:t>
      </w:r>
      <w:r>
        <w:rPr>
          <w:sz w:val="22"/>
        </w:rPr>
        <w:t xml:space="preserve"> </w:t>
      </w:r>
      <w:r>
        <w:rPr>
          <w:sz w:val="22"/>
        </w:rPr>
        <w:t xml:space="preserve">Voor de interpretatie van de term “website” kan de jurisprudentie over de identieke term worden gebruikt in sectie 312j(1), van het Duitse Burgerlijk Wetboek.</w:t>
      </w:r>
    </w:p>
    <w:p w14:paraId="6AA292BC" w14:textId="470333E1" w:rsidR="005E1C0F" w:rsidRDefault="005E1C0F" w:rsidP="005E1C0F">
      <w:pPr>
        <w:pStyle w:val="Text"/>
        <w:rPr>
          <w:sz w:val="22"/>
        </w:rPr>
      </w:pPr>
      <w:r>
        <w:rPr>
          <w:sz w:val="22"/>
        </w:rPr>
        <w:t xml:space="preserve">Om de verplichting van de onderneming uit hoofde van § 312k BGB in de ontwerpversie te rechtvaardigen, maakt het geen verschil of het sluiten van de overeenkomst verloopt via een website door de onderneming zelf wordt beheerd of – bijvoorbeeld in het geval van intermediaire platforms – via een website die door een derde wordt geëxploiteerd.</w:t>
      </w:r>
      <w:r>
        <w:rPr>
          <w:sz w:val="22"/>
        </w:rPr>
        <w:t xml:space="preserve"> </w:t>
      </w:r>
      <w:r>
        <w:rPr>
          <w:sz w:val="22"/>
        </w:rPr>
        <w:t xml:space="preserve">In beide gevallen moet de onderneming ervoor zorgen dat de consument een opzegging kan indienen overeenkomstig de vereisten van § 312k BGB in de ontwerpversie.</w:t>
      </w:r>
      <w:r>
        <w:rPr>
          <w:sz w:val="22"/>
        </w:rPr>
        <w:t xml:space="preserve"> </w:t>
      </w:r>
      <w:r>
        <w:rPr>
          <w:sz w:val="22"/>
        </w:rPr>
        <w:t xml:space="preserve">Indien het sluiten van de overeenkomst mogelijk is op een website die niet door de onderneming zelf wordt beheerd, moet de onderneming daarvoor de derde partij contractueel verplichten als beheerder van de website van de derde partij.</w:t>
      </w:r>
    </w:p>
    <w:p w14:paraId="16B2E46F" w14:textId="04A80DFB" w:rsidR="005E1C0F" w:rsidRDefault="005E1C0F" w:rsidP="005E1C0F">
      <w:pPr>
        <w:pStyle w:val="Text"/>
        <w:rPr>
          <w:sz w:val="22"/>
        </w:rPr>
      </w:pPr>
      <w:r>
        <w:rPr>
          <w:sz w:val="22"/>
        </w:rPr>
        <w:t xml:space="preserve">De verplichting van de onderneming overeenkomstig § 312k lid 1 zin 1 BGB in de ontwerpversie is beperkt tot overeenkomsten tussen ondernemingen en consumenten om permanente schuldenrelaties aan te gaan, die de onderneming verplichten een vergoeding uit te voeren.</w:t>
      </w:r>
      <w:r>
        <w:rPr>
          <w:sz w:val="22"/>
        </w:rPr>
        <w:t xml:space="preserve"> </w:t>
      </w:r>
      <w:r>
        <w:rPr>
          <w:sz w:val="22"/>
        </w:rPr>
        <w:t xml:space="preserve">De beperking tot permanente schuld wordt gemaakt uit het oogpunt van consumentenbescherming, omdat zij een bijzondere behoefte hebben om de mogelijkheid van beëindiging te vergemakkelijken.</w:t>
      </w:r>
      <w:r>
        <w:rPr>
          <w:sz w:val="22"/>
        </w:rPr>
        <w:t xml:space="preserve"> </w:t>
      </w:r>
      <w:r>
        <w:rPr>
          <w:sz w:val="22"/>
        </w:rPr>
        <w:t xml:space="preserve">Langetermijnschuldrelaties kunnen vaak “verholen kosten” blijken te zijn als gevolg van de langetermijnverbintenis aan de consument.</w:t>
      </w:r>
      <w:r>
        <w:rPr>
          <w:sz w:val="22"/>
        </w:rPr>
        <w:t xml:space="preserve"> </w:t>
      </w:r>
      <w:r>
        <w:rPr>
          <w:sz w:val="22"/>
        </w:rPr>
        <w:t xml:space="preserve">Anderzijds kan het opzeggen van andere verplichtingen als permanente schulden in bepaalde gevallen juridische gevolgen hebben voor de consument, die vanuit het oogpunt van de consument onverwacht lijken (bv. de voortdurende verplichting om de koper te betalen in het geval van het opzeggingsrecht krachtens § 648 BGB).</w:t>
      </w:r>
      <w:r>
        <w:rPr>
          <w:sz w:val="22"/>
        </w:rPr>
        <w:t xml:space="preserve"> </w:t>
      </w:r>
      <w:r>
        <w:rPr>
          <w:sz w:val="22"/>
        </w:rPr>
        <w:t xml:space="preserve">Deze juridische gevolgen zouden met name een gestandaardiseerde nakoming van de verplichting van de onderneming om informatie te verstrekken in overeenstemming met § 312k, lid 2, zin 3, punt 2 van het Duitse Burgerlijk Wetboek in de ontwerpversie aanzienlijk moeilijker maken.</w:t>
      </w:r>
      <w:r>
        <w:rPr>
          <w:sz w:val="22"/>
        </w:rPr>
        <w:t xml:space="preserve"> </w:t>
      </w:r>
      <w:r>
        <w:rPr>
          <w:sz w:val="22"/>
        </w:rPr>
        <w:t xml:space="preserve">Om deze reden mogen andere contracten dan die welke betrekking hebben op permanente schulden als gevolg van de specifieke gevolgen van beëindiging in individuele gevallen niet worden gedekt door § 312k BGB in de ontwerpversie.</w:t>
      </w:r>
    </w:p>
    <w:p w14:paraId="7CBE89AF" w14:textId="39C4CA64" w:rsidR="00021CCF" w:rsidRDefault="00AA0FD6" w:rsidP="00FF6FE5">
      <w:pPr>
        <w:pStyle w:val="Text"/>
        <w:rPr>
          <w:sz w:val="22"/>
        </w:rPr>
      </w:pPr>
      <w:r>
        <w:rPr>
          <w:sz w:val="22"/>
        </w:rPr>
        <w:t xml:space="preserve">Volgens § 312k lid 1, zin 2, punt 1 van het Duitse Burgerlijk Wetboek (BGB) in de ontwerpversie is § 312k BGB in de ontwerpversie niet van toepassing indien een opzegging van de betrokken overeenkomst op basis van wettelijke formele vereisten uitsluitend in een striktere vorm dan het schriftelijke formulier moet worden ingediend.</w:t>
      </w:r>
      <w:r>
        <w:rPr>
          <w:sz w:val="22"/>
        </w:rPr>
        <w:t xml:space="preserve"> </w:t>
      </w:r>
      <w:r>
        <w:rPr>
          <w:sz w:val="22"/>
        </w:rPr>
        <w:t xml:space="preserve">Dit omvat dus ook de formele eis van de – in vergelijking met het schriftelijke formulier strengere – elektronische vorm volgens § 126a van het Duitse Burgerlijk Wetboek of de schriftelijke vorm.</w:t>
      </w:r>
      <w:r>
        <w:rPr>
          <w:sz w:val="22"/>
        </w:rPr>
        <w:t xml:space="preserve"> </w:t>
      </w:r>
      <w:r>
        <w:rPr>
          <w:sz w:val="22"/>
        </w:rPr>
        <w:t xml:space="preserve">Dit sluit ook verklaringen van beëindiging uit die in een notariële gecertificeerde vorm moeten worden afgegeven.</w:t>
      </w:r>
    </w:p>
    <w:p w14:paraId="5AC9F0DA" w14:textId="10D6BCB1" w:rsidR="00FF6FE5" w:rsidRDefault="00FF6FE5" w:rsidP="00FF6FE5">
      <w:pPr>
        <w:pStyle w:val="Text"/>
        <w:rPr>
          <w:sz w:val="22"/>
        </w:rPr>
      </w:pPr>
      <w:r>
        <w:rPr>
          <w:sz w:val="22"/>
        </w:rPr>
        <w:t xml:space="preserve">§ 312k BGB in de ontwerptekst is bedoeld om de mogelijkheden van de consument voor beëindiging uit te breiden, maar niet om de indiening van opzeggingen op andere wijze te beperken of uit te sluiten.</w:t>
      </w:r>
      <w:r>
        <w:rPr>
          <w:sz w:val="22"/>
        </w:rPr>
        <w:t xml:space="preserve"> </w:t>
      </w:r>
      <w:r>
        <w:rPr>
          <w:sz w:val="22"/>
        </w:rPr>
        <w:t xml:space="preserve">Met name een overeenkomst door middel van vooraf opgestelde contractuele voorwaarden blijft ineffectief overeenkomstig § 309, punt 13, onder c), van het Duitse Burgerlijk Wetboek (BGB), enkel door middel van de knop die ter beschikking moet worden gesteld in de ontwerpversie door middel van de knop die moet worden aangeboden overeenkomstig § 312k BGB.</w:t>
      </w:r>
    </w:p>
    <w:p w14:paraId="31DAAE9B" w14:textId="75A60568" w:rsidR="00D663F5" w:rsidRDefault="0020302D" w:rsidP="00FF6FE5">
      <w:pPr>
        <w:pStyle w:val="Text"/>
        <w:rPr>
          <w:sz w:val="22"/>
        </w:rPr>
      </w:pPr>
      <w:r>
        <w:rPr>
          <w:sz w:val="22"/>
        </w:rPr>
        <w:t xml:space="preserve">In § 312k lid 1 zin 2, punt 2 BGB is in de ontwerpversie bepaald dat ondernemingen worden vrijgesteld van de verplichtingen van § 312k BGB in de ontwerpversie indien de website betrekking heeft op financiële diensten of de betrokken contracten werkelijk contracten voor financiële diensten zijn.</w:t>
      </w:r>
      <w:r>
        <w:rPr>
          <w:sz w:val="22"/>
        </w:rPr>
        <w:t xml:space="preserve"> </w:t>
      </w:r>
      <w:r>
        <w:rPr>
          <w:sz w:val="22"/>
        </w:rPr>
        <w:t xml:space="preserve">Het model voor deze bepaling is § 312j, lid 5, zin 2 BGB; de term “financiële diensten” is wettelijk gedefinieerd in § 312, lid 5, zin 1, BGB.</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Betreffende § 312k lid 2 BGB-E:</w:t>
      </w:r>
    </w:p>
    <w:p w14:paraId="2DD32C42" w14:textId="0A95DE40" w:rsidR="006F0DAE" w:rsidRDefault="006F0DAE" w:rsidP="006F0DAE">
      <w:pPr>
        <w:pStyle w:val="Text"/>
        <w:rPr>
          <w:sz w:val="22"/>
        </w:rPr>
      </w:pPr>
      <w:r>
        <w:rPr>
          <w:sz w:val="22"/>
        </w:rPr>
        <w:t xml:space="preserve">§ 312k lid 2 ven het Duitse Burgerlijk Wetboek (BGB) in het ontwerp specificeert de verplichting van de vennootschap en voorziet in een procedure in twee stappen voor de indiening van de kennisgeving van opzegging.</w:t>
      </w:r>
    </w:p>
    <w:p w14:paraId="180E6231" w14:textId="20BA4C93" w:rsidR="006257ED" w:rsidRDefault="006257ED" w:rsidP="006257ED">
      <w:pPr>
        <w:pStyle w:val="Text"/>
        <w:rPr>
          <w:sz w:val="22"/>
        </w:rPr>
      </w:pPr>
      <w:r>
        <w:rPr>
          <w:sz w:val="22"/>
        </w:rPr>
        <w:t xml:space="preserve">§ 312k lid 2 zin 1 van het Duitse Burgerlijk Wetboek (BGB) in de ontwerpversie beperkt de verplichting van de vennootschap in de ontwerpversie tot gewone en buitengewone beëindigingen overeenkomstig § 312k BGB.</w:t>
      </w:r>
      <w:r>
        <w:rPr>
          <w:sz w:val="22"/>
        </w:rPr>
        <w:t xml:space="preserve"> </w:t>
      </w:r>
      <w:r>
        <w:rPr>
          <w:sz w:val="22"/>
        </w:rPr>
        <w:t xml:space="preserve">Garantiemeldingen en andere rechten om permanente schuldenrelaties op te zeggen (met inbegrip van herroeping en beëindiging van de overeenkomst als gevolg van niet-levering, gebrek of ongunstige wijziging van digitale producten overeenkomstig het wetsontwerp ter uitvoering van de richtlijn betreffende bepaalde contractuele aspecten van de levering van digitale inhoud en digitale diensten – drukwerk van de Federale raad 60/21) vallen niet onder deze verordening.</w:t>
      </w:r>
    </w:p>
    <w:p w14:paraId="7AD9A1FA" w14:textId="77777777" w:rsidR="006257ED" w:rsidRDefault="006257ED" w:rsidP="006257ED">
      <w:pPr>
        <w:pStyle w:val="Text"/>
        <w:rPr>
          <w:sz w:val="22"/>
        </w:rPr>
      </w:pPr>
      <w:r>
        <w:rPr>
          <w:sz w:val="22"/>
        </w:rPr>
        <w:t xml:space="preserve">Beëindigingen van overeenkomsten waarbij wettelijke rechten worden vastgesteld, vallen niet onder het toepassingsgebied omdat zij niet in de elektronische handel worden gesloten.</w:t>
      </w:r>
      <w:r>
        <w:rPr>
          <w:sz w:val="22"/>
        </w:rPr>
        <w:t xml:space="preserve"> </w:t>
      </w:r>
      <w:r>
        <w:rPr>
          <w:sz w:val="22"/>
        </w:rPr>
        <w:t xml:space="preserve">Hoewel hypotheken of diensten formeel kunnen worden beëindigd, vormen zij geen elektronische handelsovereenkomsten tussen bedrijven en consumenten.</w:t>
      </w:r>
    </w:p>
    <w:p w14:paraId="0A27EC29" w14:textId="7090A24C" w:rsidR="006257ED" w:rsidRDefault="006257ED" w:rsidP="006257ED">
      <w:pPr>
        <w:pStyle w:val="Text"/>
        <w:rPr>
          <w:sz w:val="22"/>
        </w:rPr>
      </w:pPr>
      <w:r>
        <w:rPr>
          <w:sz w:val="22"/>
        </w:rPr>
        <w:t xml:space="preserve">Om de verplichting van de onderneming te rechtvaardigen, hangt het niet af van de vraag of het aan te kondigen contract ook in de elektronische handel is gesloten.</w:t>
      </w:r>
      <w:r>
        <w:rPr>
          <w:sz w:val="22"/>
        </w:rPr>
        <w:t xml:space="preserve"> </w:t>
      </w:r>
      <w:r>
        <w:rPr>
          <w:sz w:val="22"/>
        </w:rPr>
        <w:t xml:space="preserve">Het is veeleer van cruciaal belang of de onderneming het mogelijk maakt om bij de beëindiging van een overeenkomst elektronische handel af te sluiten.</w:t>
      </w:r>
    </w:p>
    <w:p w14:paraId="327BEF9A" w14:textId="482C4A2C" w:rsidR="006257ED" w:rsidRDefault="006257ED" w:rsidP="006F0DAE">
      <w:pPr>
        <w:pStyle w:val="Text"/>
        <w:rPr>
          <w:sz w:val="22"/>
        </w:rPr>
      </w:pPr>
      <w:r>
        <w:rPr>
          <w:sz w:val="22"/>
        </w:rPr>
        <w:t xml:space="preserve">De verplichting van de vennootschap staat los van de mate waarin de consument in individuele gevallen daadwerkelijk aanspraak kan maken op een recht van opzegging.</w:t>
      </w:r>
      <w:r>
        <w:rPr>
          <w:sz w:val="22"/>
        </w:rPr>
        <w:t xml:space="preserve"> </w:t>
      </w:r>
      <w:r>
        <w:rPr>
          <w:sz w:val="22"/>
        </w:rPr>
        <w:t xml:space="preserve">De knop is alleen bedoeld om een andere mogelijkheid te creëren om een beëindiging door de consument te verklaren.</w:t>
      </w:r>
      <w:r>
        <w:rPr>
          <w:sz w:val="22"/>
        </w:rPr>
        <w:t xml:space="preserve"> </w:t>
      </w:r>
      <w:r>
        <w:rPr>
          <w:sz w:val="22"/>
        </w:rPr>
        <w:t xml:space="preserve">De materiële toestemming van de consument om te beëindigen is geen vereiste voor het gebruik van de knop volgens § 312k BGB in de ontwerpversie.</w:t>
      </w:r>
    </w:p>
    <w:p w14:paraId="1955AD28" w14:textId="3F43B095" w:rsidR="006F0DAE" w:rsidRDefault="006F0DAE" w:rsidP="006F0DAE">
      <w:pPr>
        <w:pStyle w:val="Text"/>
        <w:rPr>
          <w:sz w:val="22"/>
        </w:rPr>
      </w:pPr>
      <w:r>
        <w:rPr>
          <w:sz w:val="22"/>
        </w:rPr>
        <w:t xml:space="preserve">Volgens § 312k lid 2 zin 2 van het Duitse Burgerlijk Wetboek (BGB) in de ontwerpversie moet de onderneming eerst een knop voorzien met de woorden “contracten hier annuleren” die de consument naar een andere pagina leidt die de “bevestigingspagina” wordt genoemd.</w:t>
      </w:r>
      <w:r>
        <w:rPr>
          <w:sz w:val="22"/>
        </w:rPr>
        <w:t xml:space="preserve"> </w:t>
      </w:r>
      <w:r>
        <w:rPr>
          <w:sz w:val="22"/>
        </w:rPr>
        <w:t xml:space="preserve">Andere aanduidingen dan “contracten annuleren” zijn alleen toegestaan wanneer deze even duidelijk zijn.</w:t>
      </w:r>
      <w:r>
        <w:rPr>
          <w:sz w:val="22"/>
        </w:rPr>
        <w:t xml:space="preserve"> </w:t>
      </w:r>
      <w:r>
        <w:rPr>
          <w:sz w:val="22"/>
        </w:rPr>
        <w:t xml:space="preserve">Er zij op gewezen dat, indien nodig, ook uit een andere aanwijzing duidelijk moet worden gemaakt dat de beëindigingsknop nog niet is opgegeven, maar dat alleen het beëindigingsproces wordt ingeleid.</w:t>
      </w:r>
      <w:r>
        <w:rPr>
          <w:sz w:val="22"/>
        </w:rPr>
        <w:t xml:space="preserve"> </w:t>
      </w:r>
      <w:r>
        <w:rPr>
          <w:sz w:val="22"/>
        </w:rPr>
        <w:t xml:space="preserve">In ieder geval is de formulering bedoeld om de consument duidelijk te maken dat hij, wanneer hij op de knop drukt, nadere informatie kan verstrekken voordat de verklaring van beëindiging kan worden ingediend.</w:t>
      </w:r>
    </w:p>
    <w:p w14:paraId="33C9D851" w14:textId="2B1CF4CC" w:rsidR="00035D26" w:rsidRDefault="00AF7B14" w:rsidP="006F0DAE">
      <w:pPr>
        <w:pStyle w:val="Text"/>
        <w:rPr>
          <w:sz w:val="22"/>
        </w:rPr>
      </w:pPr>
      <w:r>
        <w:rPr>
          <w:sz w:val="22"/>
        </w:rPr>
        <w:t xml:space="preserve">Om een overeenkomst te kunnen beëindigen met een verklaring van beëindiging, moet deze zodanig zijn ontworpen dat de ontvanger kan herkennen wie de opzegging verklaart en welk contract moet worden opgezegd.</w:t>
      </w:r>
      <w:r>
        <w:rPr>
          <w:sz w:val="22"/>
        </w:rPr>
        <w:t xml:space="preserve"> </w:t>
      </w:r>
      <w:r>
        <w:rPr>
          <w:sz w:val="22"/>
        </w:rPr>
        <w:t xml:space="preserve">De bevestigingspagina moet de consument daarom verzoeken de nodige informatie in de ontwerpversie in te voeren overeenkomstig § 312k, lid 2, zin 3, punt 1, onder a) tot en met e), BGB en hem daartoe in staat te stellen.</w:t>
      </w:r>
      <w:r>
        <w:rPr>
          <w:sz w:val="22"/>
        </w:rPr>
        <w:t xml:space="preserve"> </w:t>
      </w:r>
      <w:r>
        <w:rPr>
          <w:sz w:val="22"/>
        </w:rPr>
        <w:t xml:space="preserve">Daartoe moet de consument eerst de aard van de opzegging en, in geval van buitengewone opzegging, de onderliggende reden voor opzegging kunnen aangeven (letter a).</w:t>
      </w:r>
      <w:r>
        <w:rPr>
          <w:sz w:val="22"/>
        </w:rPr>
        <w:t xml:space="preserve"> </w:t>
      </w:r>
      <w:r>
        <w:rPr>
          <w:sz w:val="22"/>
        </w:rPr>
        <w:t xml:space="preserve">Bovendien moet de consument de nodige informatie kunnen verstrekken voor zijn identificatie (letter b) en voor de ondubbelzinnige beschrijving van de overeenkomst (letter c).</w:t>
      </w:r>
      <w:r>
        <w:rPr>
          <w:sz w:val="22"/>
        </w:rPr>
        <w:t xml:space="preserve"> </w:t>
      </w:r>
      <w:r>
        <w:rPr>
          <w:sz w:val="22"/>
        </w:rPr>
        <w:t xml:space="preserve">Normaal gesproken kunnen de naam en het adres nodig zijn voor identificatie.</w:t>
      </w:r>
      <w:r>
        <w:rPr>
          <w:sz w:val="22"/>
        </w:rPr>
        <w:t xml:space="preserve"> </w:t>
      </w:r>
      <w:r>
        <w:rPr>
          <w:sz w:val="22"/>
        </w:rPr>
        <w:t xml:space="preserve">Om het contract aan te wijzen, kan het bedrijf vragen om klant-, bestel- of contractnummers.</w:t>
      </w:r>
      <w:r>
        <w:rPr>
          <w:sz w:val="22"/>
        </w:rPr>
        <w:t xml:space="preserve"> </w:t>
      </w:r>
      <w:r>
        <w:rPr>
          <w:sz w:val="22"/>
        </w:rPr>
        <w:t xml:space="preserve">Overeenkomstig letter d moet de consument ook de datum kunnen aangeven waarop de opzegging van kracht moet worden.</w:t>
      </w:r>
      <w:r>
        <w:rPr>
          <w:sz w:val="22"/>
        </w:rPr>
        <w:t xml:space="preserve"> </w:t>
      </w:r>
      <w:r>
        <w:rPr>
          <w:sz w:val="22"/>
        </w:rPr>
        <w:t xml:space="preserve">Dit kan echter eventueel niet vereist zijn als een verplichting, zonder welke de beëindiging niet kan worden uitgelegd via de website.</w:t>
      </w:r>
      <w:r>
        <w:rPr>
          <w:sz w:val="22"/>
        </w:rPr>
        <w:t xml:space="preserve"> </w:t>
      </w:r>
      <w:r>
        <w:rPr>
          <w:sz w:val="22"/>
        </w:rPr>
        <w:t xml:space="preserve">Dit vloeit reeds voort uit § 312k lid 5 van het Duitse Burgerlijk Wetboek (BGB) in het ontwerp, volgens hetwelk de kennisgeving van opzegging zo spoedig mogelijk in werking treedt wanneer geen beëindigingsdatum is vastgesteld.</w:t>
      </w:r>
      <w:r>
        <w:rPr>
          <w:sz w:val="22"/>
        </w:rPr>
        <w:t xml:space="preserve"> </w:t>
      </w:r>
      <w:r>
        <w:rPr>
          <w:sz w:val="22"/>
        </w:rPr>
        <w:t xml:space="preserve">In dit verband moet de vermelding “zo spoedig mogelijk” – of een soortgelijke formulering, waarin de overeenkomstige wens tot beëindiging zo spoedig mogelijk tot uitdrukking komt – naast de mogelijkheid om een specifieke datum in te voeren, mogelijk worden gemaakt.</w:t>
      </w:r>
      <w:r>
        <w:rPr>
          <w:sz w:val="22"/>
        </w:rPr>
        <w:t xml:space="preserve"> </w:t>
      </w:r>
      <w:r>
        <w:rPr>
          <w:sz w:val="22"/>
        </w:rPr>
        <w:t xml:space="preserve">Bovendien moet de consument volgens letter e in staat zijn de onderneming informatie te verstrekken die de onderneming in staat stelt de bevestiging van beëindiging te verzenden overeenkomstig § 312k(4), zin 1 van het Duitse Burgerlijk Wetboek, in de ontwerpversie aan de consument (meestal het e-mailadres).</w:t>
      </w:r>
    </w:p>
    <w:p w14:paraId="6FC5D772" w14:textId="10CA55D4" w:rsidR="00AF7B14" w:rsidRDefault="00BF30DD" w:rsidP="006F0DAE">
      <w:pPr>
        <w:pStyle w:val="Text"/>
        <w:rPr>
          <w:sz w:val="22"/>
        </w:rPr>
      </w:pPr>
      <w:r>
        <w:rPr>
          <w:sz w:val="22"/>
        </w:rPr>
        <w:t xml:space="preserve">§ 312k lid 2 zin 3 nummer 1 van het Duitse Burgerlijk Wetboek (BGB) in het ontwerp zorgt er derhalve voor dat de consument de informatie kan verstrekken die nodig is om zijn beëindigingsverklaring voldoende nauwkeurig te specificeren, met name met betrekking tot de op te zeggen overeenkomst.</w:t>
      </w:r>
      <w:r>
        <w:rPr>
          <w:sz w:val="22"/>
        </w:rPr>
        <w:t xml:space="preserve"> </w:t>
      </w:r>
      <w:r>
        <w:rPr>
          <w:sz w:val="22"/>
        </w:rPr>
        <w:t xml:space="preserve">De beperking van de op te vragen informatie is bedoeld om het ontwerp van de bevestigingspagina te voorkomen, waarin de onderneming vraagt om verdere gegevens die niet direct beschikbaar zijn voor de consument en ook niet vereist zijn voor de onbetwistbare opdracht, waardoor het moeilijk is eenvoudig en ongecompliceerd te beëindigen.</w:t>
      </w:r>
      <w:r>
        <w:rPr>
          <w:sz w:val="22"/>
        </w:rPr>
        <w:t xml:space="preserve"> </w:t>
      </w:r>
      <w:r>
        <w:rPr>
          <w:sz w:val="22"/>
        </w:rPr>
        <w:t xml:space="preserve">Tegelijkertijd moet de raadpleging in overeenstemming zijn met het beginsel van data-economie, zoals bepaald in artikel 5, lid 1, onder c), van Verordening (EU) 2016/679 van het Europees Parlement en de Raad van 27 april 2016 betreffende de bescherming van natuurlijke personen in verband met de verwerking van persoonsgegevens, betreffende het vrije verkeer van die gegevens en tot intrekking van Richtlijn 95/46/EG.</w:t>
      </w:r>
    </w:p>
    <w:p w14:paraId="52C9326B" w14:textId="5C0D9C17" w:rsidR="009F726F" w:rsidRPr="006F0DAE" w:rsidRDefault="00060631" w:rsidP="009F726F">
      <w:pPr>
        <w:pStyle w:val="Text"/>
        <w:rPr>
          <w:sz w:val="22"/>
        </w:rPr>
      </w:pPr>
      <w:r>
        <w:rPr>
          <w:sz w:val="22"/>
        </w:rPr>
        <w:t xml:space="preserve">Volgens § 312k lid 2 zin 3 punt 2 BGB in de ontwerpversie moet op de bevestigingspagina een knop met de naam “bevestigingsknop” worden gevonden, waarmee de consument de verklaring van beëindiging kan indienen.</w:t>
      </w:r>
      <w:r>
        <w:rPr>
          <w:sz w:val="22"/>
        </w:rPr>
        <w:t xml:space="preserve"> </w:t>
      </w:r>
      <w:r>
        <w:rPr>
          <w:sz w:val="22"/>
        </w:rPr>
        <w:t xml:space="preserve">Deze bevestigingsknop moet met de woorden “nu annuleren” geëtiketteerd worden.</w:t>
      </w:r>
      <w:r>
        <w:rPr>
          <w:sz w:val="22"/>
        </w:rPr>
        <w:t xml:space="preserve"> </w:t>
      </w:r>
      <w:r>
        <w:rPr>
          <w:sz w:val="22"/>
        </w:rPr>
        <w:t xml:space="preserve">Andere indicaties zijn alleen toegestaan als ze even ondubbelzinnig zijn.</w:t>
      </w:r>
    </w:p>
    <w:p w14:paraId="2785EC0B" w14:textId="576F478D" w:rsidR="00285780" w:rsidRDefault="006F0DAE" w:rsidP="00285780">
      <w:pPr>
        <w:pStyle w:val="Text"/>
        <w:rPr>
          <w:sz w:val="22"/>
        </w:rPr>
      </w:pPr>
      <w:r>
        <w:rPr>
          <w:sz w:val="22"/>
        </w:rPr>
        <w:t xml:space="preserve">De twee knoppen en de bevestigingspagina moeten “permanent beschikbaar en direct en gemakkelijk toegankelijk” zijn in de ontwerpversie overeenkomstig § 312k(2) zin 4 van het Duitse Burgerlijk Wetboek.</w:t>
      </w:r>
      <w:r>
        <w:rPr>
          <w:sz w:val="22"/>
        </w:rPr>
        <w:t xml:space="preserve"> </w:t>
      </w:r>
      <w:r>
        <w:rPr>
          <w:sz w:val="22"/>
        </w:rPr>
        <w:t xml:space="preserve">Wat de eis “permanent beschikbaar” betreft, is deze verordening gebaseerd op het overeenkomstige vereiste in § 5, lid 1, van de Duitse telemediawet.</w:t>
      </w:r>
      <w:r>
        <w:rPr>
          <w:sz w:val="22"/>
        </w:rPr>
        <w:t xml:space="preserve"> </w:t>
      </w:r>
      <w:r>
        <w:rPr>
          <w:sz w:val="22"/>
        </w:rPr>
        <w:t xml:space="preserve">De consument moet daarom te allen tijde toegang hebben tot de twee knoppen en de bevestigingspagina zonder zich daarvoor eerst op de website te hoeven registreren.</w:t>
      </w:r>
      <w:r>
        <w:rPr>
          <w:sz w:val="22"/>
        </w:rPr>
        <w:t xml:space="preserve"> </w:t>
      </w:r>
      <w:r>
        <w:rPr>
          <w:sz w:val="22"/>
        </w:rPr>
        <w:t xml:space="preserve">Anderzijds is een tijdelijke technische ontoegankelijkheid als gevolg van onderhoudswerkzaamheden onschadelijk (zie het arrest van het Hooggerechtshof Düsseldorf van 4 november 2008, dossiernummer:</w:t>
      </w:r>
      <w:r>
        <w:rPr>
          <w:sz w:val="22"/>
        </w:rPr>
        <w:t xml:space="preserve"> </w:t>
      </w:r>
      <w:r>
        <w:rPr>
          <w:sz w:val="22"/>
        </w:rPr>
        <w:t xml:space="preserve">I-20 U 125/08).</w:t>
      </w:r>
      <w:r>
        <w:rPr>
          <w:sz w:val="22"/>
        </w:rPr>
        <w:t xml:space="preserve"> </w:t>
      </w:r>
      <w:r>
        <w:rPr>
          <w:sz w:val="22"/>
        </w:rPr>
        <w:t xml:space="preserve">De eis “rechtstreeks en gemakkelijk toegankelijk” is gebaseerd op artikel 246d, lid 2, punt 2, van de inleidende wet inzake het Burgerlijk Wetboek (EGBGB), zoals gewijzigd bij het wetsontwerp ter uitvoering van de Moderniseringsrichtlijn; er wordt verwezen naar de bijbehorende toelichtingen (drukwerk van de Federale raad 61/21, blz. 37 f.).</w:t>
      </w:r>
    </w:p>
    <w:p w14:paraId="584AC89F" w14:textId="77777777" w:rsidR="00306B62" w:rsidRDefault="00306B62" w:rsidP="006F0DAE">
      <w:pPr>
        <w:pStyle w:val="Text"/>
        <w:rPr>
          <w:b/>
          <w:sz w:val="22"/>
          <w:rFonts w:ascii="Arial" w:hAnsi="Arial" w:cs="Arial"/>
        </w:rPr>
      </w:pPr>
      <w:r>
        <w:rPr>
          <w:b/>
          <w:sz w:val="22"/>
          <w:rFonts w:ascii="Arial" w:hAnsi="Arial"/>
        </w:rPr>
        <w:t xml:space="preserve">Betreffende § 312k alinea 3 BGB-E:</w:t>
      </w:r>
    </w:p>
    <w:p w14:paraId="0F548D72" w14:textId="7AAA2D18" w:rsidR="00D528F9" w:rsidRPr="006F0DAE" w:rsidRDefault="00D528F9" w:rsidP="006F0DAE">
      <w:pPr>
        <w:pStyle w:val="Text"/>
        <w:rPr>
          <w:sz w:val="22"/>
        </w:rPr>
      </w:pPr>
      <w:r>
        <w:rPr>
          <w:sz w:val="22"/>
        </w:rPr>
        <w:t xml:space="preserve">§ 312k(3) van het Duitse Burgerlijk Wetboek (BGB) in de ontwerptekst is bedoeld om ervoor te zorgen dat de consument de indiening van de opzegging reeds kan documenteren.</w:t>
      </w:r>
      <w:r>
        <w:rPr>
          <w:sz w:val="22"/>
        </w:rPr>
        <w:t xml:space="preserve"> </w:t>
      </w:r>
      <w:r>
        <w:rPr>
          <w:sz w:val="22"/>
        </w:rPr>
        <w:t xml:space="preserve">Dit kan bijvoorbeeld worden uitgevoerd door middel van een downloadbare samenvatting van de inhoud van de opzeggingsverklaring die wordt ingediend door middel van de beëindigingsknop, die met name de datum en het tijdstip van het indrukken van de knop documenteert.</w:t>
      </w:r>
      <w:r>
        <w:rPr>
          <w:sz w:val="22"/>
        </w:rPr>
        <w:t xml:space="preserve"> </w:t>
      </w:r>
      <w:r>
        <w:rPr>
          <w:sz w:val="22"/>
        </w:rPr>
        <w:t xml:space="preserve">Deze documentatie garandeert de mogelijkheid om de verklaring van de consument op te slaan, zoals bepaald in § 126b, zin 2, punt 1 BGB.</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Betreffende § 312k alinea 4 BGB-E:</w:t>
      </w:r>
    </w:p>
    <w:p w14:paraId="0BB31C68" w14:textId="009FC109" w:rsidR="00956726" w:rsidRDefault="00956726" w:rsidP="00DA2D64">
      <w:pPr>
        <w:pStyle w:val="Text"/>
        <w:spacing w:before="120" w:after="120"/>
        <w:rPr>
          <w:sz w:val="22"/>
        </w:rPr>
      </w:pPr>
      <w:r>
        <w:rPr>
          <w:sz w:val="22"/>
        </w:rPr>
        <w:t xml:space="preserve">De verplichting van de onderneming om overeenkomstig § 312k lid 4 zin 1 BGB in de ontwerpversie te bevestigen, heeft betrekking op de toegang tot de verklaring van beëindiging van de onderneming.</w:t>
      </w:r>
      <w:r>
        <w:rPr>
          <w:sz w:val="22"/>
        </w:rPr>
        <w:t xml:space="preserve"> </w:t>
      </w:r>
      <w:r>
        <w:rPr>
          <w:sz w:val="22"/>
        </w:rPr>
        <w:t xml:space="preserve">Onmiddellijke bevestiging in tekstvorm kan geautomatiseerd worden in de elektronische handel.</w:t>
      </w:r>
    </w:p>
    <w:p w14:paraId="71556E49" w14:textId="6DB1B010" w:rsidR="00623468" w:rsidRPr="006F0DAE" w:rsidRDefault="00D00DD2" w:rsidP="006F0DAE">
      <w:pPr>
        <w:pStyle w:val="Text"/>
        <w:rPr>
          <w:sz w:val="22"/>
        </w:rPr>
      </w:pPr>
      <w:r>
        <w:rPr>
          <w:sz w:val="22"/>
        </w:rPr>
        <w:t xml:space="preserve">De tegenstrijdige veronderstelling in § 312k, lid 4, zin 2 van het Duitse Burgerlijk Wetboek (BGB) in de ontwerptekst is bedoeld om de consument die geen inzicht heeft in de technische processen die verband houden met de verzending van de opzegging, de bewijzen betreffende de toegang tot de opzegging door de onderneming, te vergemakkelijken.</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Betreffende § 312k alinea 5 BGB-E:</w:t>
      </w:r>
    </w:p>
    <w:p w14:paraId="2028DFF1" w14:textId="02BEE66D" w:rsidR="009B3F4B" w:rsidRDefault="00D528F9" w:rsidP="006F0DAE">
      <w:pPr>
        <w:pStyle w:val="Text"/>
        <w:rPr>
          <w:sz w:val="22"/>
        </w:rPr>
      </w:pPr>
      <w:r>
        <w:rPr>
          <w:sz w:val="22"/>
        </w:rPr>
        <w:t xml:space="preserve">§ 312k, lid 5, BGB, van het Duitse Burgerlijk Wetboek (BGB) in het ontwerp is bedoeld om ervoor te zorgen dat de beëindiging effectief is zonder enige andere informatie van de consument op een zo vroeg mogelijk tijdstip van kennisgeving.</w:t>
      </w:r>
      <w:r>
        <w:rPr>
          <w:sz w:val="22"/>
        </w:rPr>
        <w:t xml:space="preserve"> </w:t>
      </w:r>
      <w:r>
        <w:rPr>
          <w:sz w:val="22"/>
        </w:rPr>
        <w:t xml:space="preserve">Consumenten en bedrijven kunnen er echter ook voor zorgen dat hierover geen twijfel bestaat door middel van overeenkomstige verklaringen of door het tijdstip van beëindiging aan te vragen.</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Betreffende § 312k alinea 6 BGB-E:</w:t>
      </w:r>
    </w:p>
    <w:p w14:paraId="231F3872" w14:textId="6E37B134" w:rsidR="00481CA0" w:rsidRDefault="000C76EB" w:rsidP="006F0DAE">
      <w:pPr>
        <w:pStyle w:val="Text"/>
        <w:rPr>
          <w:sz w:val="22"/>
        </w:rPr>
      </w:pPr>
      <w:r>
        <w:rPr>
          <w:sz w:val="22"/>
        </w:rPr>
        <w:t xml:space="preserve">§ 312k, lid 6, van de ontwerptekst bevat in dit geval een boetenorm.</w:t>
      </w:r>
      <w:r>
        <w:rPr>
          <w:sz w:val="22"/>
        </w:rPr>
        <w:t xml:space="preserve"> </w:t>
      </w:r>
      <w:r>
        <w:rPr>
          <w:sz w:val="22"/>
        </w:rPr>
        <w:t xml:space="preserve">Indien de knoppen en de bevestigingspagina niet beschikbaar worden gesteld overeenkomstig de leden 1 en 2, kan een consument een overeenkomst opzeggen waarvoor de opzegging van deze knoppen te allen tijde en zonder inachtneming van een opzegtermijn beschikbaar moeten worden gesteld.</w:t>
      </w:r>
      <w:r>
        <w:rPr>
          <w:sz w:val="22"/>
        </w:rPr>
        <w:t xml:space="preserve"> </w:t>
      </w:r>
      <w:r>
        <w:rPr>
          <w:sz w:val="22"/>
        </w:rPr>
        <w:t xml:space="preserve">Ondernemingen die de in § 312k, leden 1 en 2 BGB, in de ontwerpversie bedoelde voorzorgsmaatregelen niet nemen, moeten de contractuele relatie van de consument met hen op overeenkomstige wijze beëindigen.</w:t>
      </w:r>
      <w:r>
        <w:rPr>
          <w:sz w:val="22"/>
        </w:rPr>
        <w:t xml:space="preserve"> </w:t>
      </w:r>
      <w:r>
        <w:rPr>
          <w:sz w:val="22"/>
        </w:rPr>
        <w:t xml:space="preserve">Een mildere vorm van sanctie lijkt niet op dezelfde manier effectief te zijn.</w:t>
      </w:r>
      <w:r>
        <w:rPr>
          <w:sz w:val="22"/>
        </w:rPr>
        <w:t xml:space="preserve"> </w:t>
      </w:r>
      <w:r>
        <w:rPr>
          <w:sz w:val="22"/>
        </w:rPr>
        <w:t xml:space="preserve">Indien, in het geval van § 312j lid 3 BGB, de onderneming een stimulans heeft om de daar beschreven knop ter bevestiging van het sluiten van de overeenkomst over te leggen, aangezien anders een overeenkomst met de consument niet in werking treedt op grond van § 312j lid 4 BGB, ontbreekt een dergelijke stimulans in de omgekeerde situatie van ontbinding van de overeenkomst hier.</w:t>
      </w:r>
      <w:r>
        <w:rPr>
          <w:sz w:val="22"/>
        </w:rPr>
        <w:t xml:space="preserve"> </w:t>
      </w:r>
      <w:r>
        <w:rPr>
          <w:sz w:val="22"/>
        </w:rPr>
        <w:t xml:space="preserve">Daarom moet de onderneming die de consument de eenvoudige en ongecompliceerde mogelijkheid tot opzegging bij wet ontzegt, worden beboet door de mogelijkheid voor de consument om de overeenkomst op elk moment en zonder inachtneming van een opzegtermijn op te zeggen.</w:t>
      </w:r>
      <w:r>
        <w:rPr>
          <w:sz w:val="22"/>
        </w:rPr>
        <w:t xml:space="preserve"> </w:t>
      </w:r>
      <w:r>
        <w:rPr>
          <w:sz w:val="22"/>
        </w:rPr>
        <w:t xml:space="preserve">Kortstondige, technische onderbrekingen als gevolg van onderhoudswerkzaamheden zijn onschadelijk gezien de toelichtingen in de toelichting bij § 312k lid 2 zin 4 BGB in de ontwerpversie.</w:t>
      </w:r>
    </w:p>
    <w:p w14:paraId="544C65C8" w14:textId="7048DB19" w:rsidR="00481CA0" w:rsidRDefault="00021C4F" w:rsidP="006F0DAE">
      <w:pPr>
        <w:pStyle w:val="Text"/>
        <w:rPr>
          <w:sz w:val="22"/>
        </w:rPr>
      </w:pPr>
      <w:r>
        <w:rPr>
          <w:sz w:val="22"/>
        </w:rPr>
        <w:t xml:space="preserve">Voor het bestaan van de voorwaarden van § 312k, lid 6, zin 1 van het Duitse Burgerlijk Wetboek (BGB), in de ontwerpversie, is de consument verplicht informatie en bewijs te verstrekken.</w:t>
      </w:r>
    </w:p>
    <w:p w14:paraId="0861A407" w14:textId="595606B6" w:rsidR="00285780" w:rsidRPr="006F0DAE" w:rsidRDefault="001C5507" w:rsidP="006F0DAE">
      <w:pPr>
        <w:pStyle w:val="Text"/>
        <w:rPr>
          <w:sz w:val="22"/>
        </w:rPr>
      </w:pPr>
      <w:r>
        <w:rPr>
          <w:sz w:val="22"/>
        </w:rPr>
        <w:t xml:space="preserve">§ 312k lid 6 zin 2 van het Duitse Burgerlijk Wetboek (BGB) verduidelijkt dat de mogelijkheid van de consument om de overeenkomst te ontbinden niet wordt aangetast.</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Betreffende artikel 1 nummer 6</w:t>
      </w:r>
    </w:p>
    <w:p w14:paraId="031E74E7" w14:textId="1D6D2F7A" w:rsidR="00D528F9" w:rsidRDefault="00910B03" w:rsidP="00910B03">
      <w:pPr>
        <w:pStyle w:val="Text"/>
        <w:rPr>
          <w:sz w:val="22"/>
        </w:rPr>
      </w:pPr>
      <w:r>
        <w:rPr>
          <w:sz w:val="22"/>
        </w:rPr>
        <w:t xml:space="preserve">Door § 312k BGB in de ontwerpversie op te nemen als vervolgwijziging, § 312k BGB tot § 312 l BGB, zoals beschreven in de toelichting bij artikel 1, lid 4, zal dit naar verwachting worden ingevoegd bij de inwerkingtreding van de voorgestelde verordening.</w:t>
      </w:r>
      <w:r>
        <w:rPr>
          <w:sz w:val="22"/>
        </w:rPr>
        <w:t xml:space="preserve"> </w:t>
      </w:r>
      <w:r>
        <w:rPr>
          <w:sz w:val="22"/>
        </w:rPr>
        <w:t xml:space="preserve">§ 312 l BGB, dat naar verwachting ook in het wetsontwerp voor de tenuitvoerlegging van de Moderniseringsrichtlijn zal worden opgenomen, wordt derhalve § 312 m van het Duitse Burgerlijk Wetboek.</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Betreffende letter (b)</w:t>
      </w:r>
    </w:p>
    <w:p w14:paraId="6BCBE8EB" w14:textId="55DABD77" w:rsidR="000F009A" w:rsidRPr="000F009A" w:rsidRDefault="000F009A" w:rsidP="00DA2D64">
      <w:pPr>
        <w:pStyle w:val="Text"/>
        <w:spacing w:before="120" w:after="120"/>
        <w:rPr>
          <w:sz w:val="22"/>
        </w:rPr>
      </w:pPr>
      <w:r>
        <w:rPr>
          <w:sz w:val="22"/>
        </w:rPr>
        <w:t xml:space="preserve">Letter (b) bevat een latere wijziging betreffende de nummering van de artikelen in het wetsontwerp.</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Betreffende nummer 3</w:t>
      </w:r>
    </w:p>
    <w:p w14:paraId="4A814002" w14:textId="6AF38C59" w:rsidR="00A7355E" w:rsidRDefault="000F009A" w:rsidP="000F009A">
      <w:pPr>
        <w:pStyle w:val="Text"/>
        <w:rPr>
          <w:sz w:val="22"/>
        </w:rPr>
      </w:pPr>
      <w:r>
        <w:rPr>
          <w:sz w:val="22"/>
        </w:rPr>
        <w:t xml:space="preserve">Nummer 3 voert een latere wijziging van het EVV in door artikel 2 in het wetsontwerp te herschikken.</w:t>
      </w:r>
    </w:p>
    <w:p w14:paraId="51AC3A1B" w14:textId="150ECB80" w:rsidR="009F2923" w:rsidRDefault="00A7355E" w:rsidP="002E70FE">
      <w:pPr>
        <w:pStyle w:val="Text"/>
        <w:rPr>
          <w:b/>
          <w:sz w:val="22"/>
          <w:rFonts w:ascii="Arial" w:hAnsi="Arial" w:cs="Arial"/>
        </w:rPr>
      </w:pPr>
      <w:r>
        <w:rPr>
          <w:sz w:val="22"/>
        </w:rPr>
        <w:t xml:space="preserve">Het wetsontwerp ter uitvoering van de Moderniseringsrichtlijn zal naar verwachting een nieuw artikel 246e in het EGBGB opnemen, dat in lid 2, punt 10, van de ontwerptekst een verwijzing bevat naar § 312k BGB, zoals beschreven in de toelichting bij punt 1, onder a) (artikel 1, punt 4).</w:t>
      </w:r>
      <w:r>
        <w:rPr>
          <w:sz w:val="22"/>
        </w:rPr>
        <w:t xml:space="preserve"> </w:t>
      </w:r>
      <w:r>
        <w:rPr>
          <w:sz w:val="22"/>
        </w:rPr>
        <w:t xml:space="preserve">Deze verwijzing moet worden aangepast.</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Betreffende nummer 4</w:t>
      </w:r>
    </w:p>
    <w:p w14:paraId="5DE9D023" w14:textId="63527F64" w:rsidR="00EE546D" w:rsidRPr="00EE546D" w:rsidRDefault="00EE546D" w:rsidP="00EE546D">
      <w:pPr>
        <w:pStyle w:val="Text"/>
        <w:rPr>
          <w:sz w:val="22"/>
        </w:rPr>
      </w:pPr>
      <w:r>
        <w:rPr>
          <w:sz w:val="22"/>
        </w:rPr>
        <w:t xml:space="preserve">De toepassing van de vereisten voor het nakomen van de verplichting overeenkomstig § 312k BGB in de ontwerpversie zal in sommige gevallen een aanzienlijke organisatorische en tijdelijke inspanning voor bedrijven betekenen.</w:t>
      </w:r>
      <w:r>
        <w:rPr>
          <w:sz w:val="22"/>
        </w:rPr>
        <w:t xml:space="preserve"> </w:t>
      </w:r>
      <w:r>
        <w:rPr>
          <w:sz w:val="22"/>
        </w:rPr>
        <w:t xml:space="preserve">Tegen deze achtergrond zouden ondernemingen pas op 1 juli 2022 verplicht moeten zijn dat te doen.</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