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86F4E" w14:textId="157964E8" w:rsidR="002720FF" w:rsidRPr="00683CE0" w:rsidRDefault="002720FF" w:rsidP="00EA1D8C">
      <w:pPr>
        <w:spacing w:after="240" w:line="360" w:lineRule="auto"/>
        <w:rPr>
          <w:sz w:val="26"/>
          <w:szCs w:val="26"/>
          <w:rFonts w:ascii="Arial" w:hAnsi="Arial" w:cs="Arial"/>
        </w:rPr>
      </w:pPr>
      <w:r>
        <w:rPr>
          <w:sz w:val="26"/>
          <w:rFonts w:ascii="Arial" w:hAnsi="Arial"/>
        </w:rPr>
        <w:t xml:space="preserve">Federalne Ministerstwo Sprawiedliwości i Ochrony Konsumentów</w:t>
      </w:r>
    </w:p>
    <w:p w14:paraId="4622CA11" w14:textId="77777777" w:rsidR="002720FF" w:rsidRPr="00683CE0" w:rsidRDefault="002720FF" w:rsidP="00EA1D8C">
      <w:pPr>
        <w:pStyle w:val="DokumentkopfTitel"/>
      </w:pPr>
      <w:r>
        <w:t xml:space="preserve">Wniosek w sprawie zmian</w:t>
      </w:r>
    </w:p>
    <w:p w14:paraId="3FAED9FF" w14:textId="77777777" w:rsidR="002720FF" w:rsidRPr="00683CE0" w:rsidRDefault="002720FF" w:rsidP="00EA1D8C">
      <w:pPr>
        <w:pStyle w:val="DokumentkopfBezeichnung"/>
      </w:pPr>
      <w:r>
        <w:t xml:space="preserve">do projektu ustawy rządu federalnego</w:t>
      </w:r>
    </w:p>
    <w:p w14:paraId="31EDF417" w14:textId="77777777" w:rsidR="002720FF" w:rsidRPr="00683CE0" w:rsidRDefault="002720FF" w:rsidP="00EA1D8C">
      <w:pPr>
        <w:pStyle w:val="DokumentkopfBezeichnung"/>
      </w:pPr>
      <w:r>
        <w:t xml:space="preserve">— dokument 19/26915 —</w:t>
      </w:r>
    </w:p>
    <w:p w14:paraId="10B9D1C7" w14:textId="77777777" w:rsidR="002720FF" w:rsidRPr="00683CE0" w:rsidRDefault="0021568B" w:rsidP="00EA1D8C">
      <w:pPr>
        <w:spacing w:before="240" w:after="480" w:line="360" w:lineRule="auto"/>
        <w:rPr>
          <w:b/>
          <w:sz w:val="26"/>
          <w:szCs w:val="26"/>
          <w:rFonts w:ascii="Arial" w:hAnsi="Arial" w:cs="Arial"/>
        </w:rPr>
      </w:pPr>
      <w:r>
        <w:rPr>
          <w:b/>
          <w:sz w:val="26"/>
          <w:rFonts w:ascii="Arial" w:hAnsi="Arial"/>
        </w:rPr>
        <w:t xml:space="preserve">Projekt ustawy o uczciwych umowach konsumenckich</w:t>
      </w:r>
    </w:p>
    <w:p w14:paraId="43B17458" w14:textId="77777777" w:rsidR="002720FF" w:rsidRDefault="002720FF" w:rsidP="00EA1D8C">
      <w:pPr>
        <w:spacing w:line="360" w:lineRule="auto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Proponuje się, aby Bundestag (parlament) podjął decyzję</w:t>
      </w:r>
    </w:p>
    <w:p w14:paraId="09C91E87" w14:textId="77777777" w:rsidR="002720FF" w:rsidRPr="00AB4C70" w:rsidRDefault="002720FF" w:rsidP="00EA1D8C">
      <w:pPr>
        <w:spacing w:line="360" w:lineRule="auto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o przyjęciu projektu ustawy w dokumencie 19/26915 z następującymi zastrzeżeniami, a w pozostałym zakresie bez zmian:</w:t>
      </w:r>
    </w:p>
    <w:p w14:paraId="27B616A6" w14:textId="77777777" w:rsidR="00826E52" w:rsidRDefault="00826E52" w:rsidP="00826E52">
      <w:pPr>
        <w:sectPr w:rsidR="00826E52" w:rsidSect="00012A1D">
          <w:headerReference w:type="even" r:id="rId8"/>
          <w:headerReference w:type="default" r:id="rId9"/>
          <w:pgSz w:w="11907" w:h="16839"/>
          <w:pgMar w:top="1134" w:right="3883" w:bottom="1417" w:left="1219" w:header="709" w:footer="709" w:gutter="0"/>
          <w:pgNumType w:start="1"/>
          <w:cols w:space="708"/>
          <w:titlePg/>
          <w:docGrid w:linePitch="360"/>
        </w:sectPr>
      </w:pPr>
    </w:p>
    <w:p w14:paraId="33337284" w14:textId="138C0023" w:rsidR="002F6967" w:rsidRDefault="002F6967" w:rsidP="00416421">
      <w:pPr>
        <w:pStyle w:val="EmpfehlungNummerierungStufe1"/>
      </w:pPr>
      <w:r>
        <w:t xml:space="preserve">W nagłówku dodaje się przypis w brzmieniu:</w:t>
      </w:r>
      <w:r>
        <w:t xml:space="preserve"> </w:t>
      </w:r>
    </w:p>
    <w:p w14:paraId="7CEDE7EC" w14:textId="725FED5E" w:rsidR="002F6967" w:rsidRPr="00693751" w:rsidRDefault="002F6967" w:rsidP="009B1298">
      <w:pPr>
        <w:pStyle w:val="RevisionNummerierungStufe1manuell"/>
        <w:tabs>
          <w:tab w:val="clear" w:pos="425"/>
          <w:tab w:val="left" w:pos="940"/>
        </w:tabs>
        <w:ind w:left="940" w:hanging="515"/>
      </w:pPr>
      <w:r>
        <w:rPr>
          <w:vertAlign w:val="superscript"/>
        </w:rPr>
        <w:t xml:space="preserve">*</w:t>
      </w:r>
      <w:r>
        <w:tab/>
      </w:r>
      <w:r>
        <w:t xml:space="preserve">Zgłoszono zgodnie z Dyrektywą Parlamentu Europejskiego i Rady (UE) 2015/1535 z dnia 9 września 2015 r. ustanawiającą procedurę udzielania informacji w dziedzinie przepisów technicznych oraz zasad dotyczących usług społeczeństwa informacyjnego (Dz.U. L 241 z dnia 17 września 2015 r., s. 1).</w:t>
      </w:r>
    </w:p>
    <w:p w14:paraId="321F69E0" w14:textId="6E4A4B30" w:rsidR="00826E52" w:rsidRDefault="00826E52" w:rsidP="00416421">
      <w:pPr>
        <w:pStyle w:val="EmpfehlungNummerierungStufe1"/>
      </w:pPr>
      <w:r>
        <w:t xml:space="preserve">W art. 1 wprowadza się następujące zmiany:</w:t>
      </w:r>
    </w:p>
    <w:p w14:paraId="63EFF5B4" w14:textId="6CD7E956" w:rsidR="0021568B" w:rsidRPr="0021568B" w:rsidRDefault="0021568B" w:rsidP="00DA2D64">
      <w:pPr>
        <w:pStyle w:val="EmpfehlungNummerierungStufe2"/>
      </w:pPr>
      <w:r>
        <w:t xml:space="preserve">Po punkcie 3 dodaje się punkty 4–6 w brzmieniu:</w:t>
      </w:r>
    </w:p>
    <w:p w14:paraId="07B1EF48" w14:textId="67DC30C7" w:rsidR="0021568B" w:rsidRDefault="0021568B" w:rsidP="009D590D">
      <w:pPr>
        <w:pStyle w:val="RevisionNummerierungStufe1manuell"/>
        <w:tabs>
          <w:tab w:val="clear" w:pos="425"/>
          <w:tab w:val="left" w:pos="1345"/>
        </w:tabs>
        <w:ind w:left="1345" w:hanging="495"/>
      </w:pPr>
      <w:r>
        <w:t xml:space="preserve">„4.</w:t>
      </w:r>
      <w:r>
        <w:tab/>
      </w:r>
      <w:r>
        <w:t xml:space="preserve">W § 312 ust. 7, zdanie 1, wyrazy „§ 312 l” zastępuje się wyrazami „§ 312 m”.</w:t>
      </w:r>
    </w:p>
    <w:p w14:paraId="50355E6B" w14:textId="6FBBEDCE" w:rsidR="00FC63C3" w:rsidRDefault="0021568B" w:rsidP="009D590D">
      <w:pPr>
        <w:pStyle w:val="RevisionNummerierungStufe1manuell"/>
        <w:tabs>
          <w:tab w:val="clear" w:pos="425"/>
          <w:tab w:val="left" w:pos="1345"/>
        </w:tabs>
        <w:ind w:left="1345"/>
      </w:pPr>
      <w:r>
        <w:t xml:space="preserve">5.</w:t>
      </w:r>
      <w:r>
        <w:tab/>
      </w:r>
      <w:r>
        <w:t xml:space="preserve">Po § 312j dodaje się § 312k w brzmieniu:</w:t>
      </w:r>
    </w:p>
    <w:p w14:paraId="2A7410BB" w14:textId="77777777" w:rsidR="0075168F" w:rsidRPr="00E574A2" w:rsidRDefault="0075168F" w:rsidP="009D590D">
      <w:pPr>
        <w:pStyle w:val="RevisionParagraphBezeichnermanuell"/>
        <w:spacing w:after="120"/>
        <w:ind w:left="1345" w:hanging="90"/>
        <w:outlineLvl w:val="7"/>
      </w:pPr>
      <w:r>
        <w:t xml:space="preserve">„§ 312k</w:t>
      </w:r>
    </w:p>
    <w:p w14:paraId="41B291F4" w14:textId="486B3F04" w:rsidR="0075168F" w:rsidRPr="00416421" w:rsidRDefault="0075168F" w:rsidP="009D590D">
      <w:pPr>
        <w:pStyle w:val="RevisionParagraphberschrift"/>
        <w:spacing w:before="120" w:after="120"/>
        <w:ind w:left="1345"/>
        <w:outlineLvl w:val="7"/>
      </w:pPr>
      <w:r>
        <w:t xml:space="preserve">Rozwiązywanie umów konsumenckich w handlu elektronicznym</w:t>
      </w:r>
    </w:p>
    <w:p w14:paraId="4B99D571" w14:textId="07F42C55" w:rsidR="00C10FA1" w:rsidRDefault="00DC3B1E" w:rsidP="009D590D">
      <w:pPr>
        <w:pStyle w:val="RevisionJuristischerAbsatz"/>
        <w:numPr>
          <w:ilvl w:val="2"/>
          <w:numId w:val="1"/>
        </w:numPr>
        <w:tabs>
          <w:tab w:val="clear" w:pos="850"/>
          <w:tab w:val="num" w:pos="2195"/>
        </w:tabs>
        <w:ind w:left="1345"/>
      </w:pPr>
      <w:r>
        <w:t xml:space="preserve">W przypadku gdy strona internetowa umożliwia konsumentom zawarcie umowy o handlu elektronicznym mającej na celu nawiązanie stałego stosunku zobowiązaniowego i zobowiązanie przedsiębiorstwa do wykonania w zamian usługi, wówczas przedsiębiorstwo spełnia obowiązki określone w tym przepisie.</w:t>
      </w:r>
      <w:r>
        <w:t xml:space="preserve"> </w:t>
      </w:r>
      <w:r>
        <w:t xml:space="preserve">Nie ma to zastosowania do</w:t>
      </w:r>
    </w:p>
    <w:p w14:paraId="2FF8D6A4" w14:textId="14FBFEC6" w:rsidR="00C10FA1" w:rsidRPr="0090252A" w:rsidRDefault="0052341C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umów, których rozwiązanie jest przewidziane jedynie w bardziej rygorystycznej formie niż forma tekstowa; oraz</w:t>
      </w:r>
    </w:p>
    <w:p w14:paraId="3F8AA9D7" w14:textId="7C181D21" w:rsidR="00E57275" w:rsidRPr="00AE662A" w:rsidRDefault="006F7B3A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do stron internetowych dotyczących usług finansowych lub umów dotyczących usług finansowych.</w:t>
      </w:r>
    </w:p>
    <w:p w14:paraId="45A2845B" w14:textId="6F37F124" w:rsidR="009E06E3" w:rsidRDefault="00AE3F1C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Przedsiębiorstwo musi zapewnić, aby konsument na stronie internetowej miał możliwość złożenia oświadczenia o zwykłym lub nadzwyczajnym wypowiedzeniu umowy zawartej na stronie internetowej, zgodnie z § 1, zdanie 1, za pomocą przycisku wypowiedzenia umowy.</w:t>
      </w:r>
      <w:r>
        <w:t xml:space="preserve"> </w:t>
      </w:r>
      <w:r>
        <w:t xml:space="preserve">Przycisk wypowiedzenia umowy musi być czytelny i zawierać jedynie słowa „tutaj anuluj umowę”, albo musi być oznaczony odpowiednim jednoznacznym sformułowaniem.</w:t>
      </w:r>
      <w:r>
        <w:t xml:space="preserve"> </w:t>
      </w:r>
      <w:r>
        <w:t xml:space="preserve">Musi on prowadzić konsumenta bezpośrednio do strony z potwierdzeniem, na której</w:t>
      </w:r>
    </w:p>
    <w:p w14:paraId="63A70429" w14:textId="0658A2E9" w:rsidR="002A3FE5" w:rsidRDefault="006E2F12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konsument będzie mógł podać informacje</w:t>
      </w:r>
    </w:p>
    <w:p w14:paraId="1A0A97F8" w14:textId="04EE9D94" w:rsidR="006E2F12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dotyczące charakteru wypowiedzenia oraz, w przypadku wypowiedzenia nadzwyczajnego, przyczyny takiego wypowiedzenia,</w:t>
      </w:r>
    </w:p>
    <w:p w14:paraId="459452DE" w14:textId="5BCFA0A2" w:rsidR="002A3FE5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dotyczące możliwości jednoznacznego zidentyfikowania,</w:t>
      </w:r>
    </w:p>
    <w:p w14:paraId="0B7A6589" w14:textId="2A8E4FF6" w:rsidR="002A3FE5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dotyczące jednoznacznego wskazania Traktatu,</w:t>
      </w:r>
    </w:p>
    <w:p w14:paraId="309E68B5" w14:textId="4790EC1D" w:rsidR="00846EFD" w:rsidRDefault="00846EFD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w momencie, w którym wypowiedzenie ma zakończyć stosunek umowny,</w:t>
      </w:r>
    </w:p>
    <w:p w14:paraId="1E1303B1" w14:textId="2C482F67" w:rsidR="002A3FE5" w:rsidRDefault="00AE3F1C" w:rsidP="00846EF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w celu szybkiego przekazania mu drogą elektroniczną potwierdzenia wypowiedzenia oraz</w:t>
      </w:r>
    </w:p>
    <w:p w14:paraId="4F18B29F" w14:textId="576EFA0F" w:rsidR="00222EE0" w:rsidRDefault="009E06E3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zawiera przycisk potwierdzenia, za pomocą którego konsument może złożyć oświadczenie o wypowiedzeniu i który jest czytelny i zawiera jedynie słowa „anuluj teraz”, lub jest oznaczony odpowiednim jednoznacznym sformułowaniem.</w:t>
      </w:r>
    </w:p>
    <w:p w14:paraId="41B87BA6" w14:textId="4412EB32" w:rsidR="00591E40" w:rsidRDefault="009F7F4E" w:rsidP="009D590D">
      <w:pPr>
        <w:pStyle w:val="RevisionJuristischerAbsatzFolgeabsatz"/>
        <w:ind w:left="1345"/>
      </w:pPr>
      <w:r>
        <w:t xml:space="preserve">Interfejsy użytkownika i strona potwierdzenia muszą być stale dostępne, łatwo i natychmiastowo osiągalne.</w:t>
      </w:r>
    </w:p>
    <w:p w14:paraId="01895F53" w14:textId="274AB82F" w:rsidR="00F15270" w:rsidRDefault="0075168F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Konsument musi mieć możliwość zapisania na trwałym nośniku swojego oświadczenia o wypowiedzeniu od umowy złożonego poprzez naciśnięcie przycisku potwierdzenia wraz z datą i godziną dostarczenia w taki sposób, aby można było stwierdzić, że oświadczenie o wypowiedzeniu zostało złożone przez naciśnięcie przycisku potwierdzenia.</w:t>
      </w:r>
    </w:p>
    <w:p w14:paraId="0E1A934D" w14:textId="79962F83" w:rsidR="0075168F" w:rsidRPr="004C591F" w:rsidRDefault="0075168F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Przedsiębiorstwo niezwłocznie potwierdzi konsumentowi treść oraz datę i godzinę otrzymania zawiadomienia o rozwiązaniu umowy, jak również termin, w którym umowa ma zostać rozwiązana przez wypowiedzenie, w formie pisemnej za pomocą środków elektronicznych.</w:t>
      </w:r>
      <w:r>
        <w:t xml:space="preserve"> </w:t>
      </w:r>
      <w:r>
        <w:t xml:space="preserve">Zakłada się, że zawiadomienie o wypowiedzeniu złożone przez naciśnięcie przycisku potwierdzenia zostało skutecznie przesłane do przedsiębiorstwa natychmiast po jego złożeniu.</w:t>
      </w:r>
    </w:p>
    <w:p w14:paraId="2C91A187" w14:textId="77777777" w:rsidR="00852306" w:rsidRPr="000C76EB" w:rsidRDefault="00AF1427" w:rsidP="009D590D">
      <w:pPr>
        <w:pStyle w:val="RevisionJuristischerAbsatz"/>
        <w:tabs>
          <w:tab w:val="clear" w:pos="850"/>
          <w:tab w:val="left" w:pos="2195"/>
        </w:tabs>
        <w:spacing w:before="120" w:after="120"/>
        <w:ind w:left="1345"/>
        <w:outlineLvl w:val="8"/>
      </w:pPr>
      <w:r>
        <w:t xml:space="preserve">Jeżeli konsument przy składaniu oświadczenia o wypowiedzeniu nie wskaże terminu, w którym wypowiedzenie ma zakończyć stosunek umowny, wówczas w razie wątpliwości wypowiedzenie nastąpi w najwcześniejszym możliwym terminie.</w:t>
      </w:r>
    </w:p>
    <w:p w14:paraId="0063AC95" w14:textId="2CD687CE" w:rsidR="0075168F" w:rsidRPr="000C76EB" w:rsidRDefault="003C1CD0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Jeżeli przyciski i strona potwierdzenia nie zostaną udostępnione zgodnie z ust. 1 i 2, konsument może w każdej chwili i bez zachowania okresu wypowiedzenia rozwiązać umowę, do której rozwiązania przyciski i strona potwierdzenia muszą zostać udostępnione.</w:t>
      </w:r>
      <w:r>
        <w:t xml:space="preserve"> </w:t>
      </w:r>
      <w:r>
        <w:t xml:space="preserve">Nie ma to wpływu na uprawnienie konsumenta do rozwiązania umowy w drodze wyjątku”.</w:t>
      </w:r>
    </w:p>
    <w:p w14:paraId="0AE0901F" w14:textId="0375EB9F" w:rsidR="001B688F" w:rsidRDefault="0021568B" w:rsidP="009D590D">
      <w:pPr>
        <w:pStyle w:val="RevisionNummerierungStufe1manuell"/>
        <w:tabs>
          <w:tab w:val="clear" w:pos="425"/>
          <w:tab w:val="left" w:pos="1345"/>
        </w:tabs>
        <w:ind w:left="1345"/>
      </w:pPr>
      <w:r>
        <w:t xml:space="preserve">6.</w:t>
      </w:r>
      <w:r>
        <w:tab/>
      </w:r>
      <w:r>
        <w:t xml:space="preserve">Poprzednie §§ 312k i 312 l stają się §§ 312 l i 312 m”.</w:t>
      </w:r>
    </w:p>
    <w:p w14:paraId="6405AD62" w14:textId="2EED1D99" w:rsidR="0021568B" w:rsidRDefault="0021568B" w:rsidP="00DA2D64">
      <w:pPr>
        <w:pStyle w:val="EmpfehlungNummerierungStufe2"/>
      </w:pPr>
      <w:r>
        <w:t xml:space="preserve">Poprzedni numer 4 staje się numerem 7.</w:t>
      </w:r>
    </w:p>
    <w:p w14:paraId="2D9EE4F1" w14:textId="49ED0B65" w:rsidR="00D663F5" w:rsidRDefault="00D663F5" w:rsidP="008E21D5">
      <w:pPr>
        <w:pStyle w:val="EmpfehlungNummerierungStufe1"/>
      </w:pPr>
      <w:r>
        <w:t xml:space="preserve">Artykuł 2 otrzymuje następujące brzmienie:</w:t>
      </w:r>
    </w:p>
    <w:p w14:paraId="2A51C349" w14:textId="28141D5E" w:rsidR="008657B1" w:rsidRPr="008657B1" w:rsidRDefault="008657B1" w:rsidP="009D590D">
      <w:pPr>
        <w:pStyle w:val="RevisionArtikelBezeichnermanuell"/>
        <w:ind w:left="425" w:hanging="70"/>
      </w:pPr>
      <w:r>
        <w:t xml:space="preserve">„Artykuł 2</w:t>
      </w:r>
    </w:p>
    <w:p w14:paraId="5837AD5B" w14:textId="0C0D5684" w:rsidR="008657B1" w:rsidRPr="008657B1" w:rsidRDefault="008657B1" w:rsidP="009D590D">
      <w:pPr>
        <w:pStyle w:val="RevisionArtikelberschrift"/>
        <w:ind w:left="425"/>
      </w:pPr>
      <w:r>
        <w:t xml:space="preserve">Zmiana ustawy wprowadzającej do Kodeksu cywilnego</w:t>
      </w:r>
    </w:p>
    <w:p w14:paraId="460ABE0F" w14:textId="5A512474" w:rsidR="008657B1" w:rsidRPr="004F1B81" w:rsidRDefault="007B6582" w:rsidP="009D590D">
      <w:pPr>
        <w:pStyle w:val="RevisionJuristischerAbsatzmanuell"/>
        <w:tabs>
          <w:tab w:val="clear" w:pos="850"/>
          <w:tab w:val="left" w:pos="1275"/>
        </w:tabs>
        <w:ind w:left="425"/>
      </w:pPr>
      <w:r>
        <w:t xml:space="preserve">Ustawa wprowadzająca do Kodeksu cywilnego w wersji opublikowanej w dniu 21 września 1994 r. (Federalny Dziennik Ustaw I, s. 2494, 1997; I, s. 1061), z ostatnimi zmianami wprowadzonymi przez art. 10 ustawy z dnia 22 grudnia 2020 r. (Federalny Dziennik Ustaw I, s. 3328), zostaje zmieniona w następujący sposób:</w:t>
      </w:r>
    </w:p>
    <w:p w14:paraId="6B027298" w14:textId="034AC32F" w:rsidR="008657B1" w:rsidRPr="004F1B81" w:rsidRDefault="008657B1" w:rsidP="009D590D">
      <w:pPr>
        <w:pStyle w:val="RevisionNummerierungStufe1"/>
        <w:tabs>
          <w:tab w:val="clear" w:pos="425"/>
          <w:tab w:val="num" w:pos="850"/>
        </w:tabs>
        <w:ind w:left="850"/>
      </w:pPr>
      <w:r>
        <w:t xml:space="preserve">Artykuł 229 zostaje zastąpiony przez następujący §...</w:t>
      </w:r>
      <w:r>
        <w:t xml:space="preserve"> </w:t>
      </w:r>
      <w:r>
        <w:t xml:space="preserve">[wprowadzić: następne wolne oznaczenie liczenia po ogłoszeniu] dodaje się:</w:t>
      </w:r>
    </w:p>
    <w:p w14:paraId="57F318B2" w14:textId="77777777" w:rsidR="008657B1" w:rsidRPr="004F1B81" w:rsidRDefault="008657B1" w:rsidP="009D590D">
      <w:pPr>
        <w:pStyle w:val="RevisionParagraphBezeichnermanuell"/>
        <w:ind w:left="850" w:hanging="90"/>
      </w:pPr>
      <w:r>
        <w:t xml:space="preserve">„§...</w:t>
      </w:r>
      <w:r>
        <w:t xml:space="preserve"> </w:t>
      </w:r>
      <w:r>
        <w:t xml:space="preserve">[wstawić: następne wolne oznaczenie liczenia po ogłoszeniu]</w:t>
      </w:r>
    </w:p>
    <w:p w14:paraId="240738A9" w14:textId="77777777" w:rsidR="008657B1" w:rsidRPr="004F1B81" w:rsidRDefault="008657B1" w:rsidP="009D590D">
      <w:pPr>
        <w:pStyle w:val="RevisionParagraphberschrift"/>
        <w:ind w:left="850"/>
      </w:pPr>
      <w:r>
        <w:t xml:space="preserve">Przepis przejściowy do ustawy o uczciwych umowach konsumenckich</w:t>
      </w:r>
    </w:p>
    <w:p w14:paraId="48E37EC8" w14:textId="49D04865" w:rsidR="008657B1" w:rsidRPr="008657B1" w:rsidRDefault="008657B1" w:rsidP="009D590D">
      <w:pPr>
        <w:pStyle w:val="RevisionJuristischerAbsatzmanuell"/>
        <w:tabs>
          <w:tab w:val="clear" w:pos="850"/>
          <w:tab w:val="left" w:pos="1700"/>
        </w:tabs>
        <w:ind w:left="850"/>
      </w:pPr>
      <w:r>
        <w:t xml:space="preserve">Do długu, który poprzedza...</w:t>
      </w:r>
      <w:r>
        <w:t xml:space="preserve"> </w:t>
      </w:r>
      <w:r>
        <w:t xml:space="preserve">[ustawienie:</w:t>
      </w:r>
      <w:r>
        <w:t xml:space="preserve"> </w:t>
      </w:r>
      <w:r>
        <w:t xml:space="preserve">Dzień wejścia w życie zgodnie z sentencją art. 5 ust. 3 niniejszej ustawy] stosuje się do przepisów Kodeksu cywilnego wraz ze zmianami wprowadzonymi przed upływem tej daty”.</w:t>
      </w:r>
    </w:p>
    <w:p w14:paraId="28F84168" w14:textId="767BCDD5" w:rsidR="0062256C" w:rsidRPr="008657B1" w:rsidRDefault="00D663F5" w:rsidP="009D590D">
      <w:pPr>
        <w:pStyle w:val="RevisionNummerierungStufe1"/>
        <w:tabs>
          <w:tab w:val="clear" w:pos="425"/>
          <w:tab w:val="num" w:pos="850"/>
        </w:tabs>
        <w:ind w:left="850"/>
      </w:pPr>
      <w:r>
        <w:t xml:space="preserve">W art. 246e ust. 1 pkt 2 numer 10 wyrazy „§ 312k” zastępuje się wyrazami „§ 312 l”.</w:t>
      </w:r>
    </w:p>
    <w:p w14:paraId="7A235F18" w14:textId="116CF696" w:rsidR="008E21D5" w:rsidRDefault="007B6582" w:rsidP="004F1B81">
      <w:pPr>
        <w:pStyle w:val="EmpfehlungNummerierungStufe1"/>
      </w:pPr>
      <w:r>
        <w:t xml:space="preserve">Po art. 5 zdanie 1 dodaje się zdanie w brzmieniu:</w:t>
      </w:r>
    </w:p>
    <w:p w14:paraId="0316D114" w14:textId="7AD83BCB" w:rsidR="008E21D5" w:rsidRDefault="0052608D" w:rsidP="009D590D">
      <w:pPr>
        <w:pStyle w:val="RevisionJuristischerAbsatzFolgeabsatz"/>
        <w:ind w:left="425"/>
      </w:pPr>
      <w:r>
        <w:t xml:space="preserve">„Artykuły 1 ust. 4–6 i art. 2 ust. 2 wchodzą w życie z dniem 1 lipca 2022 roku”.</w:t>
      </w:r>
    </w:p>
    <w:p w14:paraId="41B3EABB" w14:textId="77777777" w:rsidR="00826E52" w:rsidRDefault="00826E52" w:rsidP="00826E52">
      <w:pPr>
        <w:sectPr w:rsidR="00826E52" w:rsidSect="00012A1D">
          <w:type w:val="continuous"/>
          <w:pgSz w:w="11907" w:h="16839"/>
          <w:pgMar w:top="1134" w:right="3883" w:bottom="1417" w:left="1219" w:header="709" w:footer="709" w:gutter="0"/>
          <w:cols w:space="708"/>
          <w:docGrid w:linePitch="360"/>
        </w:sectPr>
      </w:pPr>
    </w:p>
    <w:p w14:paraId="48D972B1" w14:textId="3F1C74A6" w:rsidR="002720FF" w:rsidRDefault="002720FF" w:rsidP="00FF6FE5">
      <w:pPr>
        <w:pStyle w:val="BegrndungTitel"/>
      </w:pPr>
      <w:r>
        <w:t xml:space="preserve">Nota wyjaśniająca</w:t>
      </w:r>
    </w:p>
    <w:p w14:paraId="6FB976A8" w14:textId="1D90AF45" w:rsidR="00B56435" w:rsidRDefault="00B56435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Dot. (1)</w:t>
      </w:r>
    </w:p>
    <w:p w14:paraId="52A0ADE0" w14:textId="23FAA1FA" w:rsidR="00B358A3" w:rsidRPr="009B1298" w:rsidRDefault="00B358A3" w:rsidP="009B1298">
      <w:pPr>
        <w:pStyle w:val="Text"/>
        <w:rPr>
          <w:sz w:val="22"/>
        </w:rPr>
      </w:pPr>
      <w:r>
        <w:rPr>
          <w:sz w:val="22"/>
        </w:rPr>
        <w:t xml:space="preserve">Uzupełnienie jest konieczne, ponieważ przepis przewidziany w numerze 2 lit. a) (art. 1 ust. 5) podlega zgłoszeniu </w:t>
      </w:r>
      <w:r>
        <w:t xml:space="preserve">na mocy Dyrektywy Parlamentu Europejskiego i Rady (UE) 2015/1535 z dnia 9 września 2015 r. ustanawiającej procedurę udzielania informacji w dziedzinie przepisów technicznych oraz zasad dotyczących usług społeczeństwa informacyjnego.</w:t>
      </w:r>
    </w:p>
    <w:p w14:paraId="53DCFDC3" w14:textId="7A9DE1EC" w:rsidR="00B358A3" w:rsidRDefault="00B358A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Dot. (2)</w:t>
      </w:r>
    </w:p>
    <w:p w14:paraId="1CDBD418" w14:textId="66377B48" w:rsidR="00395EE9" w:rsidRPr="00DA2D64" w:rsidRDefault="000F009A" w:rsidP="00DA2D64">
      <w:pPr>
        <w:pStyle w:val="Text"/>
        <w:rPr>
          <w:sz w:val="22"/>
        </w:rPr>
      </w:pPr>
      <w:r>
        <w:rPr>
          <w:sz w:val="22"/>
        </w:rPr>
        <w:t xml:space="preserve">Numer 2 zawiera zmiany do art. 1 projektu ustawy, który przewiduje zmiany w Kodeksie cywilnym (BGB).</w:t>
      </w:r>
    </w:p>
    <w:p w14:paraId="5911C2A5" w14:textId="19E46F24" w:rsidR="00910B03" w:rsidRDefault="00910B0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Dot. (a)</w:t>
      </w:r>
    </w:p>
    <w:p w14:paraId="3BCE5677" w14:textId="7A163C5E" w:rsidR="000F009A" w:rsidRPr="00DA2D64" w:rsidRDefault="000F009A" w:rsidP="00DA2D64">
      <w:pPr>
        <w:pStyle w:val="Text"/>
        <w:rPr>
          <w:sz w:val="22"/>
        </w:rPr>
      </w:pPr>
      <w:r>
        <w:rPr>
          <w:sz w:val="22"/>
        </w:rPr>
        <w:t xml:space="preserve">Litera a) zawiera zmiany w BGB niezbędne w związku z wprowadzeniem § 312k BGB do projektu.</w:t>
      </w:r>
    </w:p>
    <w:p w14:paraId="7BAADA35" w14:textId="3DFF40F6" w:rsidR="009F2923" w:rsidRDefault="009F292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Dot. art. 1 pkt 4</w:t>
      </w:r>
    </w:p>
    <w:p w14:paraId="196525AF" w14:textId="07A1B367" w:rsidR="00910B03" w:rsidRDefault="00910B03" w:rsidP="0052608D">
      <w:pPr>
        <w:pStyle w:val="Text"/>
        <w:rPr>
          <w:sz w:val="22"/>
        </w:rPr>
      </w:pPr>
      <w:r>
        <w:rPr>
          <w:sz w:val="22"/>
        </w:rPr>
        <w:t xml:space="preserve">Jest to następcza zmiana uwarunkowana wprowadzeniem do projektu nowego § 312k BGB.</w:t>
      </w:r>
      <w:r>
        <w:rPr>
          <w:sz w:val="22"/>
        </w:rPr>
        <w:t xml:space="preserve"> </w:t>
      </w:r>
      <w:r>
        <w:rPr>
          <w:sz w:val="22"/>
        </w:rPr>
        <w:t xml:space="preserve">Oczekuje się, że § 312k niemieckiego kodeksu cywilnego zostanie wdrożony z wcześniejszą datą wejścia w życie przez projekt ustawy zmieniającej Kodeks cywilny i ustawę wprowadzającą Kodeks cywilny w celu wdrożenia Dyrektywy UE w sprawie lepszego egzekwowania i modernizacji prawodawstwa Unii w zakresie ochrony konsumentów oraz uchylającej zarządzenie w sprawie przekazania Federalnemu Ministerstwu Sprawiedliwości i Ochrony Konsumentów odpowiedzialności za wykonanie rozporządzenia (WE) nr 2006/2004 (druk Rady Federalnej nr 61/21, dalej jako:</w:t>
      </w:r>
      <w:r>
        <w:rPr>
          <w:sz w:val="22"/>
        </w:rPr>
        <w:t xml:space="preserve"> </w:t>
      </w:r>
      <w:r>
        <w:rPr>
          <w:sz w:val="22"/>
        </w:rPr>
        <w:t xml:space="preserve">Projekt ustawy o wdrażaniu dyrektywy modernizacyjnej).</w:t>
      </w:r>
    </w:p>
    <w:p w14:paraId="58637A12" w14:textId="3F86D1C5" w:rsidR="00910B03" w:rsidRDefault="00910B03" w:rsidP="00910B03">
      <w:pPr>
        <w:pStyle w:val="Text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Dot. art. 1 pkt 5</w:t>
      </w:r>
    </w:p>
    <w:p w14:paraId="29FC6254" w14:textId="01CF6BCB" w:rsidR="000F009A" w:rsidRDefault="000F009A" w:rsidP="00FF6FE5">
      <w:pPr>
        <w:pStyle w:val="Text"/>
        <w:rPr>
          <w:sz w:val="22"/>
        </w:rPr>
      </w:pPr>
      <w:r>
        <w:rPr>
          <w:sz w:val="22"/>
        </w:rPr>
        <w:t xml:space="preserve">Artykuł 1 ust. 5 wprowadza do niemieckiego Kodeksu cywilnego nowy § 312k BGB.</w:t>
      </w:r>
    </w:p>
    <w:p w14:paraId="7B4EFA06" w14:textId="328EC3DA" w:rsidR="00910D9D" w:rsidRDefault="00F24FDD" w:rsidP="00FF6FE5">
      <w:pPr>
        <w:pStyle w:val="Text"/>
        <w:rPr>
          <w:sz w:val="22"/>
        </w:rPr>
      </w:pPr>
      <w:r>
        <w:rPr>
          <w:sz w:val="22"/>
        </w:rPr>
        <w:t xml:space="preserve">Rozwiązywanie umów zawartych w handlu elektronicznym często stanowi szczególne wyzwanie dla konsumentów.</w:t>
      </w:r>
      <w:r>
        <w:rPr>
          <w:sz w:val="22"/>
        </w:rPr>
        <w:t xml:space="preserve"> </w:t>
      </w:r>
      <w:r>
        <w:rPr>
          <w:sz w:val="22"/>
        </w:rPr>
        <w:t xml:space="preserve">W porównaniu z prostym zawarciem danej umowy, jej rozwiązanie częściowo nie jest możliwe bezpośrednio przez stronę internetową lub jest często utrudnione przez strukturę strony internetowej.</w:t>
      </w:r>
    </w:p>
    <w:p w14:paraId="1FDAB131" w14:textId="77777777" w:rsidR="00910D9D" w:rsidRDefault="00993AD2" w:rsidP="00FF6FE5">
      <w:pPr>
        <w:pStyle w:val="Text"/>
        <w:rPr>
          <w:sz w:val="22"/>
        </w:rPr>
      </w:pPr>
      <w:r>
        <w:rPr>
          <w:sz w:val="22"/>
        </w:rPr>
        <w:t xml:space="preserve">Zobowiązania przedsiębiorstwa zaproponowane w § 312k BGB w tekście projektu mają na celu umożliwienie konsumentom składanie oświadczeń o rozwiązaniu umowy w handlu elektronicznym w porównywalnie prosty sposób, z uwzględnieniem specyfiki oświadczeń o rozwiązaniu umowy, w sposób porównywalny z oświadczeniami o zawarciu odpowiednich umów.</w:t>
      </w:r>
    </w:p>
    <w:p w14:paraId="23CC65C4" w14:textId="1A6BC79E" w:rsidR="009019C7" w:rsidRDefault="00C50448" w:rsidP="00FF6FE5">
      <w:pPr>
        <w:pStyle w:val="Text"/>
        <w:rPr>
          <w:sz w:val="22"/>
        </w:rPr>
      </w:pPr>
      <w:r>
        <w:rPr>
          <w:sz w:val="22"/>
        </w:rPr>
        <w:t xml:space="preserve">§ 312k ust. 1 niemieckiego kodeksu cywilnego (BGB) w tekście projektu określa zakres obowiązywania tego przepisu.</w:t>
      </w:r>
      <w:r>
        <w:rPr>
          <w:sz w:val="22"/>
        </w:rPr>
        <w:t xml:space="preserve"> </w:t>
      </w:r>
      <w:r>
        <w:rPr>
          <w:sz w:val="22"/>
        </w:rPr>
        <w:t xml:space="preserve">§ 312k ust. 2 niemieckiego Kodeksu cywilnego (BGB) w tekście projektu zakłada zobowiązanie przedsiębiorstwa do udostępnienia przycisku rozwiązania umowy i zawiera dalsze ustalenia dotyczące struktury środków technicznych udostępnionych przez przedsiębiorstwo na potrzeby złożenia zawiadomienia o wypowiedzeniu.</w:t>
      </w:r>
      <w:r>
        <w:rPr>
          <w:sz w:val="22"/>
        </w:rPr>
        <w:t xml:space="preserve"> </w:t>
      </w:r>
      <w:r>
        <w:rPr>
          <w:sz w:val="22"/>
        </w:rPr>
        <w:t xml:space="preserve">§ 312k ust. 3 niemieckiego Kodeksu cywilnego (BGB) w projekcie regulacji reguluje możliwość przechowywania przez konsumenta złożonego przez niego oświadczenia o rozwiązaniu umowy.</w:t>
      </w:r>
      <w:r>
        <w:rPr>
          <w:sz w:val="22"/>
        </w:rPr>
        <w:t xml:space="preserve"> </w:t>
      </w:r>
      <w:r>
        <w:rPr>
          <w:sz w:val="22"/>
        </w:rPr>
        <w:t xml:space="preserve">§ 312k ust. 4 niemieckiego Kodeksu cywilnego (BGB) w tekście projektu przewiduje zobowiązanie przedsiębiorstwa do potwierdzenia otrzymania wypowiedzenia umowy, jak również domniemanie dostępu do wypowiedzenia.</w:t>
      </w:r>
      <w:r>
        <w:rPr>
          <w:sz w:val="22"/>
        </w:rPr>
        <w:t xml:space="preserve"> </w:t>
      </w:r>
      <w:r>
        <w:rPr>
          <w:sz w:val="22"/>
        </w:rPr>
        <w:t xml:space="preserve">§ 312k ust. 5</w:t>
      </w:r>
      <w:r>
        <w:rPr>
          <w:sz w:val="22"/>
          <w:b/>
        </w:rPr>
        <w:t xml:space="preserve"> </w:t>
      </w:r>
      <w:r>
        <w:rPr>
          <w:sz w:val="22"/>
        </w:rPr>
        <w:t xml:space="preserve">BGB w tekście projektu zawiera wątpliwość co do terminu rozwiązania umowy.</w:t>
      </w:r>
      <w:r>
        <w:rPr>
          <w:sz w:val="22"/>
        </w:rPr>
        <w:t xml:space="preserve"> </w:t>
      </w:r>
      <w:r>
        <w:rPr>
          <w:sz w:val="22"/>
        </w:rPr>
        <w:t xml:space="preserve">§ 312k ust. 6 BGB w wersji projektowanej stanowi, że jeżeli przedsiębiorstwo nie wywiązuje się z zobowiązań określonych w § 312k ust. 1 i 2 BGB w wersji projektowanej, wówczas umowa może zostać rozwiązana w dowolnym momencie i bez zachowania okresu wypowiedzenia.</w:t>
      </w:r>
    </w:p>
    <w:p w14:paraId="7368D62F" w14:textId="77777777" w:rsidR="00EA1D8C" w:rsidRPr="00623468" w:rsidRDefault="00EA1D8C" w:rsidP="00FC63C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Dot. § 312k ust. 1 BGB-E:</w:t>
      </w:r>
    </w:p>
    <w:p w14:paraId="17EDBBF1" w14:textId="7D78ECB9" w:rsidR="007E1EA0" w:rsidRPr="00FF6FE5" w:rsidRDefault="007E1EA0" w:rsidP="00FF6FE5">
      <w:pPr>
        <w:pStyle w:val="Text"/>
        <w:rPr>
          <w:sz w:val="22"/>
        </w:rPr>
      </w:pPr>
      <w:r>
        <w:rPr>
          <w:sz w:val="22"/>
        </w:rPr>
        <w:t xml:space="preserve">§ 312k ust. 1 BGB w wersji projektowanej zawiera wymogi dotyczące zobowiązań przedsiębiorstwa wynikających z § 312k BGB w wersji projektowanej, jak również szereg wyjątków.</w:t>
      </w:r>
    </w:p>
    <w:p w14:paraId="79AB8D0A" w14:textId="6D12DF24" w:rsidR="005E1C0F" w:rsidRDefault="00297295" w:rsidP="005E1C0F">
      <w:pPr>
        <w:pStyle w:val="Text"/>
        <w:rPr>
          <w:sz w:val="22"/>
        </w:rPr>
      </w:pPr>
      <w:r>
        <w:rPr>
          <w:sz w:val="22"/>
        </w:rPr>
        <w:t xml:space="preserve">Obowiązek wynikający z § 312k ust. 1 niemieckiego Kodeksu cywilnego (BGB) w wersji projektowanej dotyczy przedsiębiorstwa w każdym przypadku, gdy konsument ma możliwość zawarcia umów określonych w § 312k ust. 1 zdanie 1 niemieckiego Kodeksu cywilnego (BGB) w wersji projektowanej.</w:t>
      </w:r>
    </w:p>
    <w:p w14:paraId="14C929D8" w14:textId="579E8842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§ 312k ust. 1 zdanie 1 BGB w wersji projektowanej używa sformułowania „umowa w handlu elektronicznym”, które jest prawnie zdefiniowane w § 312i ust. 1 zdanie 1 niemieckiego Kodeksu cywilnego.</w:t>
      </w:r>
    </w:p>
    <w:p w14:paraId="2230FA64" w14:textId="64CB3F4D" w:rsidR="004025EB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Zawarcie tych umów musi być umożliwione w wersji projektowanej za pośrednictwem „strony internetowej” zgodnie z § 312k ust. 1 zdanie 1 BGB.</w:t>
      </w:r>
      <w:r>
        <w:rPr>
          <w:sz w:val="22"/>
        </w:rPr>
        <w:t xml:space="preserve"> </w:t>
      </w:r>
      <w:r>
        <w:rPr>
          <w:sz w:val="22"/>
        </w:rPr>
        <w:t xml:space="preserve">W celu interpretacji terminu „strona internetowa” można posłużyć się orzecznictwem dotyczącym tego samego pojęcia z § 312j ust. 1 niemieckiego Kodeksu cywilnego.</w:t>
      </w:r>
    </w:p>
    <w:p w14:paraId="6AA292BC" w14:textId="470333E1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Aby uzasadnić zobowiązanie przedsiębiorstwa wynikające z § 312k BGB w wersji projektowanej, nie ma znaczenia, czy zawarcie umowy za pośrednictwem strony internetowej jest realizowane przez same przedsiębiorstwo, czy też – na przykład w przypadku platform pośredniczących – poprzez stronę internetową prowadzoną przez osobę trzecią.</w:t>
      </w:r>
      <w:r>
        <w:rPr>
          <w:sz w:val="22"/>
        </w:rPr>
        <w:t xml:space="preserve"> </w:t>
      </w:r>
      <w:r>
        <w:rPr>
          <w:sz w:val="22"/>
        </w:rPr>
        <w:t xml:space="preserve">W obu przypadkach przedsiębiorstwo musi zapewnić konsumentowi możliwość złożenia wypowiedzenia zgodnie z wymogami § 312k BGB w projekcie.</w:t>
      </w:r>
      <w:r>
        <w:rPr>
          <w:sz w:val="22"/>
        </w:rPr>
        <w:t xml:space="preserve"> </w:t>
      </w:r>
      <w:r>
        <w:rPr>
          <w:sz w:val="22"/>
        </w:rPr>
        <w:t xml:space="preserve">Jeżeli możliwe jest zawarcie umowy na stronie internetowej, która nie jest prowadzona przez przedsiębiorstwo, wówczas przedsiębiorstwo musi związać umową osobę trzecią jako operatora jego strony internetowej.</w:t>
      </w:r>
    </w:p>
    <w:p w14:paraId="16B2E46F" w14:textId="04A80DFB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Zobowiązanie przedsiębiorstwa wynikające z § 312k ust. 1, zdanie 1 BGB w wersji projektowanej ogranicza się do umów między przedsiębiorstwami a konsumentami o ustanowienie stałych stosunków zobowiązaniowych, które zobowiązują przedsiębiorstwo do świadczenia wynagrodzenia.</w:t>
      </w:r>
      <w:r>
        <w:rPr>
          <w:sz w:val="22"/>
        </w:rPr>
        <w:t xml:space="preserve"> </w:t>
      </w:r>
      <w:r>
        <w:rPr>
          <w:sz w:val="22"/>
        </w:rPr>
        <w:t xml:space="preserve">Ograniczenie do stałego zadłużenia jest dokonywane z uwagi na ochronę konsumentów, ponieważ mają oni szczególną potrzebę łatwego sposobu rozwiązania umowy.</w:t>
      </w:r>
      <w:r>
        <w:rPr>
          <w:sz w:val="22"/>
        </w:rPr>
        <w:t xml:space="preserve"> </w:t>
      </w:r>
      <w:r>
        <w:rPr>
          <w:sz w:val="22"/>
        </w:rPr>
        <w:t xml:space="preserve">Długoterminowe stosunki zobowiązaniowe mogą często okazać się „pułapkami kosztowymi” ze względu na długoterminowe zaangażowanie wobec konsumentów.</w:t>
      </w:r>
      <w:r>
        <w:rPr>
          <w:sz w:val="22"/>
        </w:rPr>
        <w:t xml:space="preserve"> </w:t>
      </w:r>
      <w:r>
        <w:rPr>
          <w:sz w:val="22"/>
        </w:rPr>
        <w:t xml:space="preserve">Z drugiej strony, rozwiązanie innych zobowiązań jako stałego zadłużenia może w niektórych przypadkach mieć konsekwencje prawne dla konsumenta, które z punktu widzenia konsumenta wydają się nieoczekiwane (np. dalsze zobowiązanie do zapłaty kupującemu w przypadku prawa do rozwiązania umowy zgodnie z § 648 BGB).</w:t>
      </w:r>
      <w:r>
        <w:rPr>
          <w:sz w:val="22"/>
        </w:rPr>
        <w:t xml:space="preserve"> </w:t>
      </w:r>
      <w:r>
        <w:rPr>
          <w:sz w:val="22"/>
        </w:rPr>
        <w:t xml:space="preserve">W szczególności te konsekwencje prawne znacznie utrudniłyby w ramach projektu standardowe wypełnianie obowiązku informacyjnego przedsiębiorstwa zgodnie z § 312k ust. 2 zdanie 3 pkt 20 niemieckiego Kodeksu cywilnego.</w:t>
      </w:r>
      <w:r>
        <w:rPr>
          <w:sz w:val="22"/>
        </w:rPr>
        <w:t xml:space="preserve"> </w:t>
      </w:r>
      <w:r>
        <w:rPr>
          <w:sz w:val="22"/>
        </w:rPr>
        <w:t xml:space="preserve">W związku z tym umowy inne niż odnoszące się do stałego zadłużenia ze względu na szczególne konsekwencje rozwiązania umowy w indywidualnych przypadkach nie powinny być objęte § 312k BGB w wersji projektowanej.</w:t>
      </w:r>
    </w:p>
    <w:p w14:paraId="7CBE89AF" w14:textId="39C4CA64" w:rsidR="00021CCF" w:rsidRDefault="00AA0FD6" w:rsidP="00FF6FE5">
      <w:pPr>
        <w:pStyle w:val="Text"/>
        <w:rPr>
          <w:sz w:val="22"/>
        </w:rPr>
      </w:pPr>
      <w:r>
        <w:rPr>
          <w:sz w:val="22"/>
        </w:rPr>
        <w:t xml:space="preserve">Zgodnie z § 312k ust. 1 zdanie 2 pkt 1 niemieckiego Kodeksu cywilnego (BGB) w wersji projektowanej, § 312k BGB nie ma zastosowania w wersji projektowanej, jeżeli wypowiedzenie danej umowy na podstawie wymogów formalnoprawnych ma być złożone wyłącznie w bardziej rygorystycznej formie niż formularz tekstowy.</w:t>
      </w:r>
      <w:r>
        <w:rPr>
          <w:sz w:val="22"/>
        </w:rPr>
        <w:t xml:space="preserve"> </w:t>
      </w:r>
      <w:r>
        <w:rPr>
          <w:sz w:val="22"/>
        </w:rPr>
        <w:t xml:space="preserve">Obejmuje to zatem również formalny wymóg formy elektronicznej, bardziej rygorystycznej niż formularz tekstowy, zgodnie z § 126a niemieckiego Kodeksu cywilnego, lub formy pisemnej.</w:t>
      </w:r>
      <w:r>
        <w:rPr>
          <w:sz w:val="22"/>
        </w:rPr>
        <w:t xml:space="preserve"> </w:t>
      </w:r>
      <w:r>
        <w:rPr>
          <w:sz w:val="22"/>
        </w:rPr>
        <w:t xml:space="preserve">Wyklucza to ponadto oświadczenia o rozwiązaniu umowy wydawane w formie poświadczonej notarialnie.</w:t>
      </w:r>
    </w:p>
    <w:p w14:paraId="5AC9F0DA" w14:textId="10D6BCB1" w:rsidR="00FF6FE5" w:rsidRDefault="00FF6FE5" w:rsidP="00FF6FE5">
      <w:pPr>
        <w:pStyle w:val="Text"/>
        <w:rPr>
          <w:sz w:val="22"/>
        </w:rPr>
      </w:pPr>
      <w:r>
        <w:rPr>
          <w:sz w:val="22"/>
        </w:rPr>
        <w:t xml:space="preserve">§ 312k BGB w tekście projektu ma na celu rozszerzenie możliwości rozwiązania umowy przez konsumenta, ale nie ograniczenie lub wykluczenie składania zawiadomień o rozwiązaniu umowy w inny sposób.</w:t>
      </w:r>
      <w:r>
        <w:rPr>
          <w:sz w:val="22"/>
        </w:rPr>
        <w:t xml:space="preserve"> </w:t>
      </w:r>
      <w:r>
        <w:rPr>
          <w:sz w:val="22"/>
        </w:rPr>
        <w:t xml:space="preserve">W szczególności umowa za pomocą wstępnie sformułowanych warunków umownych pozostaje nieskuteczna zgodnie z § 309 pkt 13 lit. c) niemieckiego Kodeksu cywilnego (BGB) wyłącznie za pomocą przycisku, który zostanie udostępniony w ramach projektu zgodnie z § 312k BGB.</w:t>
      </w:r>
    </w:p>
    <w:p w14:paraId="31DAAE9B" w14:textId="75A60568" w:rsidR="00D663F5" w:rsidRDefault="0020302D" w:rsidP="00FF6FE5">
      <w:pPr>
        <w:pStyle w:val="Text"/>
        <w:rPr>
          <w:sz w:val="22"/>
        </w:rPr>
      </w:pPr>
      <w:r>
        <w:rPr>
          <w:sz w:val="22"/>
        </w:rPr>
        <w:t xml:space="preserve">§ 312k ust. 1 zdanie 2 pkt 2 BGB w projekcie przewiduje, że przedsiębiorstwa są zwolnione z obowiązków określonych w § 312k BGB w wersji projektowanej, jeżeli strona internetowa dotyczy usług finansowych lub przedmiotowe umowy są umowami na usługi finansowe.</w:t>
      </w:r>
      <w:r>
        <w:rPr>
          <w:sz w:val="22"/>
        </w:rPr>
        <w:t xml:space="preserve"> </w:t>
      </w:r>
      <w:r>
        <w:rPr>
          <w:sz w:val="22"/>
        </w:rPr>
        <w:t xml:space="preserve">Wzorem tego przepisu jest § 312j ust. 5 zdanie 2 BGB; termin „usługi finansowe” jest prawnie zdefiniowany w § 312 ust. 5 zdanie 1 BGB.</w:t>
      </w:r>
    </w:p>
    <w:p w14:paraId="1029C765" w14:textId="77777777" w:rsidR="00157A5E" w:rsidRPr="00623468" w:rsidRDefault="00157A5E" w:rsidP="00157A5E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Dot. § 312k ust. 2 BGB-E:</w:t>
      </w:r>
    </w:p>
    <w:p w14:paraId="2DD32C42" w14:textId="0A95DE40" w:rsidR="006F0DAE" w:rsidRDefault="006F0DAE" w:rsidP="006F0DAE">
      <w:pPr>
        <w:pStyle w:val="Text"/>
        <w:rPr>
          <w:sz w:val="22"/>
        </w:rPr>
      </w:pPr>
      <w:r>
        <w:rPr>
          <w:sz w:val="22"/>
        </w:rPr>
        <w:t xml:space="preserve">§ 312k ust. 2 niemieckiego Kodeksu cywilnego (BGB) w projekcie określa obowiązek przedsiębiorstwa i przewiduje dwuetapową procedurę składania wypowiedzenia.</w:t>
      </w:r>
    </w:p>
    <w:p w14:paraId="180E6231" w14:textId="20BA4C93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§ 312k ust. 2 zdanie 1 niemieckiego Kodeksu cywilnego (BGB) w wersji projektowanej ogranicza obowiązek przedsiębiorstwa w projekcie do zwykłych i nadzwyczajnych wypowiedzeń zgodnie z § 312k BGB.</w:t>
      </w:r>
      <w:r>
        <w:rPr>
          <w:sz w:val="22"/>
        </w:rPr>
        <w:t xml:space="preserve"> </w:t>
      </w:r>
      <w:r>
        <w:rPr>
          <w:sz w:val="22"/>
        </w:rPr>
        <w:t xml:space="preserve">Niniejszy przepis nie obejmuje zawiadomień gwarancyjnych i innych praw do rozwiązania stałych stosunków zadłużeniowych (w tym odstąpienia od umowy i rozwiązania umowy z powodu niedostarczenia, wady lub niekorzystnej modyfikacji produktów cyfrowych zgodnie z projektem ustawy wykonawczej do dyrektywy w sprawie niektórych umownych aspektów świadczenia treści cyfrowych i usług cyfrowych – druk Rady Federalnej 60/21).</w:t>
      </w:r>
    </w:p>
    <w:p w14:paraId="7AD9A1FA" w14:textId="77777777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Rozwiązanie umów ustanawiających prawa nie jest objęte zakresem zastosowania, ponieważ nie są one zawierane w handlu elektronicznym.</w:t>
      </w:r>
      <w:r>
        <w:rPr>
          <w:sz w:val="22"/>
        </w:rPr>
        <w:t xml:space="preserve"> </w:t>
      </w:r>
      <w:r>
        <w:rPr>
          <w:sz w:val="22"/>
        </w:rPr>
        <w:t xml:space="preserve">Chociaż kredyty hipoteczne lub usługi mogą zostać formalnie rozwiązane, nie stanowią one umów handlu elektronicznego między przedsiębiorstwami a konsumentami.</w:t>
      </w:r>
    </w:p>
    <w:p w14:paraId="0A27EC29" w14:textId="7090A24C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Dla uzasadnienia obowiązku przedsiębiorstwa nie ma znaczenia, czy umowa, która ma zostać ogłoszona, została zawarta również w handlu elektronicznym.</w:t>
      </w:r>
      <w:r>
        <w:rPr>
          <w:sz w:val="22"/>
        </w:rPr>
        <w:t xml:space="preserve"> </w:t>
      </w:r>
      <w:r>
        <w:rPr>
          <w:sz w:val="22"/>
        </w:rPr>
        <w:t xml:space="preserve">Jest natomiast kluczowe, czy przedsiębiorstwo umożliwia handel elektroniczny w momencie rozwiązania umowy.</w:t>
      </w:r>
    </w:p>
    <w:p w14:paraId="327BEF9A" w14:textId="482C4A2C" w:rsidR="006257ED" w:rsidRDefault="006257ED" w:rsidP="006F0DAE">
      <w:pPr>
        <w:pStyle w:val="Text"/>
        <w:rPr>
          <w:sz w:val="22"/>
        </w:rPr>
      </w:pPr>
      <w:r>
        <w:rPr>
          <w:sz w:val="22"/>
        </w:rPr>
        <w:t xml:space="preserve">Zobowiązanie przedsiębiorstwa jest niezależne od zakresu, w jakim konsument jest faktycznie uprawniony do rozwiązania umowy w indywidualnych przypadkach.</w:t>
      </w:r>
      <w:r>
        <w:rPr>
          <w:sz w:val="22"/>
        </w:rPr>
        <w:t xml:space="preserve"> </w:t>
      </w:r>
      <w:r>
        <w:rPr>
          <w:sz w:val="22"/>
        </w:rPr>
        <w:t xml:space="preserve">Przycisk ma jedynie na celu udostępnienie innej możliwości oświadczenia o rozwiązaniu umowy przez konsumenta.</w:t>
      </w:r>
      <w:r>
        <w:rPr>
          <w:sz w:val="22"/>
        </w:rPr>
        <w:t xml:space="preserve"> </w:t>
      </w:r>
      <w:r>
        <w:rPr>
          <w:sz w:val="22"/>
        </w:rPr>
        <w:t xml:space="preserve">Materialne upoważnienie konsumenta do wypowiedzenia umowy nie jest warunkiem dla zastosowania przycisku zgodnie z § 312k BGB w tekście projektu.</w:t>
      </w:r>
    </w:p>
    <w:p w14:paraId="1955AD28" w14:textId="3F43B095" w:rsidR="006F0DAE" w:rsidRDefault="006F0DAE" w:rsidP="006F0DAE">
      <w:pPr>
        <w:pStyle w:val="Text"/>
        <w:rPr>
          <w:sz w:val="22"/>
        </w:rPr>
      </w:pPr>
      <w:r>
        <w:rPr>
          <w:sz w:val="22"/>
        </w:rPr>
        <w:t xml:space="preserve">Zgodnie z § 312k ust. 2 zdanie 2 niemieckiego Kodeksu cywilnego (BGB) w wersji projektowanej przedsiębiorstwo musi najpierw udostępnić przycisk z tekstem brzmiącym „tutaj anuluj umowę”, który przeniesie konsumenta do innej strony zwanej „stroną potwierdzenia”.</w:t>
      </w:r>
      <w:r>
        <w:rPr>
          <w:sz w:val="22"/>
        </w:rPr>
        <w:t xml:space="preserve"> </w:t>
      </w:r>
      <w:r>
        <w:rPr>
          <w:sz w:val="22"/>
        </w:rPr>
        <w:t xml:space="preserve">Sformułowania inne niż „anulowanie umów” są dozwolone tylko wtedy, gdy są równie klarowne i jednoznaczne.</w:t>
      </w:r>
      <w:r>
        <w:rPr>
          <w:sz w:val="22"/>
        </w:rPr>
        <w:t xml:space="preserve"> </w:t>
      </w:r>
      <w:r>
        <w:rPr>
          <w:sz w:val="22"/>
        </w:rPr>
        <w:t xml:space="preserve">Należy zauważyć, że w razie potrzeby należy również doprecyzować za pomocą innego sformułowania, że przycisk jedynie inicjuje proces rozwiązania umowy, a jego naciśnięcie nie powoduje automatycznie złożenia oświadczenia o wypowiedzeniu.</w:t>
      </w:r>
      <w:r>
        <w:rPr>
          <w:sz w:val="22"/>
        </w:rPr>
        <w:t xml:space="preserve"> </w:t>
      </w:r>
      <w:r>
        <w:rPr>
          <w:sz w:val="22"/>
        </w:rPr>
        <w:t xml:space="preserve">W każdym razie sformułowanie ma na celu wyjaśnienie konsumentom, że po naciśnięciu przycisku mogą oni podać dalsze informacje, zanim oświadczenie o rozwiązaniu umowy zostanie formalnie złożone.</w:t>
      </w:r>
    </w:p>
    <w:p w14:paraId="33C9D851" w14:textId="2B1CF4CC" w:rsidR="00035D26" w:rsidRDefault="00AF7B14" w:rsidP="006F0DAE">
      <w:pPr>
        <w:pStyle w:val="Text"/>
        <w:rPr>
          <w:sz w:val="22"/>
        </w:rPr>
      </w:pPr>
      <w:r>
        <w:rPr>
          <w:sz w:val="22"/>
        </w:rPr>
        <w:t xml:space="preserve">Aby umowa została rozwiązana w drodze zawiadomienia o wypowiedzeniu, musi być ona zaprojektowana w taki sposób, aby odbiorca mógł rozpoznać, kto składa wypowiedzenie i jaka umowa ma zostać rozwiązana.</w:t>
      </w:r>
      <w:r>
        <w:rPr>
          <w:sz w:val="22"/>
        </w:rPr>
        <w:t xml:space="preserve"> </w:t>
      </w:r>
      <w:r>
        <w:rPr>
          <w:sz w:val="22"/>
        </w:rPr>
        <w:t xml:space="preserve">Strona potwierdzenia musi zatem wymagać od konsumenta wprowadzenia niezbędnych informacji zgodnie z projektowanym § 312k ust. 2 zdanie 3 pkt 1 lit. a)–e) BGB, i umożliwić mu to.</w:t>
      </w:r>
      <w:r>
        <w:rPr>
          <w:sz w:val="22"/>
        </w:rPr>
        <w:t xml:space="preserve"> </w:t>
      </w:r>
      <w:r>
        <w:rPr>
          <w:sz w:val="22"/>
        </w:rPr>
        <w:t xml:space="preserve">W tym celu konsument powinien być w stanie najpierw wskazać charakter wypowiedzenia umowy, a w przypadku nadzwyczajnego wypowiedzenia umowy – przyczynę wypowiedzenia (litera a).</w:t>
      </w:r>
      <w:r>
        <w:rPr>
          <w:sz w:val="22"/>
        </w:rPr>
        <w:t xml:space="preserve"> </w:t>
      </w:r>
      <w:r>
        <w:rPr>
          <w:sz w:val="22"/>
        </w:rPr>
        <w:t xml:space="preserve">Ponadto konsument musi być w stanie dostarczyć informacje niezbędne do jego identyfikacji (litera b) oraz do jednoznacznego opisu umowy (litera c).</w:t>
      </w:r>
      <w:r>
        <w:rPr>
          <w:sz w:val="22"/>
        </w:rPr>
        <w:t xml:space="preserve"> </w:t>
      </w:r>
      <w:r>
        <w:rPr>
          <w:sz w:val="22"/>
        </w:rPr>
        <w:t xml:space="preserve">Zazwyczaj do identyfikacji mogą być konieczne imię i nazwisko oraz adres.</w:t>
      </w:r>
      <w:r>
        <w:rPr>
          <w:sz w:val="22"/>
        </w:rPr>
        <w:t xml:space="preserve"> </w:t>
      </w:r>
      <w:r>
        <w:rPr>
          <w:sz w:val="22"/>
        </w:rPr>
        <w:t xml:space="preserve">Aby zidentyfikować umowę, przedsiębiorstwo może zapytać o numer klienta, numer zamówienia lub numer umowy.</w:t>
      </w:r>
      <w:r>
        <w:rPr>
          <w:sz w:val="22"/>
        </w:rPr>
        <w:t xml:space="preserve"> </w:t>
      </w:r>
      <w:r>
        <w:rPr>
          <w:sz w:val="22"/>
        </w:rPr>
        <w:t xml:space="preserve">Zgodnie z literą d) konsument powinien mieć również możliwość wskazania daty, od której rozwiązanie umowy staje się skuteczne.</w:t>
      </w:r>
      <w:r>
        <w:rPr>
          <w:sz w:val="22"/>
        </w:rPr>
        <w:t xml:space="preserve"> </w:t>
      </w:r>
      <w:r>
        <w:rPr>
          <w:sz w:val="22"/>
        </w:rPr>
        <w:t xml:space="preserve">Jednakże nie może to być wymagane jako obowiązek, bez którego wypowiedzenie nie może być zrealizowane za pośrednictwem strony internetowej.</w:t>
      </w:r>
      <w:r>
        <w:rPr>
          <w:sz w:val="22"/>
        </w:rPr>
        <w:t xml:space="preserve"> </w:t>
      </w:r>
      <w:r>
        <w:rPr>
          <w:sz w:val="22"/>
        </w:rPr>
        <w:t xml:space="preserve">Wynika to już z § 312k ust. 5 niemieckiego Kodeksu cywilnego (BGB) w tekście projektu, zgodnie z którym wypowiedzenie staje się skuteczne w sposób domniemany w najwcześniejszym możliwym terminie, jeśli nie podano daty wypowiedzenia.</w:t>
      </w:r>
      <w:r>
        <w:rPr>
          <w:sz w:val="22"/>
        </w:rPr>
        <w:t xml:space="preserve"> </w:t>
      </w:r>
      <w:r>
        <w:rPr>
          <w:sz w:val="22"/>
        </w:rPr>
        <w:t xml:space="preserve">W tym względzie należy oprócz opcji wprowadzenia konkretnej daty umożliwić wybór opcji „tak szybko, jak to możliwe” lub opcji podobnie sformułowanej, która wyraża życzenie rozwiązania umowy w możliwie najkrótszym terminie.</w:t>
      </w:r>
      <w:r>
        <w:rPr>
          <w:sz w:val="22"/>
        </w:rPr>
        <w:t xml:space="preserve"> </w:t>
      </w:r>
      <w:r>
        <w:rPr>
          <w:sz w:val="22"/>
        </w:rPr>
        <w:t xml:space="preserve">Ponadto, zgodnie z literą e), konsument musi być w stanie dostarczyć przedsiębiorstwu informacje, które umożliwią przedsiębiorstwu przesłanie konsumentowi potwierdzenia wypowiedzenia zgodnie z § 312k ust. 4 zdanie 1 niemieckiego Kodeksu cywilnego w wersji projektowanej (zwykle na adres e-mail).</w:t>
      </w:r>
    </w:p>
    <w:p w14:paraId="6FC5D772" w14:textId="10CA55D4" w:rsidR="00AF7B14" w:rsidRDefault="00BF30DD" w:rsidP="006F0DAE">
      <w:pPr>
        <w:pStyle w:val="Text"/>
        <w:rPr>
          <w:sz w:val="22"/>
        </w:rPr>
      </w:pPr>
      <w:r>
        <w:rPr>
          <w:sz w:val="22"/>
        </w:rPr>
        <w:t xml:space="preserve">§ 312k ust. 2 zdanie 3 nr 1 niemieckiego Kodeksu cywilnego (BGB) w tekście projektu zapewnia zatem konsumentowi możliwość dostarczenia informacji niezbędnych do wystarczająco dokładnego określenia swojego oświadczenia o wypowiedzeniu umowy, w szczególności w odniesieniu do umowy, która ma zostać wypowiedziana.</w:t>
      </w:r>
      <w:r>
        <w:rPr>
          <w:sz w:val="22"/>
        </w:rPr>
        <w:t xml:space="preserve"> </w:t>
      </w:r>
      <w:r>
        <w:rPr>
          <w:sz w:val="22"/>
        </w:rPr>
        <w:t xml:space="preserve">Ograniczenie zakresu wymaganych informacji ma na celu zapobieżenie tworzeniu strony potwierdzającej, na której firma prosi o podanie dalszych danych, które nie są łatwo dostępne dla konsumenta, a także nie są wymagane do bezspornego zlecenia, co utrudnia zakończenie prostego i nieskomplikowanego zlecenia.</w:t>
      </w:r>
      <w:r>
        <w:rPr>
          <w:sz w:val="22"/>
        </w:rPr>
        <w:t xml:space="preserve"> </w:t>
      </w:r>
      <w:r>
        <w:rPr>
          <w:sz w:val="22"/>
        </w:rPr>
        <w:t xml:space="preserve">Jednocześnie konsultacje powinny być zgodne z zasadą ekonomiczności danych określoną w art. 5 ust. 1 lit. c)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2C9326B" w14:textId="5C0D9C17" w:rsidR="009F726F" w:rsidRPr="006F0DAE" w:rsidRDefault="00060631" w:rsidP="009F726F">
      <w:pPr>
        <w:pStyle w:val="Text"/>
        <w:rPr>
          <w:sz w:val="22"/>
        </w:rPr>
      </w:pPr>
      <w:r>
        <w:rPr>
          <w:sz w:val="22"/>
        </w:rPr>
        <w:t xml:space="preserve">Zgodnie z § 312k ust. 2 zdanie 3 pkt 2 BGB w wersji projektowanej przycisk o nazwie „przycisk potwierdzenia” musi się znajdować na stronie potwierdzenia i za jego pomocą konsument może złożyć oświadczenie o wypowiedzeniu.</w:t>
      </w:r>
      <w:r>
        <w:rPr>
          <w:sz w:val="22"/>
        </w:rPr>
        <w:t xml:space="preserve"> </w:t>
      </w:r>
      <w:r>
        <w:rPr>
          <w:sz w:val="22"/>
        </w:rPr>
        <w:t xml:space="preserve">Ten przycisk potwierdzenia musi być oznaczony słowami „anuluj teraz”.</w:t>
      </w:r>
      <w:r>
        <w:rPr>
          <w:sz w:val="22"/>
        </w:rPr>
        <w:t xml:space="preserve"> </w:t>
      </w:r>
      <w:r>
        <w:rPr>
          <w:sz w:val="22"/>
        </w:rPr>
        <w:t xml:space="preserve">Inne sformułowania są dopuszczalne tylko wtedy, gdy są równie jednoznaczne.</w:t>
      </w:r>
    </w:p>
    <w:p w14:paraId="2785EC0B" w14:textId="576F478D" w:rsidR="00285780" w:rsidRDefault="006F0DAE" w:rsidP="00285780">
      <w:pPr>
        <w:pStyle w:val="Text"/>
        <w:rPr>
          <w:sz w:val="22"/>
        </w:rPr>
      </w:pPr>
      <w:r>
        <w:rPr>
          <w:sz w:val="22"/>
        </w:rPr>
        <w:t xml:space="preserve">Oba przyciski i strona potwierdzenia muszą być „stale dostępne oraz bezpośrednio i łatwo osiągalne” zgodnie z tekstem projektu w § 312k ust. 2 zdanie 4 niemieckiego Kodeksu cywilnego.</w:t>
      </w:r>
      <w:r>
        <w:rPr>
          <w:sz w:val="22"/>
        </w:rPr>
        <w:t xml:space="preserve"> </w:t>
      </w:r>
      <w:r>
        <w:rPr>
          <w:sz w:val="22"/>
        </w:rPr>
        <w:t xml:space="preserve">Jeżeli chodzi o wymóg „stałego dostępu”, niniejszy przepis opiera się na odpowiednim wymogu zawartym w § 5 ust. 1 ustawy o telemediach.</w:t>
      </w:r>
      <w:r>
        <w:rPr>
          <w:sz w:val="22"/>
        </w:rPr>
        <w:t xml:space="preserve"> </w:t>
      </w:r>
      <w:r>
        <w:rPr>
          <w:sz w:val="22"/>
        </w:rPr>
        <w:t xml:space="preserve">Konsumenci muszą zatem mieć możliwość dostępu do tych dwóch przycisków i strony potwierdzenia w dowolnym momencie i bez konieczności wcześniejszej rejestracji na stronie internetowej w tym celu.</w:t>
      </w:r>
      <w:r>
        <w:rPr>
          <w:sz w:val="22"/>
        </w:rPr>
        <w:t xml:space="preserve"> </w:t>
      </w:r>
      <w:r>
        <w:rPr>
          <w:sz w:val="22"/>
        </w:rPr>
        <w:t xml:space="preserve">Z drugiej strony tymczasowa niedostępność techniczna spowodowana pracami konserwacyjnymi jest nieszkodliwa (zob. wyrok Wyższego Sądu Krajowego w Düsseldorfie z dnia 4 listopada 2008 r., numer akt:</w:t>
      </w:r>
      <w:r>
        <w:rPr>
          <w:sz w:val="22"/>
        </w:rPr>
        <w:t xml:space="preserve"> </w:t>
      </w:r>
      <w:r>
        <w:rPr>
          <w:sz w:val="22"/>
        </w:rPr>
        <w:t xml:space="preserve">I-20 U 125/08).</w:t>
      </w:r>
      <w:r>
        <w:rPr>
          <w:sz w:val="22"/>
        </w:rPr>
        <w:t xml:space="preserve"> </w:t>
      </w:r>
      <w:r>
        <w:rPr>
          <w:sz w:val="22"/>
        </w:rPr>
        <w:t xml:space="preserve">Wymóg „bezpośredniej i łatwej osiągalności” opiera się na art. 246d ust. 2 pkt 2 ustawy wprowadzającej Kodeks cywilny (EGBGB), zmienionej projektem ustawy wdrażającej dyrektywę modernizacyjną; znajduje się tam odesłanie do odpowiednich wyjaśnień (Rada Federalna, nr sprawy: 61/21, s. 37 i n.).</w:t>
      </w:r>
    </w:p>
    <w:p w14:paraId="584AC89F" w14:textId="77777777" w:rsidR="00306B62" w:rsidRDefault="00306B62" w:rsidP="006F0DAE">
      <w:pPr>
        <w:pStyle w:val="Text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Dot. § 312k ust. 3 BGB-E:</w:t>
      </w:r>
    </w:p>
    <w:p w14:paraId="0F548D72" w14:textId="7AAA2D18" w:rsidR="00D528F9" w:rsidRPr="006F0DAE" w:rsidRDefault="00D528F9" w:rsidP="006F0DAE">
      <w:pPr>
        <w:pStyle w:val="Text"/>
        <w:rPr>
          <w:sz w:val="22"/>
        </w:rPr>
      </w:pPr>
      <w:r>
        <w:rPr>
          <w:sz w:val="22"/>
        </w:rPr>
        <w:t xml:space="preserve">§ 312k ust. 3 niemieckiego Kodeksu cywilnego (BGB) w tekście projektu ma na celu zapewnić konsumentowi możliwość udokumentowania złożenia zawiadomienia o wypowiedzeniu umowy.</w:t>
      </w:r>
      <w:r>
        <w:rPr>
          <w:sz w:val="22"/>
        </w:rPr>
        <w:t xml:space="preserve"> </w:t>
      </w:r>
      <w:r>
        <w:rPr>
          <w:sz w:val="22"/>
        </w:rPr>
        <w:t xml:space="preserve">Można to zrealizować np. poprzez udostępnione do pobrania podsumowania treści oświadczenia o wypowiedzeniu złożonego za pomocą przycisku wypowiedzenia umowy, które to podsumowanie będzie w szczególności wskazywać datę i godzinę naciśnięcia przycisku.</w:t>
      </w:r>
      <w:r>
        <w:rPr>
          <w:sz w:val="22"/>
        </w:rPr>
        <w:t xml:space="preserve"> </w:t>
      </w:r>
      <w:r>
        <w:rPr>
          <w:sz w:val="22"/>
        </w:rPr>
        <w:t xml:space="preserve">Dokumentacja ta gwarantuje możliwość przechowywania oświadczenia konsumenta zgodnie z § 126b zdanie 2 pkt 1 BGB.</w:t>
      </w:r>
    </w:p>
    <w:p w14:paraId="5BEA629B" w14:textId="77777777" w:rsidR="00306B62" w:rsidRPr="00C50448" w:rsidRDefault="00306B62" w:rsidP="00306B62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Dot. § 312k ust. 4 BGB-E:</w:t>
      </w:r>
    </w:p>
    <w:p w14:paraId="0BB31C68" w14:textId="009FC109" w:rsidR="00956726" w:rsidRDefault="00956726" w:rsidP="00DA2D64">
      <w:pPr>
        <w:pStyle w:val="Text"/>
        <w:spacing w:before="120" w:after="120"/>
        <w:rPr>
          <w:sz w:val="22"/>
        </w:rPr>
      </w:pPr>
      <w:r>
        <w:rPr>
          <w:sz w:val="22"/>
        </w:rPr>
        <w:t xml:space="preserve">Zobowiązanie przedsiębiorstwa do potwierdzenia zgodnie z § 312k ust. 4 zdanie 1 BGB w tekście projektu dotyczy dostępu przedsiębiorstwa do oświadczenia o wypowiedzeniu umowy.</w:t>
      </w:r>
      <w:r>
        <w:rPr>
          <w:sz w:val="22"/>
        </w:rPr>
        <w:t xml:space="preserve"> </w:t>
      </w:r>
      <w:r>
        <w:rPr>
          <w:sz w:val="22"/>
        </w:rPr>
        <w:t xml:space="preserve">Natychmiastowe potwierdzenie w formie tekstowej może być zautomatyzowane w handlu elektronicznym.</w:t>
      </w:r>
    </w:p>
    <w:p w14:paraId="71556E49" w14:textId="6DB1B010" w:rsidR="00623468" w:rsidRPr="006F0DAE" w:rsidRDefault="00D00DD2" w:rsidP="006F0DAE">
      <w:pPr>
        <w:pStyle w:val="Text"/>
        <w:rPr>
          <w:sz w:val="22"/>
        </w:rPr>
      </w:pPr>
      <w:r>
        <w:rPr>
          <w:sz w:val="22"/>
        </w:rPr>
        <w:t xml:space="preserve">Sprzeczne domniemanie w § 312k ust. 4 zdanie 2 niemieckiego Kodeksu cywilnego (BGB) w tekście projektu ma na celu ułatwienie konsumentowi, który nie ma wglądu w procesy techniczne związane z przesyłaniem wypowiedzenia umowy, dostępu do informacji potwierdzających, że przedsiębiorstwo odebrało wypowiedzenie.</w:t>
      </w:r>
    </w:p>
    <w:p w14:paraId="1B056C12" w14:textId="77777777" w:rsidR="00306B62" w:rsidRPr="00C50448" w:rsidRDefault="00306B62" w:rsidP="00306B62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Dot. § 312k ust. 5 BGB-E:</w:t>
      </w:r>
    </w:p>
    <w:p w14:paraId="2028DFF1" w14:textId="02BEE66D" w:rsidR="009B3F4B" w:rsidRDefault="00D528F9" w:rsidP="006F0DAE">
      <w:pPr>
        <w:pStyle w:val="Text"/>
        <w:rPr>
          <w:sz w:val="22"/>
        </w:rPr>
      </w:pPr>
      <w:r>
        <w:rPr>
          <w:sz w:val="22"/>
        </w:rPr>
        <w:t xml:space="preserve">§ 312k ust. 5 niemieckiego Kodeksu cywilnego (BGB) w projekcie ma na celu zapewnienie skuteczności wypowiedzenia umowy, w przypadku braku jakichkolwiek innych informacji od konsumenta, w możliwie najkrótszym terminie.</w:t>
      </w:r>
      <w:r>
        <w:rPr>
          <w:sz w:val="22"/>
        </w:rPr>
        <w:t xml:space="preserve"> </w:t>
      </w:r>
      <w:r>
        <w:rPr>
          <w:sz w:val="22"/>
        </w:rPr>
        <w:t xml:space="preserve">Konsumenci i przedsiębiorstwa mogą jednak również upewnić się, że nie ma co do tego wątpliwości, składając odpowiednie oświadczenia lub sprawdzając moment rozwiązania umowy.</w:t>
      </w:r>
    </w:p>
    <w:p w14:paraId="326A689B" w14:textId="6FD0D69C" w:rsidR="00306B62" w:rsidRDefault="00306B62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Dot. § 312k ust. 6 BGB-E:</w:t>
      </w:r>
    </w:p>
    <w:p w14:paraId="231F3872" w14:textId="6E37B134" w:rsidR="00481CA0" w:rsidRDefault="000C76EB" w:rsidP="006F0DAE">
      <w:pPr>
        <w:pStyle w:val="Text"/>
        <w:rPr>
          <w:sz w:val="22"/>
        </w:rPr>
      </w:pPr>
      <w:r>
        <w:rPr>
          <w:sz w:val="22"/>
        </w:rPr>
        <w:t xml:space="preserve">§ 312k ust. 6 projektu tekstu zawiera w danej sprawie normę sankcyjną.</w:t>
      </w:r>
      <w:r>
        <w:rPr>
          <w:sz w:val="22"/>
        </w:rPr>
        <w:t xml:space="preserve"> </w:t>
      </w:r>
      <w:r>
        <w:rPr>
          <w:sz w:val="22"/>
        </w:rPr>
        <w:t xml:space="preserve">Jeżeli przyciski i strona potwierdzenia nie są udostępnione zgodnie z ust. 1 i 2, konsument może rozwiązać umowę, do której rozwiązania przyciski i strona potwierdzenia muszą być udostępnione, w każdym momencie i bez zastosowania okresu wypowiedzenia.</w:t>
      </w:r>
      <w:r>
        <w:rPr>
          <w:sz w:val="22"/>
        </w:rPr>
        <w:t xml:space="preserve"> </w:t>
      </w:r>
      <w:r>
        <w:rPr>
          <w:sz w:val="22"/>
        </w:rPr>
        <w:t xml:space="preserve">Przedsiębiorstwa, które nie podejmują środków ostrożności, o których mowa w § 312k ust. 1 i 2 BGB w wersji projektowanej, będą podlegać odpowiedniemu rozwiązaniu stosunku umownego przez konsumenta.</w:t>
      </w:r>
      <w:r>
        <w:rPr>
          <w:sz w:val="22"/>
        </w:rPr>
        <w:t xml:space="preserve"> </w:t>
      </w:r>
      <w:r>
        <w:rPr>
          <w:sz w:val="22"/>
        </w:rPr>
        <w:t xml:space="preserve">Łagodniejsza forma sankcji nie wydaje się być skuteczna w taki sam sposób.</w:t>
      </w:r>
      <w:r>
        <w:rPr>
          <w:sz w:val="22"/>
        </w:rPr>
        <w:t xml:space="preserve"> </w:t>
      </w:r>
      <w:r>
        <w:rPr>
          <w:sz w:val="22"/>
        </w:rPr>
        <w:t xml:space="preserve">Jeżeli w przypadku § 312j ust. 3 BGB przedsiębiorstwo ma motywację do udostępnienia opisanego tam przycisku potwierdzającego zawarcie umowy, ponieważ w przeciwnym razie umowa z konsumentem nie dochodzi do skutku na mocy § 312j ust. 4 BGB, to takiej motywacji brakuje w sytuacji odwrotnej, czyli w odniesieniu do rozwiązania umowy.</w:t>
      </w:r>
      <w:r>
        <w:rPr>
          <w:sz w:val="22"/>
        </w:rPr>
        <w:t xml:space="preserve"> </w:t>
      </w:r>
      <w:r>
        <w:rPr>
          <w:sz w:val="22"/>
        </w:rPr>
        <w:t xml:space="preserve">W związku z tym przedsiębiorstwo, które pozbawia konsumenta prostej i nieskomplikowanej możliwości rozwiązania umowy przewidzianej przez prawo, powinno być sankcjonowane możliwością wypowiedzenia umowy przez konsumenta w każdym czasie i bez zachowania okresu wypowiedzenia.</w:t>
      </w:r>
      <w:r>
        <w:rPr>
          <w:sz w:val="22"/>
        </w:rPr>
        <w:t xml:space="preserve"> </w:t>
      </w:r>
      <w:r>
        <w:rPr>
          <w:sz w:val="22"/>
        </w:rPr>
        <w:t xml:space="preserve">Krótkoterminowe, techniczne przerwy spowodowane pracami konserwacyjnymi są nieszkodliwe w świetle wyjaśnień zawartych w uzasadnieniu do § 312k ust. 2 zdanie 4 BGB w wersji projektowanej.</w:t>
      </w:r>
    </w:p>
    <w:p w14:paraId="544C65C8" w14:textId="7048DB19" w:rsidR="00481CA0" w:rsidRDefault="00021C4F" w:rsidP="006F0DAE">
      <w:pPr>
        <w:pStyle w:val="Text"/>
        <w:rPr>
          <w:sz w:val="22"/>
        </w:rPr>
      </w:pPr>
      <w:r>
        <w:rPr>
          <w:sz w:val="22"/>
        </w:rPr>
        <w:t xml:space="preserve">W celu zaistnienia warunków wstępnych określonych w § 312k ust. 6 zdanie 1 niemieckiego Kodeksu cywilnego (BGB) w wersji projektowanej, konsument zobowiązany jest do przekazania informacji i dowodu potwierdzającego.</w:t>
      </w:r>
    </w:p>
    <w:p w14:paraId="0861A407" w14:textId="595606B6" w:rsidR="00285780" w:rsidRPr="006F0DAE" w:rsidRDefault="001C5507" w:rsidP="006F0DAE">
      <w:pPr>
        <w:pStyle w:val="Text"/>
        <w:rPr>
          <w:sz w:val="22"/>
        </w:rPr>
      </w:pPr>
      <w:r>
        <w:rPr>
          <w:sz w:val="22"/>
        </w:rPr>
        <w:t xml:space="preserve">§ 312k ust. 6 zdanie 2 niemieckiego Kodeksu cywilnego (BGB) wyjaśnia, że możliwość rozwiązania umowy przez konsumenta pozostaje nienaruszona.</w:t>
      </w:r>
    </w:p>
    <w:p w14:paraId="24DE66E7" w14:textId="63FE02DC" w:rsidR="009B3F4B" w:rsidRPr="00416421" w:rsidRDefault="00910B03" w:rsidP="00FC63C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Dot. art. 1 nr 6</w:t>
      </w:r>
    </w:p>
    <w:p w14:paraId="031E74E7" w14:textId="1D6D2F7A" w:rsidR="00D528F9" w:rsidRDefault="00910B03" w:rsidP="00910B03">
      <w:pPr>
        <w:pStyle w:val="Text"/>
        <w:rPr>
          <w:sz w:val="22"/>
        </w:rPr>
      </w:pPr>
      <w:r>
        <w:rPr>
          <w:sz w:val="22"/>
        </w:rPr>
        <w:t xml:space="preserve">Poprzez dodanie w projekcie § 312k BGB, jako zmiany następczej, § 312k–§ 312 l BGB, zgodnie z uzasadnieniem do art. 1 ust. 4, oczekuje się, że zostanie on dodany w momencie wejścia w życie proponowanej regulacji.</w:t>
      </w:r>
      <w:r>
        <w:rPr>
          <w:sz w:val="22"/>
        </w:rPr>
        <w:t xml:space="preserve"> </w:t>
      </w:r>
      <w:r>
        <w:rPr>
          <w:sz w:val="22"/>
        </w:rPr>
        <w:t xml:space="preserve">§ 312 l BGB, który również ma zostać dodany do projektu ustawy o wdrażaniu dyrektywy modernizacyjnej, staje się w związku z tym § 312 m niemieckiego Kodeksu cywilnego.</w:t>
      </w:r>
    </w:p>
    <w:p w14:paraId="217F3C46" w14:textId="1EA645AE" w:rsidR="009F2923" w:rsidRDefault="009F2923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Dot. litery b)</w:t>
      </w:r>
    </w:p>
    <w:p w14:paraId="6BCBE8EB" w14:textId="55DABD77" w:rsidR="000F009A" w:rsidRPr="000F009A" w:rsidRDefault="000F009A" w:rsidP="00DA2D64">
      <w:pPr>
        <w:pStyle w:val="Text"/>
        <w:spacing w:before="120" w:after="120"/>
        <w:rPr>
          <w:sz w:val="22"/>
        </w:rPr>
      </w:pPr>
      <w:r>
        <w:rPr>
          <w:sz w:val="22"/>
        </w:rPr>
        <w:t xml:space="preserve">Litera b) zawiera późniejszą zmianę dotyczącą numeracji artykułów w projekcie ustawy.</w:t>
      </w:r>
    </w:p>
    <w:p w14:paraId="6273D65D" w14:textId="0B9BE9D8" w:rsidR="00B56435" w:rsidRDefault="00B56435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Dot. numeru 3</w:t>
      </w:r>
    </w:p>
    <w:p w14:paraId="4A814002" w14:textId="6AF38C59" w:rsidR="00A7355E" w:rsidRDefault="000F009A" w:rsidP="000F009A">
      <w:pPr>
        <w:pStyle w:val="Text"/>
        <w:rPr>
          <w:sz w:val="22"/>
        </w:rPr>
      </w:pPr>
      <w:r>
        <w:rPr>
          <w:sz w:val="22"/>
        </w:rPr>
        <w:t xml:space="preserve">Numer 3 wprowadza kolejną poprawkę do ETUC poprzez przekształcenie art. 2 w projekcie ustawy.</w:t>
      </w:r>
    </w:p>
    <w:p w14:paraId="51AC3A1B" w14:textId="150ECB80" w:rsidR="009F2923" w:rsidRDefault="00A7355E" w:rsidP="002E70FE">
      <w:pPr>
        <w:pStyle w:val="Text"/>
        <w:rPr>
          <w:b/>
          <w:sz w:val="22"/>
          <w:rFonts w:ascii="Arial" w:hAnsi="Arial" w:cs="Arial"/>
        </w:rPr>
      </w:pPr>
      <w:r>
        <w:rPr>
          <w:sz w:val="22"/>
        </w:rPr>
        <w:t xml:space="preserve">Projekt ustawy wdrażającej dyrektywę modernizacyjną ma wprowadzić do EGBGB nowy art. 246e, który w ust. 2 pkt 10 tego projektu zawiera odniesienie do § 312k BGB, jak opisano w uzasadnieniu do pkt 1 lit. a) (art. 1 pkt 4).</w:t>
      </w:r>
      <w:r>
        <w:rPr>
          <w:sz w:val="22"/>
        </w:rPr>
        <w:t xml:space="preserve"> </w:t>
      </w:r>
      <w:r>
        <w:rPr>
          <w:sz w:val="22"/>
        </w:rPr>
        <w:t xml:space="preserve">Odniesienie to musi zostać dostosowane.</w:t>
      </w:r>
    </w:p>
    <w:p w14:paraId="03B474E7" w14:textId="4ACD06E1" w:rsidR="009F2923" w:rsidRPr="00DA2D64" w:rsidRDefault="009F2923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Dot. numeru 4</w:t>
      </w:r>
    </w:p>
    <w:p w14:paraId="5DE9D023" w14:textId="63527F64" w:rsidR="00EE546D" w:rsidRPr="00EE546D" w:rsidRDefault="00EE546D" w:rsidP="00EE546D">
      <w:pPr>
        <w:pStyle w:val="Text"/>
        <w:rPr>
          <w:sz w:val="22"/>
        </w:rPr>
      </w:pPr>
      <w:r>
        <w:rPr>
          <w:sz w:val="22"/>
        </w:rPr>
        <w:t xml:space="preserve">Realizacja wymogów dotyczących wypełnienia zobowiązania zgodnie z § 312k BGB w wersji projektowanej będzie w niektórych przypadkach oznaczać znaczny wysiłek organizacyjny i czasowy dla przedsiębiorstw.</w:t>
      </w:r>
      <w:r>
        <w:rPr>
          <w:sz w:val="22"/>
        </w:rPr>
        <w:t xml:space="preserve"> </w:t>
      </w:r>
      <w:r>
        <w:rPr>
          <w:sz w:val="22"/>
        </w:rPr>
        <w:t xml:space="preserve">W związku z tym przedsiębiorstwa nie powinny być do tego zobowiązane przed dniem 1 lipca 2022 r.</w:t>
      </w:r>
    </w:p>
    <w:sectPr w:rsidR="00EE546D" w:rsidRPr="00EE546D" w:rsidSect="00012A1D">
      <w:type w:val="continuous"/>
      <w:pgSz w:w="11907" w:h="16839"/>
      <w:pgMar w:top="1134" w:right="3883" w:bottom="1417" w:left="12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72C0" w14:textId="77777777" w:rsidR="00FA5BE1" w:rsidRDefault="00FA5BE1" w:rsidP="00FF4465">
      <w:pPr>
        <w:spacing w:before="0" w:after="0"/>
      </w:pPr>
      <w:r>
        <w:separator/>
      </w:r>
    </w:p>
  </w:endnote>
  <w:endnote w:type="continuationSeparator" w:id="0">
    <w:p w14:paraId="2B8FD7A9" w14:textId="77777777" w:rsidR="00FA5BE1" w:rsidRDefault="00FA5BE1" w:rsidP="00FF44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401F6" w14:textId="77777777" w:rsidR="00FA5BE1" w:rsidRDefault="00FA5BE1" w:rsidP="00FF4465">
      <w:pPr>
        <w:spacing w:before="0" w:after="0"/>
      </w:pPr>
      <w:r>
        <w:separator/>
      </w:r>
    </w:p>
  </w:footnote>
  <w:footnote w:type="continuationSeparator" w:id="0">
    <w:p w14:paraId="73BC5E22" w14:textId="77777777" w:rsidR="00FA5BE1" w:rsidRDefault="00FA5BE1" w:rsidP="00FF44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CF337" w14:textId="460795E0" w:rsidR="00FA5BE1" w:rsidRPr="00012A1D" w:rsidRDefault="00012A1D" w:rsidP="00012A1D">
    <w:pPr>
      <w:pStyle w:val="Kopfzeile"/>
      <w:framePr w:vSpace="283" w:wrap="notBeside"/>
    </w:pPr>
    <w:r>
      <w:tab/>
    </w:r>
    <w:r>
      <w:t xml:space="preserve">– </w:t>
    </w:r>
    <w:r>
      <w:fldChar w:fldCharType="begin"/>
    </w:r>
    <w:r>
      <w:instrText xml:space="preserve"> PAGE  \* MERGEFORMAT </w:instrText>
    </w:r>
    <w:r>
      <w:fldChar w:fldCharType="separate"/>
    </w:r>
    <w:r>
      <w:t>10</w:t>
    </w:r>
    <w:r>
      <w:fldChar w:fldCharType="end"/>
    </w:r>
    <w:r>
      <w:t xml:space="preserve"> –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DC72C" w14:textId="4C5DDFEE" w:rsidR="00FA5BE1" w:rsidRPr="00012A1D" w:rsidRDefault="00012A1D" w:rsidP="00012A1D">
    <w:pPr>
      <w:pStyle w:val="Kopfzeile"/>
      <w:framePr w:vSpace="283" w:wrap="notBeside"/>
    </w:pPr>
    <w:r>
      <w:tab/>
    </w:r>
    <w:r>
      <w:t xml:space="preserve">– </w:t>
    </w: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  <w:r>
      <w:t xml:space="preserve"> –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89B"/>
    <w:multiLevelType w:val="singleLevel"/>
    <w:tmpl w:val="241214B0"/>
    <w:name w:val="Tabelle Aufzählung"/>
    <w:lvl w:ilvl="0">
      <w:start w:val="1"/>
      <w:numFmt w:val="bullet"/>
      <w:lvlRestart w:val="0"/>
      <w:pStyle w:val="TabelleAufzhlung"/>
      <w:lvlText w:val="–"/>
      <w:lvlJc w:val="left"/>
      <w:pPr>
        <w:tabs>
          <w:tab w:val="num" w:pos="283"/>
        </w:tabs>
        <w:ind w:left="0" w:firstLine="0"/>
      </w:pPr>
    </w:lvl>
  </w:abstractNum>
  <w:abstractNum w:abstractNumId="1" w15:restartNumberingAfterBreak="0">
    <w:nsid w:val="0755749D"/>
    <w:multiLevelType w:val="singleLevel"/>
    <w:tmpl w:val="E7089F24"/>
    <w:name w:val="Revision Eingangsformel Aufzählung (Stammdokument)"/>
    <w:lvl w:ilvl="0">
      <w:start w:val="1"/>
      <w:numFmt w:val="bullet"/>
      <w:lvlRestart w:val="0"/>
      <w:pStyle w:val="RevisionEingangsformelAufzhlungStammdokument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1DA0E89"/>
    <w:multiLevelType w:val="singleLevel"/>
    <w:tmpl w:val="0990366C"/>
    <w:name w:val="Aufzählung (Stufe 5)"/>
    <w:lvl w:ilvl="0">
      <w:start w:val="1"/>
      <w:numFmt w:val="bullet"/>
      <w:lvlRestart w:val="0"/>
      <w:pStyle w:val="AufzhlungStufe5"/>
      <w:lvlText w:val="–"/>
      <w:lvlJc w:val="left"/>
      <w:pPr>
        <w:tabs>
          <w:tab w:val="num" w:pos="2126"/>
        </w:tabs>
        <w:ind w:left="2126" w:hanging="425"/>
      </w:pPr>
    </w:lvl>
  </w:abstractNum>
  <w:abstractNum w:abstractNumId="3" w15:restartNumberingAfterBreak="0">
    <w:nsid w:val="17EB36AF"/>
    <w:multiLevelType w:val="singleLevel"/>
    <w:tmpl w:val="96445E22"/>
    <w:name w:val="Aufzählung (Stufe 1)"/>
    <w:lvl w:ilvl="0">
      <w:start w:val="1"/>
      <w:numFmt w:val="bullet"/>
      <w:lvlRestart w:val="0"/>
      <w:pStyle w:val="AufzhlungStufe1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8D56528"/>
    <w:multiLevelType w:val="singleLevel"/>
    <w:tmpl w:val="31561192"/>
    <w:name w:val="Revision Aufzählung (Stufe 1)"/>
    <w:lvl w:ilvl="0">
      <w:start w:val="1"/>
      <w:numFmt w:val="bullet"/>
      <w:lvlRestart w:val="0"/>
      <w:pStyle w:val="RevisionAufzhlungStufe1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9876190"/>
    <w:multiLevelType w:val="multilevel"/>
    <w:tmpl w:val="903A7594"/>
    <w:name w:val="Revision eNorm Liste"/>
    <w:lvl w:ilvl="0">
      <w:start w:val="1"/>
      <w:numFmt w:val="decimal"/>
      <w:lvlRestart w:val="0"/>
      <w:pStyle w:val="Revision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Revision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Revision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Revision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Revision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Revision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Revision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Revision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EE59AC"/>
    <w:multiLevelType w:val="singleLevel"/>
    <w:tmpl w:val="E4DEC6AC"/>
    <w:name w:val="Revision Aufzählung (Stufe 4)"/>
    <w:lvl w:ilvl="0">
      <w:start w:val="1"/>
      <w:numFmt w:val="bullet"/>
      <w:lvlRestart w:val="0"/>
      <w:pStyle w:val="RevisionAufzhlungStufe4"/>
      <w:lvlText w:val="–"/>
      <w:lvlJc w:val="left"/>
      <w:pPr>
        <w:tabs>
          <w:tab w:val="num" w:pos="1701"/>
        </w:tabs>
        <w:ind w:left="1701" w:hanging="425"/>
      </w:pPr>
    </w:lvl>
  </w:abstractNum>
  <w:abstractNum w:abstractNumId="7" w15:restartNumberingAfterBreak="0">
    <w:nsid w:val="2DF25574"/>
    <w:multiLevelType w:val="multilevel"/>
    <w:tmpl w:val="371EF51E"/>
    <w:name w:val="eNorm Liste"/>
    <w:lvl w:ilvl="0">
      <w:start w:val="1"/>
      <w:numFmt w:val="decimal"/>
      <w:lvlRestart w:val="0"/>
      <w:pStyle w:val="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C41A6C"/>
    <w:multiLevelType w:val="singleLevel"/>
    <w:tmpl w:val="EB0E2D88"/>
    <w:name w:val="Revision Aufzählung (Stufe 5)"/>
    <w:lvl w:ilvl="0">
      <w:start w:val="1"/>
      <w:numFmt w:val="bullet"/>
      <w:lvlRestart w:val="0"/>
      <w:pStyle w:val="RevisionAufzhlungStufe5"/>
      <w:lvlText w:val="–"/>
      <w:lvlJc w:val="left"/>
      <w:pPr>
        <w:tabs>
          <w:tab w:val="num" w:pos="2126"/>
        </w:tabs>
        <w:ind w:left="2126" w:hanging="425"/>
      </w:pPr>
    </w:lvl>
  </w:abstractNum>
  <w:abstractNum w:abstractNumId="9" w15:restartNumberingAfterBreak="0">
    <w:nsid w:val="45E05348"/>
    <w:multiLevelType w:val="singleLevel"/>
    <w:tmpl w:val="733EA768"/>
    <w:name w:val="Revision Aufzählung (Stufe 2)"/>
    <w:lvl w:ilvl="0">
      <w:start w:val="1"/>
      <w:numFmt w:val="bullet"/>
      <w:lvlRestart w:val="0"/>
      <w:pStyle w:val="RevisionAufzhlungStufe2"/>
      <w:lvlText w:val="–"/>
      <w:lvlJc w:val="left"/>
      <w:pPr>
        <w:tabs>
          <w:tab w:val="num" w:pos="850"/>
        </w:tabs>
        <w:ind w:left="850" w:hanging="425"/>
      </w:pPr>
    </w:lvl>
  </w:abstractNum>
  <w:abstractNum w:abstractNumId="10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38E32B9"/>
    <w:multiLevelType w:val="singleLevel"/>
    <w:tmpl w:val="4E520E9E"/>
    <w:name w:val="Aufzählung (Stufe 4)"/>
    <w:lvl w:ilvl="0">
      <w:start w:val="1"/>
      <w:numFmt w:val="bullet"/>
      <w:lvlRestart w:val="0"/>
      <w:pStyle w:val="AufzhlungStufe4"/>
      <w:lvlText w:val="–"/>
      <w:lvlJc w:val="left"/>
      <w:pPr>
        <w:tabs>
          <w:tab w:val="num" w:pos="1701"/>
        </w:tabs>
        <w:ind w:left="1701" w:hanging="425"/>
      </w:pPr>
    </w:lvl>
  </w:abstractNum>
  <w:abstractNum w:abstractNumId="12" w15:restartNumberingAfterBreak="0">
    <w:nsid w:val="54F620F6"/>
    <w:multiLevelType w:val="singleLevel"/>
    <w:tmpl w:val="010ECA8C"/>
    <w:name w:val="Aufzählung (Stufe 2)"/>
    <w:lvl w:ilvl="0">
      <w:start w:val="1"/>
      <w:numFmt w:val="bullet"/>
      <w:lvlRestart w:val="0"/>
      <w:pStyle w:val="AufzhlungStufe2"/>
      <w:lvlText w:val="–"/>
      <w:lvlJc w:val="left"/>
      <w:pPr>
        <w:tabs>
          <w:tab w:val="num" w:pos="850"/>
        </w:tabs>
        <w:ind w:left="850" w:hanging="425"/>
      </w:pPr>
    </w:lvl>
  </w:abstractNum>
  <w:abstractNum w:abstractNumId="13" w15:restartNumberingAfterBreak="0">
    <w:nsid w:val="595A094C"/>
    <w:multiLevelType w:val="multilevel"/>
    <w:tmpl w:val="A4641030"/>
    <w:name w:val="Empfehlung Nummerierung"/>
    <w:lvl w:ilvl="0">
      <w:start w:val="1"/>
      <w:numFmt w:val="lowerLetter"/>
      <w:lvlRestart w:val="0"/>
      <w:pStyle w:val="EmpfehlungTextnummeriert"/>
      <w:lvlText w:val="%1)"/>
      <w:lvlJc w:val="left"/>
      <w:pPr>
        <w:tabs>
          <w:tab w:val="num" w:pos="0"/>
        </w:tabs>
        <w:ind w:left="0" w:hanging="425"/>
      </w:pPr>
    </w:lvl>
    <w:lvl w:ilvl="1">
      <w:start w:val="1"/>
      <w:numFmt w:val="decimal"/>
      <w:pStyle w:val="EmpfehlungNummerierungStufe1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EmpfehlungNummerierung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lowerLetter"/>
      <w:pStyle w:val="EmpfehlungNummerierungStufe3"/>
      <w:lvlText w:val="%4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Letter"/>
      <w:pStyle w:val="EmpfehlungNummerierungStufe4"/>
      <w:lvlText w:val="%5%5%5)"/>
      <w:lvlJc w:val="left"/>
      <w:pPr>
        <w:tabs>
          <w:tab w:val="num" w:pos="1984"/>
        </w:tabs>
        <w:ind w:left="1984" w:hanging="708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0E5FFE"/>
    <w:multiLevelType w:val="singleLevel"/>
    <w:tmpl w:val="2A7667B0"/>
    <w:name w:val="Revision Aufzählung (Stufe 3)"/>
    <w:lvl w:ilvl="0">
      <w:start w:val="1"/>
      <w:numFmt w:val="bullet"/>
      <w:lvlRestart w:val="0"/>
      <w:pStyle w:val="RevisionAufzhlungStufe3"/>
      <w:lvlText w:val="–"/>
      <w:lvlJc w:val="left"/>
      <w:pPr>
        <w:tabs>
          <w:tab w:val="num" w:pos="1276"/>
        </w:tabs>
        <w:ind w:left="1276" w:hanging="426"/>
      </w:pPr>
    </w:lvl>
  </w:abstractNum>
  <w:abstractNum w:abstractNumId="15" w15:restartNumberingAfterBreak="0">
    <w:nsid w:val="7397490C"/>
    <w:multiLevelType w:val="singleLevel"/>
    <w:tmpl w:val="B1EC4D80"/>
    <w:name w:val="Tabelle Liste"/>
    <w:lvl w:ilvl="0">
      <w:start w:val="1"/>
      <w:numFmt w:val="decimal"/>
      <w:lvlRestart w:val="0"/>
      <w:pStyle w:val="TabelleListe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16" w15:restartNumberingAfterBreak="0">
    <w:nsid w:val="7E4D2A11"/>
    <w:multiLevelType w:val="singleLevel"/>
    <w:tmpl w:val="B612535E"/>
    <w:name w:val="Aufzählung (Stufe 3)"/>
    <w:lvl w:ilvl="0">
      <w:start w:val="1"/>
      <w:numFmt w:val="bullet"/>
      <w:lvlRestart w:val="0"/>
      <w:pStyle w:val="AufzhlungStufe3"/>
      <w:lvlText w:val="–"/>
      <w:lvlJc w:val="left"/>
      <w:pPr>
        <w:tabs>
          <w:tab w:val="num" w:pos="1276"/>
        </w:tabs>
        <w:ind w:left="1276" w:hanging="426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2"/>
  </w:num>
  <w:num w:numId="5">
    <w:abstractNumId w:val="16"/>
  </w:num>
  <w:num w:numId="6">
    <w:abstractNumId w:val="11"/>
  </w:num>
  <w:num w:numId="7">
    <w:abstractNumId w:val="2"/>
  </w:num>
  <w:num w:numId="8">
    <w:abstractNumId w:val="0"/>
  </w:num>
  <w:num w:numId="9">
    <w:abstractNumId w:val="15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 w:numId="14">
    <w:abstractNumId w:val="14"/>
  </w:num>
  <w:num w:numId="15">
    <w:abstractNumId w:val="6"/>
  </w:num>
  <w:num w:numId="16">
    <w:abstractNumId w:val="8"/>
  </w:num>
  <w:num w:numId="17">
    <w:abstractNumId w:val="1"/>
  </w:num>
  <w:num w:numId="18">
    <w:abstractNumId w:val="13"/>
  </w:num>
  <w:num w:numId="19">
    <w:abstractNumId w:val="7"/>
  </w:num>
  <w:num w:numId="20">
    <w:abstractNumId w:val="3"/>
  </w:num>
  <w:num w:numId="21">
    <w:abstractNumId w:val="12"/>
  </w:num>
  <w:num w:numId="22">
    <w:abstractNumId w:val="16"/>
  </w:num>
  <w:num w:numId="23">
    <w:abstractNumId w:val="11"/>
  </w:num>
  <w:num w:numId="24">
    <w:abstractNumId w:val="2"/>
  </w:num>
  <w:num w:numId="25">
    <w:abstractNumId w:val="0"/>
  </w:num>
  <w:num w:numId="26">
    <w:abstractNumId w:val="15"/>
  </w:num>
  <w:num w:numId="27">
    <w:abstractNumId w:val="10"/>
  </w:num>
  <w:num w:numId="28">
    <w:abstractNumId w:val="5"/>
  </w:num>
  <w:num w:numId="29">
    <w:abstractNumId w:val="4"/>
  </w:num>
  <w:num w:numId="30">
    <w:abstractNumId w:val="9"/>
  </w:num>
  <w:num w:numId="31">
    <w:abstractNumId w:val="14"/>
  </w:num>
  <w:num w:numId="32">
    <w:abstractNumId w:val="6"/>
  </w:num>
  <w:num w:numId="33">
    <w:abstractNumId w:val="8"/>
  </w:num>
  <w:num w:numId="34">
    <w:abstractNumId w:val="1"/>
  </w:num>
  <w:num w:numId="35">
    <w:abstractNumId w:val="13"/>
  </w:num>
  <w:num w:numId="36">
    <w:abstractNumId w:val="10"/>
  </w:num>
  <w:num w:numId="37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fehlsHistorie_BefehlsZähler" w:val="2"/>
    <w:docVar w:name="BefehlsKontext_SpeichernOOXML_Maximum" w:val="275ms"/>
    <w:docVar w:name="BefehlsKontext_SpeichernOOXML_Schnitt" w:val="275ms"/>
    <w:docVar w:name="BT" w:val="True"/>
    <w:docVar w:name="DQCHighlighting" w:val="100"/>
    <w:docVar w:name="DQCPart_Dokument" w:val="0"/>
    <w:docVar w:name="DQCResult_Aenderungsbefehl" w:val="0;0"/>
    <w:docVar w:name="DQCResult_Citations" w:val="0;0"/>
    <w:docVar w:name="DQCResult_EmbeddedObjects" w:val="0;0"/>
    <w:docVar w:name="DQCResult_Marker" w:val="0;0"/>
    <w:docVar w:name="DQCResult_ModifiedCharFormat" w:val="0;66"/>
    <w:docVar w:name="DQCResult_ModifiedMargins" w:val="0;0"/>
    <w:docVar w:name="DQCResult_ModifiedNumbering" w:val="0;0"/>
    <w:docVar w:name="DQCResult_StructureCheck" w:val="0;0"/>
    <w:docVar w:name="DQCResult_SuperfluousWhitespace" w:val="0;0"/>
    <w:docVar w:name="DQCWithWarnings" w:val="1"/>
    <w:docVar w:name="EN_DocFileDateTimeAtOpen" w:val="19.03.2021 16:14:48"/>
    <w:docVar w:name="LW_DocType" w:val="FORM"/>
    <w:docVar w:name="LWCons_Langue" w:val="DE"/>
  </w:docVars>
  <w:rsids>
    <w:rsidRoot w:val="002720FF"/>
    <w:rsid w:val="00003B38"/>
    <w:rsid w:val="00012A1D"/>
    <w:rsid w:val="00021C4F"/>
    <w:rsid w:val="00021CCF"/>
    <w:rsid w:val="00035D26"/>
    <w:rsid w:val="00060631"/>
    <w:rsid w:val="0006601D"/>
    <w:rsid w:val="00071A7A"/>
    <w:rsid w:val="000747D8"/>
    <w:rsid w:val="00076397"/>
    <w:rsid w:val="00080B5B"/>
    <w:rsid w:val="000B047B"/>
    <w:rsid w:val="000B646B"/>
    <w:rsid w:val="000C15BB"/>
    <w:rsid w:val="000C76EB"/>
    <w:rsid w:val="000F009A"/>
    <w:rsid w:val="000F70B9"/>
    <w:rsid w:val="00105A99"/>
    <w:rsid w:val="00107329"/>
    <w:rsid w:val="00117AD6"/>
    <w:rsid w:val="00120BC4"/>
    <w:rsid w:val="00125212"/>
    <w:rsid w:val="001327D0"/>
    <w:rsid w:val="00137B75"/>
    <w:rsid w:val="00154174"/>
    <w:rsid w:val="001551B6"/>
    <w:rsid w:val="00157A5E"/>
    <w:rsid w:val="00184422"/>
    <w:rsid w:val="001B688F"/>
    <w:rsid w:val="001C5507"/>
    <w:rsid w:val="001E0F6C"/>
    <w:rsid w:val="001E4E2B"/>
    <w:rsid w:val="001E7B94"/>
    <w:rsid w:val="001F299B"/>
    <w:rsid w:val="001F2E12"/>
    <w:rsid w:val="001F2E43"/>
    <w:rsid w:val="0020302D"/>
    <w:rsid w:val="00205446"/>
    <w:rsid w:val="002142EA"/>
    <w:rsid w:val="0021568B"/>
    <w:rsid w:val="00217FE5"/>
    <w:rsid w:val="0022038D"/>
    <w:rsid w:val="00222EE0"/>
    <w:rsid w:val="002720FF"/>
    <w:rsid w:val="00285780"/>
    <w:rsid w:val="002873C9"/>
    <w:rsid w:val="00297295"/>
    <w:rsid w:val="002A3FE5"/>
    <w:rsid w:val="002B272A"/>
    <w:rsid w:val="002C1E10"/>
    <w:rsid w:val="002C4559"/>
    <w:rsid w:val="002D17B8"/>
    <w:rsid w:val="002D2148"/>
    <w:rsid w:val="002D6017"/>
    <w:rsid w:val="002E70FE"/>
    <w:rsid w:val="002F0027"/>
    <w:rsid w:val="002F591E"/>
    <w:rsid w:val="002F6967"/>
    <w:rsid w:val="00300C93"/>
    <w:rsid w:val="00301240"/>
    <w:rsid w:val="00306B62"/>
    <w:rsid w:val="003075FB"/>
    <w:rsid w:val="00311BA7"/>
    <w:rsid w:val="00312C96"/>
    <w:rsid w:val="003277CE"/>
    <w:rsid w:val="00332D4D"/>
    <w:rsid w:val="00351164"/>
    <w:rsid w:val="00355929"/>
    <w:rsid w:val="00362E0C"/>
    <w:rsid w:val="003774F0"/>
    <w:rsid w:val="00395EE9"/>
    <w:rsid w:val="003B3E40"/>
    <w:rsid w:val="003C1CD0"/>
    <w:rsid w:val="003C2408"/>
    <w:rsid w:val="003C293C"/>
    <w:rsid w:val="003D119C"/>
    <w:rsid w:val="003D54F0"/>
    <w:rsid w:val="003E092B"/>
    <w:rsid w:val="003E2B00"/>
    <w:rsid w:val="003F6FFF"/>
    <w:rsid w:val="0040002B"/>
    <w:rsid w:val="004025EB"/>
    <w:rsid w:val="00405D1C"/>
    <w:rsid w:val="00416421"/>
    <w:rsid w:val="00437A25"/>
    <w:rsid w:val="00452460"/>
    <w:rsid w:val="00456CBC"/>
    <w:rsid w:val="00463C3B"/>
    <w:rsid w:val="004666C3"/>
    <w:rsid w:val="00472108"/>
    <w:rsid w:val="00472355"/>
    <w:rsid w:val="0048061A"/>
    <w:rsid w:val="00481CA0"/>
    <w:rsid w:val="00481F94"/>
    <w:rsid w:val="0048530A"/>
    <w:rsid w:val="004A1713"/>
    <w:rsid w:val="004B18EC"/>
    <w:rsid w:val="004B4076"/>
    <w:rsid w:val="004C591F"/>
    <w:rsid w:val="004D3377"/>
    <w:rsid w:val="004E6731"/>
    <w:rsid w:val="004F1B81"/>
    <w:rsid w:val="004F6D2C"/>
    <w:rsid w:val="00503238"/>
    <w:rsid w:val="0052341C"/>
    <w:rsid w:val="0052608D"/>
    <w:rsid w:val="00544DE6"/>
    <w:rsid w:val="00546AAD"/>
    <w:rsid w:val="005632AA"/>
    <w:rsid w:val="00574C2D"/>
    <w:rsid w:val="0057653F"/>
    <w:rsid w:val="0058476B"/>
    <w:rsid w:val="00591E40"/>
    <w:rsid w:val="005922FA"/>
    <w:rsid w:val="005972FA"/>
    <w:rsid w:val="005A544B"/>
    <w:rsid w:val="005E05C4"/>
    <w:rsid w:val="005E1C0F"/>
    <w:rsid w:val="005E3C4F"/>
    <w:rsid w:val="005E4D84"/>
    <w:rsid w:val="005F7D36"/>
    <w:rsid w:val="00604F79"/>
    <w:rsid w:val="00613B05"/>
    <w:rsid w:val="0062256C"/>
    <w:rsid w:val="00623468"/>
    <w:rsid w:val="006257ED"/>
    <w:rsid w:val="006334E3"/>
    <w:rsid w:val="00646792"/>
    <w:rsid w:val="00652116"/>
    <w:rsid w:val="00660928"/>
    <w:rsid w:val="00671C6C"/>
    <w:rsid w:val="0067495D"/>
    <w:rsid w:val="00681D0D"/>
    <w:rsid w:val="00682019"/>
    <w:rsid w:val="00685176"/>
    <w:rsid w:val="00693160"/>
    <w:rsid w:val="00693751"/>
    <w:rsid w:val="006A77F6"/>
    <w:rsid w:val="006C1AFE"/>
    <w:rsid w:val="006C5585"/>
    <w:rsid w:val="006D727A"/>
    <w:rsid w:val="006E2F12"/>
    <w:rsid w:val="006F0DAE"/>
    <w:rsid w:val="006F1258"/>
    <w:rsid w:val="006F680B"/>
    <w:rsid w:val="006F7B3A"/>
    <w:rsid w:val="00701CCB"/>
    <w:rsid w:val="00704C6A"/>
    <w:rsid w:val="0074181E"/>
    <w:rsid w:val="007430E4"/>
    <w:rsid w:val="00746C78"/>
    <w:rsid w:val="0075168F"/>
    <w:rsid w:val="007712DA"/>
    <w:rsid w:val="00781EDD"/>
    <w:rsid w:val="00786296"/>
    <w:rsid w:val="007A0A21"/>
    <w:rsid w:val="007A289E"/>
    <w:rsid w:val="007B6582"/>
    <w:rsid w:val="007C1ACD"/>
    <w:rsid w:val="007C69FC"/>
    <w:rsid w:val="007E1EA0"/>
    <w:rsid w:val="007E4270"/>
    <w:rsid w:val="007F2DB9"/>
    <w:rsid w:val="008132F7"/>
    <w:rsid w:val="00826E52"/>
    <w:rsid w:val="0084613F"/>
    <w:rsid w:val="00846EFD"/>
    <w:rsid w:val="00850090"/>
    <w:rsid w:val="00852306"/>
    <w:rsid w:val="00854CB1"/>
    <w:rsid w:val="00861F9F"/>
    <w:rsid w:val="008631CD"/>
    <w:rsid w:val="008657B1"/>
    <w:rsid w:val="008772D0"/>
    <w:rsid w:val="008809C8"/>
    <w:rsid w:val="008877A7"/>
    <w:rsid w:val="0089065C"/>
    <w:rsid w:val="008A058D"/>
    <w:rsid w:val="008C35B1"/>
    <w:rsid w:val="008C4938"/>
    <w:rsid w:val="008D6B47"/>
    <w:rsid w:val="008E21D5"/>
    <w:rsid w:val="008F3DB4"/>
    <w:rsid w:val="009019C7"/>
    <w:rsid w:val="00901C79"/>
    <w:rsid w:val="0090252A"/>
    <w:rsid w:val="00910B03"/>
    <w:rsid w:val="00910D9D"/>
    <w:rsid w:val="00914FA8"/>
    <w:rsid w:val="00915D22"/>
    <w:rsid w:val="00917BC0"/>
    <w:rsid w:val="00932184"/>
    <w:rsid w:val="00933356"/>
    <w:rsid w:val="00937EC9"/>
    <w:rsid w:val="009506AE"/>
    <w:rsid w:val="00952518"/>
    <w:rsid w:val="009530D1"/>
    <w:rsid w:val="00956726"/>
    <w:rsid w:val="00956C28"/>
    <w:rsid w:val="009701A4"/>
    <w:rsid w:val="00970ABB"/>
    <w:rsid w:val="0098296B"/>
    <w:rsid w:val="00993AD2"/>
    <w:rsid w:val="00995726"/>
    <w:rsid w:val="009A7DB0"/>
    <w:rsid w:val="009B1298"/>
    <w:rsid w:val="009B2962"/>
    <w:rsid w:val="009B3F4B"/>
    <w:rsid w:val="009B7841"/>
    <w:rsid w:val="009C3FB1"/>
    <w:rsid w:val="009D590D"/>
    <w:rsid w:val="009E06E3"/>
    <w:rsid w:val="009F0E3F"/>
    <w:rsid w:val="009F2923"/>
    <w:rsid w:val="009F726F"/>
    <w:rsid w:val="009F7F4E"/>
    <w:rsid w:val="00A03249"/>
    <w:rsid w:val="00A10F3A"/>
    <w:rsid w:val="00A20AF6"/>
    <w:rsid w:val="00A2558A"/>
    <w:rsid w:val="00A34D97"/>
    <w:rsid w:val="00A34DBE"/>
    <w:rsid w:val="00A46C3D"/>
    <w:rsid w:val="00A70F0E"/>
    <w:rsid w:val="00A72781"/>
    <w:rsid w:val="00A7355E"/>
    <w:rsid w:val="00A82216"/>
    <w:rsid w:val="00A825DA"/>
    <w:rsid w:val="00A829BE"/>
    <w:rsid w:val="00A9149E"/>
    <w:rsid w:val="00A94D6E"/>
    <w:rsid w:val="00AA0FD6"/>
    <w:rsid w:val="00AC529F"/>
    <w:rsid w:val="00AC685D"/>
    <w:rsid w:val="00AE17CC"/>
    <w:rsid w:val="00AE3F1C"/>
    <w:rsid w:val="00AE662A"/>
    <w:rsid w:val="00AF1427"/>
    <w:rsid w:val="00AF7B14"/>
    <w:rsid w:val="00B02C62"/>
    <w:rsid w:val="00B05AC7"/>
    <w:rsid w:val="00B07CF7"/>
    <w:rsid w:val="00B358A3"/>
    <w:rsid w:val="00B375AA"/>
    <w:rsid w:val="00B56435"/>
    <w:rsid w:val="00B8122A"/>
    <w:rsid w:val="00B8702A"/>
    <w:rsid w:val="00B91409"/>
    <w:rsid w:val="00BA35AD"/>
    <w:rsid w:val="00BA4AB6"/>
    <w:rsid w:val="00BB0CE7"/>
    <w:rsid w:val="00BB1814"/>
    <w:rsid w:val="00BD4D41"/>
    <w:rsid w:val="00BE0519"/>
    <w:rsid w:val="00BF30DD"/>
    <w:rsid w:val="00C0555F"/>
    <w:rsid w:val="00C10FA1"/>
    <w:rsid w:val="00C1148C"/>
    <w:rsid w:val="00C20325"/>
    <w:rsid w:val="00C2231C"/>
    <w:rsid w:val="00C4353F"/>
    <w:rsid w:val="00C44FC3"/>
    <w:rsid w:val="00C50448"/>
    <w:rsid w:val="00C50725"/>
    <w:rsid w:val="00C5369F"/>
    <w:rsid w:val="00C743B5"/>
    <w:rsid w:val="00CA126D"/>
    <w:rsid w:val="00CA6C90"/>
    <w:rsid w:val="00CA71BF"/>
    <w:rsid w:val="00CC41C0"/>
    <w:rsid w:val="00CC65EA"/>
    <w:rsid w:val="00CD0799"/>
    <w:rsid w:val="00CE618D"/>
    <w:rsid w:val="00D00DD2"/>
    <w:rsid w:val="00D04FFA"/>
    <w:rsid w:val="00D079B0"/>
    <w:rsid w:val="00D36A78"/>
    <w:rsid w:val="00D37BF5"/>
    <w:rsid w:val="00D46DCD"/>
    <w:rsid w:val="00D528F9"/>
    <w:rsid w:val="00D549B7"/>
    <w:rsid w:val="00D64E32"/>
    <w:rsid w:val="00D663F5"/>
    <w:rsid w:val="00D85758"/>
    <w:rsid w:val="00D87FC5"/>
    <w:rsid w:val="00D948AE"/>
    <w:rsid w:val="00DA2D64"/>
    <w:rsid w:val="00DA31E8"/>
    <w:rsid w:val="00DA49A5"/>
    <w:rsid w:val="00DA5F32"/>
    <w:rsid w:val="00DC3B1E"/>
    <w:rsid w:val="00DC5314"/>
    <w:rsid w:val="00DE3E46"/>
    <w:rsid w:val="00DF6F83"/>
    <w:rsid w:val="00E11559"/>
    <w:rsid w:val="00E124F9"/>
    <w:rsid w:val="00E246FB"/>
    <w:rsid w:val="00E25F34"/>
    <w:rsid w:val="00E35604"/>
    <w:rsid w:val="00E37447"/>
    <w:rsid w:val="00E42E6F"/>
    <w:rsid w:val="00E439EB"/>
    <w:rsid w:val="00E45942"/>
    <w:rsid w:val="00E50F71"/>
    <w:rsid w:val="00E57275"/>
    <w:rsid w:val="00E574A2"/>
    <w:rsid w:val="00E91488"/>
    <w:rsid w:val="00EA1D8C"/>
    <w:rsid w:val="00EA3CEF"/>
    <w:rsid w:val="00EB6B0C"/>
    <w:rsid w:val="00EC5934"/>
    <w:rsid w:val="00EE4DF6"/>
    <w:rsid w:val="00EE546D"/>
    <w:rsid w:val="00EE655C"/>
    <w:rsid w:val="00EF5B1E"/>
    <w:rsid w:val="00F07AED"/>
    <w:rsid w:val="00F15270"/>
    <w:rsid w:val="00F24FDD"/>
    <w:rsid w:val="00F43B57"/>
    <w:rsid w:val="00F631AB"/>
    <w:rsid w:val="00F66B92"/>
    <w:rsid w:val="00F85BEA"/>
    <w:rsid w:val="00F871B4"/>
    <w:rsid w:val="00FA17F7"/>
    <w:rsid w:val="00FA1D2B"/>
    <w:rsid w:val="00FA5918"/>
    <w:rsid w:val="00FA5BE1"/>
    <w:rsid w:val="00FB25A4"/>
    <w:rsid w:val="00FC3394"/>
    <w:rsid w:val="00FC39E2"/>
    <w:rsid w:val="00FC63C3"/>
    <w:rsid w:val="00FD3793"/>
    <w:rsid w:val="00FE7C6A"/>
    <w:rsid w:val="00FF0FD0"/>
    <w:rsid w:val="00FF4465"/>
    <w:rsid w:val="00FF6FE5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87D4"/>
  <w15:docId w15:val="{8F769AC3-B1BC-4295-8992-9D8EE94E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60" w:after="60" w:line="240" w:lineRule="auto"/>
      <w:jc w:val="both"/>
    </w:pPr>
    <w:rPr>
      <w:rFonts w:ascii="Times New Roman" w:hAnsi="Times New Roman" w:cs="Times New Roman"/>
      <w:sz w:val="21"/>
    </w:rPr>
  </w:style>
  <w:style w:type="paragraph" w:styleId="berschrift1">
    <w:name w:val="heading 1"/>
    <w:basedOn w:val="Standard"/>
    <w:next w:val="Text"/>
    <w:link w:val="berschrift1Zchn"/>
    <w:uiPriority w:val="9"/>
    <w:qFormat/>
    <w:rsid w:val="0098296B"/>
    <w:pPr>
      <w:keepNext/>
      <w:spacing w:before="120"/>
      <w:jc w:val="center"/>
      <w:outlineLvl w:val="0"/>
    </w:pPr>
    <w:rPr>
      <w:rFonts w:eastAsiaTheme="majorEastAsia"/>
      <w:b/>
      <w:bCs/>
      <w:kern w:val="32"/>
      <w:szCs w:val="28"/>
    </w:rPr>
  </w:style>
  <w:style w:type="paragraph" w:styleId="berschrift2">
    <w:name w:val="heading 2"/>
    <w:basedOn w:val="Standard"/>
    <w:next w:val="Text"/>
    <w:link w:val="berschrift2Zchn"/>
    <w:uiPriority w:val="9"/>
    <w:semiHidden/>
    <w:unhideWhenUsed/>
    <w:qFormat/>
    <w:rsid w:val="0098296B"/>
    <w:pPr>
      <w:keepNext/>
      <w:spacing w:before="120"/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unhideWhenUsed/>
    <w:qFormat/>
    <w:rsid w:val="0098296B"/>
    <w:pPr>
      <w:keepNext/>
      <w:spacing w:before="120"/>
      <w:outlineLvl w:val="2"/>
    </w:pPr>
    <w:rPr>
      <w:rFonts w:eastAsiaTheme="majorEastAsia"/>
      <w:b/>
      <w:bCs/>
    </w:rPr>
  </w:style>
  <w:style w:type="paragraph" w:styleId="berschrift4">
    <w:name w:val="heading 4"/>
    <w:basedOn w:val="Standard"/>
    <w:next w:val="Text"/>
    <w:link w:val="berschrift4Zchn"/>
    <w:uiPriority w:val="9"/>
    <w:semiHidden/>
    <w:unhideWhenUsed/>
    <w:qFormat/>
    <w:rsid w:val="0098296B"/>
    <w:pPr>
      <w:keepNext/>
      <w:spacing w:before="120"/>
      <w:outlineLvl w:val="3"/>
    </w:pPr>
    <w:rPr>
      <w:rFonts w:eastAsiaTheme="majorEastAsia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kumentkopfTitel">
    <w:name w:val="Dokumentkopf Titel"/>
    <w:basedOn w:val="Standard"/>
    <w:link w:val="DokumentkopfTitelZchn"/>
    <w:qFormat/>
    <w:rsid w:val="002720FF"/>
    <w:pPr>
      <w:spacing w:before="0" w:after="360" w:line="360" w:lineRule="auto"/>
      <w:jc w:val="center"/>
      <w:outlineLvl w:val="0"/>
    </w:pPr>
    <w:rPr>
      <w:rFonts w:ascii="Arial Fett" w:eastAsia="Times New Roman" w:hAnsi="Arial Fett" w:cs="Arial"/>
      <w:b/>
      <w:spacing w:val="10"/>
      <w:sz w:val="30"/>
      <w:szCs w:val="30"/>
      <w:lang w:eastAsia="de-DE"/>
    </w:rPr>
  </w:style>
  <w:style w:type="paragraph" w:customStyle="1" w:styleId="DokumentkopfBezeichnung">
    <w:name w:val="Dokumentkopf Bezeichnung"/>
    <w:basedOn w:val="Standard"/>
    <w:link w:val="DokumentkopfBezeichnungZchn"/>
    <w:qFormat/>
    <w:rsid w:val="002720FF"/>
    <w:pPr>
      <w:spacing w:before="0" w:after="0" w:line="360" w:lineRule="auto"/>
      <w:outlineLvl w:val="1"/>
    </w:pPr>
    <w:rPr>
      <w:rFonts w:ascii="Arial" w:eastAsia="Times New Roman" w:hAnsi="Arial" w:cs="Arial"/>
      <w:b/>
      <w:noProof/>
      <w:sz w:val="26"/>
      <w:szCs w:val="26"/>
      <w:lang w:eastAsia="de-DE"/>
    </w:rPr>
  </w:style>
  <w:style w:type="character" w:customStyle="1" w:styleId="DokumentkopfTitelZchn">
    <w:name w:val="Dokumentkopf Titel Zchn"/>
    <w:link w:val="DokumentkopfTitel"/>
    <w:rsid w:val="002720FF"/>
    <w:rPr>
      <w:rFonts w:ascii="Arial Fett" w:eastAsia="Times New Roman" w:hAnsi="Arial Fett" w:cs="Arial"/>
      <w:b/>
      <w:spacing w:val="10"/>
      <w:sz w:val="30"/>
      <w:szCs w:val="30"/>
      <w:lang w:eastAsia="de-DE"/>
    </w:rPr>
  </w:style>
  <w:style w:type="character" w:customStyle="1" w:styleId="DokumentkopfBezeichnungZchn">
    <w:name w:val="Dokumentkopf Bezeichnung Zchn"/>
    <w:link w:val="DokumentkopfBezeichnung"/>
    <w:rsid w:val="002720FF"/>
    <w:rPr>
      <w:rFonts w:ascii="Arial" w:eastAsia="Times New Roman" w:hAnsi="Arial" w:cs="Arial"/>
      <w:b/>
      <w:noProof/>
      <w:sz w:val="26"/>
      <w:szCs w:val="26"/>
      <w:lang w:eastAsia="de-DE"/>
    </w:rPr>
  </w:style>
  <w:style w:type="paragraph" w:customStyle="1" w:styleId="NummerierungStufe1">
    <w:name w:val="Nummerierung (Stufe 1)"/>
    <w:basedOn w:val="Standard"/>
    <w:rsid w:val="00FC63C3"/>
    <w:pPr>
      <w:spacing w:before="120" w:after="120"/>
      <w:outlineLvl w:val="5"/>
    </w:pPr>
    <w:rPr>
      <w:rFonts w:ascii="Arial" w:hAnsi="Arial" w:cs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1D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1D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1D8C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D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D8C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D8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D8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C39E2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416421"/>
    <w:pPr>
      <w:spacing w:after="0" w:line="240" w:lineRule="auto"/>
    </w:pPr>
    <w:rPr>
      <w:rFonts w:ascii="Times New Roman" w:hAnsi="Times New Roman" w:cs="Times New Roman"/>
      <w:sz w:val="21"/>
    </w:rPr>
  </w:style>
  <w:style w:type="paragraph" w:customStyle="1" w:styleId="Begrndung">
    <w:name w:val="Begründung"/>
    <w:basedOn w:val="EinzelbegrndungTitel"/>
    <w:qFormat/>
    <w:rsid w:val="00FF6FE5"/>
  </w:style>
  <w:style w:type="paragraph" w:styleId="Fuzeile">
    <w:name w:val="footer"/>
    <w:basedOn w:val="Standard"/>
    <w:link w:val="FuzeileZchn"/>
    <w:uiPriority w:val="99"/>
    <w:unhideWhenUsed/>
    <w:rsid w:val="0098296B"/>
    <w:pPr>
      <w:tabs>
        <w:tab w:val="center" w:pos="4394"/>
        <w:tab w:val="right" w:pos="8787"/>
      </w:tabs>
      <w:spacing w:before="360"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98296B"/>
    <w:rPr>
      <w:rFonts w:ascii="Times New Roman" w:hAnsi="Times New Roman" w:cs="Times New Roman"/>
      <w:sz w:val="21"/>
      <w:shd w:val="clear" w:color="auto" w:fill="auto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8296B"/>
    <w:pPr>
      <w:spacing w:before="0" w:after="0"/>
      <w:ind w:left="720" w:hanging="72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8296B"/>
    <w:rPr>
      <w:rFonts w:ascii="Times New Roman" w:hAnsi="Times New Roman" w:cs="Times New Roman"/>
      <w:sz w:val="16"/>
      <w:szCs w:val="20"/>
      <w:shd w:val="clear" w:color="auto" w:fill="auto"/>
    </w:rPr>
  </w:style>
  <w:style w:type="paragraph" w:customStyle="1" w:styleId="ListeStufe1">
    <w:name w:val="Liste (Stufe 1)"/>
    <w:basedOn w:val="Standard"/>
    <w:rsid w:val="0098296B"/>
    <w:pPr>
      <w:numPr>
        <w:numId w:val="19"/>
      </w:numPr>
      <w:tabs>
        <w:tab w:val="left" w:pos="0"/>
      </w:tabs>
    </w:pPr>
  </w:style>
  <w:style w:type="paragraph" w:customStyle="1" w:styleId="ListeFolgeabsatzStufe1">
    <w:name w:val="Liste Folgeabsatz (Stufe 1)"/>
    <w:basedOn w:val="Standard"/>
    <w:rsid w:val="0098296B"/>
    <w:pPr>
      <w:numPr>
        <w:ilvl w:val="1"/>
        <w:numId w:val="19"/>
      </w:numPr>
    </w:pPr>
  </w:style>
  <w:style w:type="paragraph" w:customStyle="1" w:styleId="ListeStufe2">
    <w:name w:val="Liste (Stufe 2)"/>
    <w:basedOn w:val="Standard"/>
    <w:rsid w:val="0098296B"/>
    <w:pPr>
      <w:numPr>
        <w:ilvl w:val="2"/>
        <w:numId w:val="19"/>
      </w:numPr>
    </w:pPr>
  </w:style>
  <w:style w:type="paragraph" w:customStyle="1" w:styleId="ListeFolgeabsatzStufe2">
    <w:name w:val="Liste Folgeabsatz (Stufe 2)"/>
    <w:basedOn w:val="Standard"/>
    <w:rsid w:val="0098296B"/>
    <w:pPr>
      <w:numPr>
        <w:ilvl w:val="3"/>
        <w:numId w:val="19"/>
      </w:numPr>
    </w:pPr>
  </w:style>
  <w:style w:type="paragraph" w:customStyle="1" w:styleId="ListeStufe3">
    <w:name w:val="Liste (Stufe 3)"/>
    <w:basedOn w:val="Standard"/>
    <w:rsid w:val="0098296B"/>
    <w:pPr>
      <w:numPr>
        <w:ilvl w:val="4"/>
        <w:numId w:val="19"/>
      </w:numPr>
    </w:pPr>
  </w:style>
  <w:style w:type="paragraph" w:customStyle="1" w:styleId="ListeFolgeabsatzStufe3">
    <w:name w:val="Liste Folgeabsatz (Stufe 3)"/>
    <w:basedOn w:val="Standard"/>
    <w:rsid w:val="0098296B"/>
    <w:pPr>
      <w:numPr>
        <w:ilvl w:val="5"/>
        <w:numId w:val="19"/>
      </w:numPr>
    </w:pPr>
  </w:style>
  <w:style w:type="paragraph" w:customStyle="1" w:styleId="ListeStufe4">
    <w:name w:val="Liste (Stufe 4)"/>
    <w:basedOn w:val="Standard"/>
    <w:rsid w:val="0098296B"/>
    <w:pPr>
      <w:numPr>
        <w:ilvl w:val="6"/>
        <w:numId w:val="19"/>
      </w:numPr>
    </w:pPr>
  </w:style>
  <w:style w:type="paragraph" w:customStyle="1" w:styleId="ListeFolgeabsatzStufe4">
    <w:name w:val="Liste Folgeabsatz (Stufe 4)"/>
    <w:basedOn w:val="Standard"/>
    <w:rsid w:val="0098296B"/>
    <w:pPr>
      <w:numPr>
        <w:ilvl w:val="7"/>
        <w:numId w:val="19"/>
      </w:numPr>
    </w:pPr>
  </w:style>
  <w:style w:type="paragraph" w:customStyle="1" w:styleId="ListeStufe1manuell">
    <w:name w:val="Liste (Stufe 1) (manuell)"/>
    <w:basedOn w:val="Standard"/>
    <w:rsid w:val="0098296B"/>
    <w:pPr>
      <w:tabs>
        <w:tab w:val="left" w:pos="425"/>
      </w:tabs>
      <w:ind w:left="425" w:hanging="425"/>
    </w:pPr>
  </w:style>
  <w:style w:type="paragraph" w:customStyle="1" w:styleId="ListeStufe2manuell">
    <w:name w:val="Liste (Stufe 2) (manuell)"/>
    <w:basedOn w:val="Standard"/>
    <w:rsid w:val="0098296B"/>
    <w:pPr>
      <w:tabs>
        <w:tab w:val="left" w:pos="850"/>
      </w:tabs>
      <w:ind w:left="850" w:hanging="425"/>
    </w:pPr>
  </w:style>
  <w:style w:type="paragraph" w:customStyle="1" w:styleId="ListeStufe3manuell">
    <w:name w:val="Liste (Stufe 3) (manuell)"/>
    <w:basedOn w:val="Standard"/>
    <w:rsid w:val="0098296B"/>
    <w:pPr>
      <w:tabs>
        <w:tab w:val="left" w:pos="1276"/>
      </w:tabs>
      <w:ind w:left="1276" w:hanging="425"/>
    </w:pPr>
  </w:style>
  <w:style w:type="paragraph" w:customStyle="1" w:styleId="ListeStufe4manuell">
    <w:name w:val="Liste (Stufe 4) (manuell)"/>
    <w:basedOn w:val="Standard"/>
    <w:next w:val="ListeStufe1manuell"/>
    <w:rsid w:val="0098296B"/>
    <w:pPr>
      <w:tabs>
        <w:tab w:val="left" w:pos="1984"/>
      </w:tabs>
      <w:ind w:left="1984" w:hanging="709"/>
    </w:pPr>
  </w:style>
  <w:style w:type="paragraph" w:customStyle="1" w:styleId="AufzhlungStufe1">
    <w:name w:val="Aufzählung (Stufe 1)"/>
    <w:basedOn w:val="Standard"/>
    <w:rsid w:val="0098296B"/>
    <w:pPr>
      <w:numPr>
        <w:numId w:val="20"/>
      </w:numPr>
      <w:tabs>
        <w:tab w:val="left" w:pos="0"/>
      </w:tabs>
    </w:pPr>
  </w:style>
  <w:style w:type="paragraph" w:customStyle="1" w:styleId="AufzhlungFolgeabsatzStufe1">
    <w:name w:val="Aufzählung Folgeabsatz (Stufe 1)"/>
    <w:basedOn w:val="Standard"/>
    <w:rsid w:val="0098296B"/>
    <w:pPr>
      <w:tabs>
        <w:tab w:val="left" w:pos="425"/>
      </w:tabs>
      <w:ind w:left="425"/>
    </w:pPr>
  </w:style>
  <w:style w:type="paragraph" w:customStyle="1" w:styleId="AufzhlungStufe2">
    <w:name w:val="Aufzählung (Stufe 2)"/>
    <w:basedOn w:val="Standard"/>
    <w:rsid w:val="0098296B"/>
    <w:pPr>
      <w:numPr>
        <w:numId w:val="21"/>
      </w:numPr>
      <w:tabs>
        <w:tab w:val="left" w:pos="425"/>
      </w:tabs>
    </w:pPr>
  </w:style>
  <w:style w:type="paragraph" w:customStyle="1" w:styleId="AufzhlungFolgeabsatzStufe2">
    <w:name w:val="Aufzählung Folgeabsatz (Stufe 2)"/>
    <w:basedOn w:val="Standard"/>
    <w:rsid w:val="0098296B"/>
    <w:pPr>
      <w:tabs>
        <w:tab w:val="left" w:pos="794"/>
      </w:tabs>
      <w:ind w:left="850"/>
    </w:pPr>
  </w:style>
  <w:style w:type="paragraph" w:customStyle="1" w:styleId="AufzhlungStufe3">
    <w:name w:val="Aufzählung (Stufe 3)"/>
    <w:basedOn w:val="Standard"/>
    <w:rsid w:val="0098296B"/>
    <w:pPr>
      <w:numPr>
        <w:numId w:val="22"/>
      </w:numPr>
      <w:tabs>
        <w:tab w:val="left" w:pos="850"/>
      </w:tabs>
    </w:pPr>
  </w:style>
  <w:style w:type="paragraph" w:customStyle="1" w:styleId="AufzhlungFolgeabsatzStufe3">
    <w:name w:val="Aufzählung Folgeabsatz (Stufe 3)"/>
    <w:basedOn w:val="Standard"/>
    <w:rsid w:val="0098296B"/>
    <w:pPr>
      <w:tabs>
        <w:tab w:val="left" w:pos="1276"/>
      </w:tabs>
      <w:ind w:left="1276"/>
    </w:pPr>
  </w:style>
  <w:style w:type="paragraph" w:customStyle="1" w:styleId="AufzhlungStufe4">
    <w:name w:val="Aufzählung (Stufe 4)"/>
    <w:basedOn w:val="Standard"/>
    <w:rsid w:val="0098296B"/>
    <w:pPr>
      <w:numPr>
        <w:numId w:val="23"/>
      </w:numPr>
      <w:tabs>
        <w:tab w:val="left" w:pos="1276"/>
      </w:tabs>
    </w:pPr>
  </w:style>
  <w:style w:type="paragraph" w:customStyle="1" w:styleId="AufzhlungFolgeabsatzStufe4">
    <w:name w:val="Aufzählung Folgeabsatz (Stufe 4)"/>
    <w:basedOn w:val="Standard"/>
    <w:rsid w:val="0098296B"/>
    <w:pPr>
      <w:tabs>
        <w:tab w:val="left" w:pos="1701"/>
      </w:tabs>
      <w:ind w:left="1701"/>
    </w:pPr>
  </w:style>
  <w:style w:type="paragraph" w:customStyle="1" w:styleId="AufzhlungStufe5">
    <w:name w:val="Aufzählung (Stufe 5)"/>
    <w:basedOn w:val="Standard"/>
    <w:rsid w:val="0098296B"/>
    <w:pPr>
      <w:numPr>
        <w:numId w:val="24"/>
      </w:numPr>
      <w:tabs>
        <w:tab w:val="left" w:pos="1701"/>
      </w:tabs>
    </w:pPr>
  </w:style>
  <w:style w:type="paragraph" w:customStyle="1" w:styleId="AufzhlungFolgeabsatzStufe5">
    <w:name w:val="Aufzählung Folgeabsatz (Stufe 5)"/>
    <w:basedOn w:val="Standard"/>
    <w:rsid w:val="0098296B"/>
    <w:pPr>
      <w:tabs>
        <w:tab w:val="left" w:pos="2126"/>
      </w:tabs>
      <w:ind w:left="2126"/>
    </w:pPr>
  </w:style>
  <w:style w:type="paragraph" w:customStyle="1" w:styleId="Formel">
    <w:name w:val="Formel"/>
    <w:basedOn w:val="Standard"/>
    <w:rsid w:val="0098296B"/>
    <w:pPr>
      <w:spacing w:before="240" w:after="240"/>
      <w:jc w:val="center"/>
    </w:pPr>
  </w:style>
  <w:style w:type="paragraph" w:customStyle="1" w:styleId="Grafik">
    <w:name w:val="Grafik"/>
    <w:basedOn w:val="Standard"/>
    <w:rsid w:val="0098296B"/>
    <w:pPr>
      <w:spacing w:before="240" w:after="240"/>
      <w:jc w:val="center"/>
    </w:pPr>
  </w:style>
  <w:style w:type="paragraph" w:customStyle="1" w:styleId="Text">
    <w:name w:val="Text"/>
    <w:basedOn w:val="Standard"/>
    <w:rsid w:val="0098296B"/>
  </w:style>
  <w:style w:type="paragraph" w:customStyle="1" w:styleId="TabelleTitel">
    <w:name w:val="Tabelle Titel"/>
    <w:basedOn w:val="Standard"/>
    <w:rsid w:val="0098296B"/>
    <w:pPr>
      <w:spacing w:before="240"/>
      <w:jc w:val="center"/>
    </w:pPr>
  </w:style>
  <w:style w:type="paragraph" w:customStyle="1" w:styleId="Tabelleberschrift">
    <w:name w:val="Tabelle Überschrift"/>
    <w:basedOn w:val="Standard"/>
    <w:next w:val="TabelleText"/>
    <w:rsid w:val="0098296B"/>
    <w:rPr>
      <w:b/>
      <w:sz w:val="16"/>
    </w:rPr>
  </w:style>
  <w:style w:type="paragraph" w:customStyle="1" w:styleId="TabelleText">
    <w:name w:val="Tabelle Text"/>
    <w:basedOn w:val="Standard"/>
    <w:rsid w:val="0098296B"/>
    <w:rPr>
      <w:sz w:val="16"/>
    </w:rPr>
  </w:style>
  <w:style w:type="paragraph" w:customStyle="1" w:styleId="TabelleAufzhlung">
    <w:name w:val="Tabelle Aufzählung"/>
    <w:basedOn w:val="Standard"/>
    <w:rsid w:val="0098296B"/>
    <w:pPr>
      <w:numPr>
        <w:numId w:val="25"/>
      </w:numPr>
    </w:pPr>
    <w:rPr>
      <w:sz w:val="16"/>
    </w:rPr>
  </w:style>
  <w:style w:type="paragraph" w:customStyle="1" w:styleId="TabelleListe">
    <w:name w:val="Tabelle Liste"/>
    <w:basedOn w:val="Standard"/>
    <w:rsid w:val="0098296B"/>
    <w:pPr>
      <w:numPr>
        <w:numId w:val="26"/>
      </w:numPr>
    </w:pPr>
    <w:rPr>
      <w:sz w:val="16"/>
    </w:rPr>
  </w:style>
  <w:style w:type="character" w:customStyle="1" w:styleId="Binnenverweis">
    <w:name w:val="Binnenverweis"/>
    <w:basedOn w:val="Absatz-Standardschriftart"/>
    <w:rsid w:val="0098296B"/>
    <w:rPr>
      <w:noProof/>
      <w:u w:val="none"/>
      <w:shd w:val="clear" w:color="auto" w:fill="E0E0E0"/>
    </w:rPr>
  </w:style>
  <w:style w:type="character" w:customStyle="1" w:styleId="Einzelverweisziel">
    <w:name w:val="Einzelverweisziel"/>
    <w:basedOn w:val="Absatz-Standardschriftart"/>
    <w:rsid w:val="0098296B"/>
    <w:rPr>
      <w:shd w:val="clear" w:color="auto" w:fill="F3F3F3"/>
    </w:rPr>
  </w:style>
  <w:style w:type="character" w:customStyle="1" w:styleId="Verweis">
    <w:name w:val="Verweis"/>
    <w:basedOn w:val="Absatz-Standardschriftart"/>
    <w:rsid w:val="0098296B"/>
    <w:rPr>
      <w:color w:val="000080"/>
      <w:shd w:val="clear" w:color="auto" w:fill="auto"/>
    </w:rPr>
  </w:style>
  <w:style w:type="character" w:customStyle="1" w:styleId="VerweisBezugsstelle">
    <w:name w:val="Verweis Bezugsstelle"/>
    <w:basedOn w:val="Absatz-Standardschriftart"/>
    <w:rsid w:val="0098296B"/>
    <w:rPr>
      <w:color w:val="000080"/>
      <w:shd w:val="clear" w:color="auto" w:fill="auto"/>
    </w:rPr>
  </w:style>
  <w:style w:type="paragraph" w:styleId="Kopfzeile">
    <w:name w:val="header"/>
    <w:basedOn w:val="Standard"/>
    <w:link w:val="KopfzeileZchn"/>
    <w:uiPriority w:val="99"/>
    <w:unhideWhenUsed/>
    <w:rsid w:val="0098296B"/>
    <w:pPr>
      <w:framePr w:w="9468" w:wrap="notBeside" w:vAnchor="page" w:hAnchor="margin" w:y="1178"/>
      <w:pBdr>
        <w:bottom w:val="single" w:sz="4" w:space="0" w:color="000000"/>
      </w:pBdr>
      <w:tabs>
        <w:tab w:val="center" w:pos="4734"/>
        <w:tab w:val="right" w:pos="9468"/>
      </w:tabs>
      <w:spacing w:before="80" w:after="80"/>
    </w:pPr>
  </w:style>
  <w:style w:type="character" w:customStyle="1" w:styleId="KopfzeileZchn">
    <w:name w:val="Kopfzeile Zchn"/>
    <w:basedOn w:val="Absatz-Standardschriftart"/>
    <w:link w:val="Kopfzeile"/>
    <w:uiPriority w:val="99"/>
    <w:rsid w:val="0098296B"/>
    <w:rPr>
      <w:rFonts w:ascii="Times New Roman" w:hAnsi="Times New Roman" w:cs="Times New Roman"/>
      <w:sz w:val="21"/>
      <w:shd w:val="clear" w:color="auto" w:fill="auto"/>
    </w:rPr>
  </w:style>
  <w:style w:type="character" w:styleId="Funotenzeichen">
    <w:name w:val="footnote reference"/>
    <w:basedOn w:val="Absatz-Standardschriftart"/>
    <w:uiPriority w:val="99"/>
    <w:semiHidden/>
    <w:unhideWhenUsed/>
    <w:rsid w:val="0098296B"/>
    <w:rPr>
      <w:shd w:val="clear" w:color="auto" w:fill="auto"/>
      <w:vertAlign w:val="superscript"/>
    </w:rPr>
  </w:style>
  <w:style w:type="character" w:customStyle="1" w:styleId="Marker">
    <w:name w:val="Marker"/>
    <w:basedOn w:val="Absatz-Standardschriftart"/>
    <w:rsid w:val="0098296B"/>
    <w:rPr>
      <w:color w:val="0000FF"/>
      <w:shd w:val="clear" w:color="auto" w:fill="auto"/>
    </w:rPr>
  </w:style>
  <w:style w:type="character" w:customStyle="1" w:styleId="Marker1">
    <w:name w:val="Marker1"/>
    <w:basedOn w:val="Absatz-Standardschriftart"/>
    <w:rsid w:val="0098296B"/>
    <w:rPr>
      <w:color w:val="008000"/>
      <w:shd w:val="clear" w:color="auto" w:fill="auto"/>
    </w:rPr>
  </w:style>
  <w:style w:type="character" w:customStyle="1" w:styleId="Marker2">
    <w:name w:val="Marker2"/>
    <w:basedOn w:val="Absatz-Standardschriftart"/>
    <w:rsid w:val="0098296B"/>
    <w:rPr>
      <w:color w:val="FF0000"/>
      <w:shd w:val="clear" w:color="auto" w:fill="auto"/>
    </w:rPr>
  </w:style>
  <w:style w:type="paragraph" w:customStyle="1" w:styleId="Hinweistext">
    <w:name w:val="Hinweistext"/>
    <w:basedOn w:val="Standard"/>
    <w:next w:val="Text"/>
    <w:rsid w:val="0098296B"/>
    <w:rPr>
      <w:color w:val="008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296B"/>
    <w:rPr>
      <w:rFonts w:ascii="Times New Roman" w:eastAsiaTheme="majorEastAsia" w:hAnsi="Times New Roman" w:cs="Times New Roman"/>
      <w:b/>
      <w:bCs/>
      <w:kern w:val="32"/>
      <w:sz w:val="21"/>
      <w:szCs w:val="28"/>
      <w:shd w:val="clear" w:color="auto" w:fill="auto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296B"/>
    <w:rPr>
      <w:rFonts w:ascii="Times New Roman" w:eastAsiaTheme="majorEastAsia" w:hAnsi="Times New Roman" w:cs="Times New Roman"/>
      <w:b/>
      <w:bCs/>
      <w:sz w:val="21"/>
      <w:szCs w:val="26"/>
      <w:shd w:val="clear" w:color="auto" w:fil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296B"/>
    <w:rPr>
      <w:rFonts w:ascii="Times New Roman" w:eastAsiaTheme="majorEastAsia" w:hAnsi="Times New Roman" w:cs="Times New Roman"/>
      <w:b/>
      <w:bCs/>
      <w:sz w:val="21"/>
      <w:shd w:val="clear" w:color="auto" w:fill="auto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296B"/>
    <w:rPr>
      <w:rFonts w:ascii="Times New Roman" w:eastAsiaTheme="majorEastAsia" w:hAnsi="Times New Roman" w:cs="Times New Roman"/>
      <w:bCs/>
      <w:iCs/>
      <w:sz w:val="21"/>
      <w:shd w:val="clear" w:color="auto" w:fill="auto"/>
    </w:rPr>
  </w:style>
  <w:style w:type="paragraph" w:customStyle="1" w:styleId="RevisionJuristischerAbsatz">
    <w:name w:val="Revision Juristischer Absatz"/>
    <w:basedOn w:val="Standard"/>
    <w:rsid w:val="0098296B"/>
    <w:pPr>
      <w:numPr>
        <w:ilvl w:val="2"/>
        <w:numId w:val="27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Standard"/>
    <w:rsid w:val="0098296B"/>
    <w:pPr>
      <w:tabs>
        <w:tab w:val="left" w:pos="850"/>
      </w:tabs>
      <w:ind w:firstLine="425"/>
    </w:pPr>
    <w:rPr>
      <w:color w:val="800000"/>
    </w:rPr>
  </w:style>
  <w:style w:type="paragraph" w:customStyle="1" w:styleId="RevisionJuristischerAbsatzFolgeabsatz">
    <w:name w:val="Revision Juristischer Absatz Folgeabsatz"/>
    <w:basedOn w:val="Standard"/>
    <w:rsid w:val="0098296B"/>
    <w:rPr>
      <w:color w:val="800000"/>
    </w:rPr>
  </w:style>
  <w:style w:type="paragraph" w:customStyle="1" w:styleId="RevisionNummerierungStufe1manuell">
    <w:name w:val="Revision Nummerierung (Stufe 1) (manuell)"/>
    <w:basedOn w:val="Standard"/>
    <w:rsid w:val="0098296B"/>
    <w:pPr>
      <w:tabs>
        <w:tab w:val="left" w:pos="425"/>
      </w:tabs>
      <w:ind w:left="425" w:hanging="425"/>
    </w:pPr>
    <w:rPr>
      <w:color w:val="800000"/>
    </w:rPr>
  </w:style>
  <w:style w:type="paragraph" w:customStyle="1" w:styleId="RevisionNummerierungFolgeabsatzStufe1">
    <w:name w:val="Revision Nummerierung Folgeabsatz (Stufe 1)"/>
    <w:basedOn w:val="Standard"/>
    <w:rsid w:val="0098296B"/>
    <w:pPr>
      <w:ind w:left="425"/>
    </w:pPr>
    <w:rPr>
      <w:color w:val="800000"/>
    </w:rPr>
  </w:style>
  <w:style w:type="paragraph" w:customStyle="1" w:styleId="RevisionNummerierungStufe2manuell">
    <w:name w:val="Revision Nummerierung (Stufe 2) (manuell)"/>
    <w:basedOn w:val="Standard"/>
    <w:rsid w:val="0098296B"/>
    <w:pPr>
      <w:tabs>
        <w:tab w:val="left" w:pos="850"/>
      </w:tabs>
      <w:ind w:left="850" w:hanging="425"/>
    </w:pPr>
    <w:rPr>
      <w:color w:val="800000"/>
    </w:rPr>
  </w:style>
  <w:style w:type="paragraph" w:customStyle="1" w:styleId="RevisionNummerierungFolgeabsatzStufe2">
    <w:name w:val="Revision Nummerierung Folgeabsatz (Stufe 2)"/>
    <w:basedOn w:val="Standard"/>
    <w:rsid w:val="0098296B"/>
    <w:pPr>
      <w:ind w:left="850"/>
    </w:pPr>
    <w:rPr>
      <w:color w:val="800000"/>
    </w:rPr>
  </w:style>
  <w:style w:type="paragraph" w:customStyle="1" w:styleId="RevisionNummerierungStufe3manuell">
    <w:name w:val="Revision Nummerierung (Stufe 3) (manuell)"/>
    <w:basedOn w:val="Standard"/>
    <w:rsid w:val="0098296B"/>
    <w:pPr>
      <w:tabs>
        <w:tab w:val="left" w:pos="1276"/>
      </w:tabs>
      <w:ind w:left="1276" w:hanging="425"/>
    </w:pPr>
    <w:rPr>
      <w:color w:val="800000"/>
    </w:rPr>
  </w:style>
  <w:style w:type="paragraph" w:customStyle="1" w:styleId="RevisionNummerierungFolgeabsatzStufe3">
    <w:name w:val="Revision Nummerierung Folgeabsatz (Stufe 3)"/>
    <w:basedOn w:val="Standard"/>
    <w:rsid w:val="0098296B"/>
    <w:pPr>
      <w:ind w:left="1276"/>
    </w:pPr>
    <w:rPr>
      <w:color w:val="800000"/>
    </w:rPr>
  </w:style>
  <w:style w:type="paragraph" w:customStyle="1" w:styleId="RevisionNummerierungStufe4manuell">
    <w:name w:val="Revision Nummerierung (Stufe 4) (manuell)"/>
    <w:basedOn w:val="Standard"/>
    <w:rsid w:val="0098296B"/>
    <w:pPr>
      <w:tabs>
        <w:tab w:val="left" w:pos="1701"/>
      </w:tabs>
      <w:ind w:left="1984" w:hanging="709"/>
    </w:pPr>
    <w:rPr>
      <w:color w:val="800000"/>
    </w:rPr>
  </w:style>
  <w:style w:type="paragraph" w:customStyle="1" w:styleId="RevisionNummerierungFolgeabsatzStufe4">
    <w:name w:val="Revision Nummerierung Folgeabsatz (Stufe 4)"/>
    <w:basedOn w:val="Standard"/>
    <w:rsid w:val="0098296B"/>
    <w:pPr>
      <w:ind w:left="1984"/>
    </w:pPr>
    <w:rPr>
      <w:color w:val="800000"/>
    </w:rPr>
  </w:style>
  <w:style w:type="paragraph" w:customStyle="1" w:styleId="RevisionNummerierungStufe1">
    <w:name w:val="Revision Nummerierung (Stufe 1)"/>
    <w:basedOn w:val="Standard"/>
    <w:rsid w:val="0098296B"/>
    <w:pPr>
      <w:numPr>
        <w:ilvl w:val="3"/>
        <w:numId w:val="27"/>
      </w:numPr>
    </w:pPr>
    <w:rPr>
      <w:color w:val="800000"/>
    </w:rPr>
  </w:style>
  <w:style w:type="paragraph" w:customStyle="1" w:styleId="RevisionNummerierungStufe2">
    <w:name w:val="Revision Nummerierung (Stufe 2)"/>
    <w:basedOn w:val="Standard"/>
    <w:rsid w:val="0098296B"/>
    <w:pPr>
      <w:numPr>
        <w:ilvl w:val="4"/>
        <w:numId w:val="27"/>
      </w:numPr>
    </w:pPr>
    <w:rPr>
      <w:color w:val="800000"/>
    </w:rPr>
  </w:style>
  <w:style w:type="paragraph" w:customStyle="1" w:styleId="RevisionNummerierungStufe3">
    <w:name w:val="Revision Nummerierung (Stufe 3)"/>
    <w:basedOn w:val="Standard"/>
    <w:rsid w:val="0098296B"/>
    <w:pPr>
      <w:numPr>
        <w:ilvl w:val="5"/>
        <w:numId w:val="27"/>
      </w:numPr>
    </w:pPr>
    <w:rPr>
      <w:color w:val="800000"/>
    </w:rPr>
  </w:style>
  <w:style w:type="paragraph" w:customStyle="1" w:styleId="RevisionNummerierungStufe4">
    <w:name w:val="Revision Nummerierung (Stufe 4)"/>
    <w:basedOn w:val="Standard"/>
    <w:rsid w:val="0098296B"/>
    <w:pPr>
      <w:numPr>
        <w:ilvl w:val="6"/>
        <w:numId w:val="27"/>
      </w:numPr>
    </w:pPr>
    <w:rPr>
      <w:color w:val="800000"/>
    </w:rPr>
  </w:style>
  <w:style w:type="character" w:customStyle="1" w:styleId="RevisionText">
    <w:name w:val="Revision Text"/>
    <w:basedOn w:val="Absatz-Standardschriftart"/>
    <w:rsid w:val="0098296B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Standard"/>
    <w:next w:val="RevisionParagraphberschrift"/>
    <w:rsid w:val="0098296B"/>
    <w:pPr>
      <w:keepNext/>
      <w:numPr>
        <w:ilvl w:val="1"/>
        <w:numId w:val="27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Standard"/>
    <w:next w:val="RevisionParagraph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Standard"/>
    <w:next w:val="RevisionJuristischerAbsatz"/>
    <w:rsid w:val="0098296B"/>
    <w:pPr>
      <w:keepNext/>
      <w:jc w:val="center"/>
    </w:pPr>
    <w:rPr>
      <w:color w:val="800000"/>
    </w:rPr>
  </w:style>
  <w:style w:type="paragraph" w:customStyle="1" w:styleId="RevisionBuchBezeichner">
    <w:name w:val="Revision Buch Bezeichner"/>
    <w:basedOn w:val="Standard"/>
    <w:next w:val="RevisionBuch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Buchberschrift">
    <w:name w:val="Revision Buch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TeilBezeichner">
    <w:name w:val="Revision Teil Bezeichner"/>
    <w:basedOn w:val="Standard"/>
    <w:next w:val="RevisionTeil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Teilberschrift">
    <w:name w:val="Revision Tei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KapitelBezeichner">
    <w:name w:val="Revision Kapitel Bezeichner"/>
    <w:basedOn w:val="Standard"/>
    <w:next w:val="RevisionKapitel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Kapitelberschrift">
    <w:name w:val="Revision Kap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AbschnittBezeichner">
    <w:name w:val="Revision Abschnitt Bezeichner"/>
    <w:basedOn w:val="Standard"/>
    <w:next w:val="RevisionAbschnitt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Abschnittberschrift">
    <w:name w:val="Revision Abschnitt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UnterabschnittBezeichner">
    <w:name w:val="Revision Unterabschnitt Bezeichner"/>
    <w:basedOn w:val="Standard"/>
    <w:next w:val="RevisionUnterabschnitt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Unterabschnittberschrift">
    <w:name w:val="Revision Unterabschnitt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TitelBezeichner">
    <w:name w:val="Revision Titel Bezeichner"/>
    <w:basedOn w:val="Standard"/>
    <w:next w:val="RevisionTitel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Titelberschrift">
    <w:name w:val="Revision T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UntertitelBezeichner">
    <w:name w:val="Revision Untertitel Bezeichner"/>
    <w:basedOn w:val="Standard"/>
    <w:next w:val="RevisionUntertitel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Untertitelberschrift">
    <w:name w:val="Revision Untert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ArtikelBezeichnermanuell">
    <w:name w:val="Revision Artikel Bezeichner (manuell)"/>
    <w:basedOn w:val="Standard"/>
    <w:next w:val="RevisionArtikelberschrift"/>
    <w:rsid w:val="0098296B"/>
    <w:pPr>
      <w:keepNext/>
      <w:spacing w:before="480" w:after="240"/>
      <w:jc w:val="center"/>
    </w:pPr>
    <w:rPr>
      <w:color w:val="800000"/>
      <w:sz w:val="22"/>
    </w:rPr>
  </w:style>
  <w:style w:type="paragraph" w:customStyle="1" w:styleId="RevisionArtikelBezeichner">
    <w:name w:val="Revision Artikel Bezeichner"/>
    <w:basedOn w:val="Standard"/>
    <w:next w:val="RevisionArtikelberschrift"/>
    <w:rsid w:val="0098296B"/>
    <w:pPr>
      <w:keepNext/>
      <w:numPr>
        <w:numId w:val="27"/>
      </w:numPr>
      <w:spacing w:before="480" w:after="240"/>
      <w:jc w:val="center"/>
    </w:pPr>
    <w:rPr>
      <w:color w:val="800000"/>
      <w:sz w:val="22"/>
    </w:rPr>
  </w:style>
  <w:style w:type="paragraph" w:customStyle="1" w:styleId="RevisionArtikelberschrift">
    <w:name w:val="Revision Artikel Überschrift"/>
    <w:basedOn w:val="Standard"/>
    <w:next w:val="RevisionJuristischerAbsatz"/>
    <w:rsid w:val="0098296B"/>
    <w:pPr>
      <w:keepNext/>
      <w:spacing w:after="240"/>
      <w:jc w:val="center"/>
    </w:pPr>
    <w:rPr>
      <w:color w:val="800000"/>
      <w:sz w:val="22"/>
    </w:rPr>
  </w:style>
  <w:style w:type="paragraph" w:customStyle="1" w:styleId="RevisionBezeichnungStammdokument">
    <w:name w:val="Revision Bezeichnung (Stammdokument)"/>
    <w:basedOn w:val="Standard"/>
    <w:next w:val="RevisionKurzbezeichnung-AbkrzungStammdokument"/>
    <w:rsid w:val="0098296B"/>
    <w:pPr>
      <w:spacing w:after="120"/>
      <w:jc w:val="center"/>
    </w:pPr>
    <w:rPr>
      <w:rFonts w:ascii="Arial" w:hAnsi="Arial" w:cs="Arial"/>
      <w:color w:val="800000"/>
      <w:sz w:val="24"/>
    </w:rPr>
  </w:style>
  <w:style w:type="paragraph" w:customStyle="1" w:styleId="RevisionKurzbezeichnung-AbkrzungStammdokument">
    <w:name w:val="Revision Kurzbezeichnung - Abkürzung (Stammdokument)"/>
    <w:basedOn w:val="Standard"/>
    <w:rsid w:val="0098296B"/>
    <w:pPr>
      <w:jc w:val="center"/>
    </w:pPr>
    <w:rPr>
      <w:rFonts w:ascii="Arial" w:hAnsi="Arial" w:cs="Arial"/>
      <w:color w:val="800000"/>
      <w:sz w:val="24"/>
    </w:rPr>
  </w:style>
  <w:style w:type="paragraph" w:customStyle="1" w:styleId="RevisionEingangsformelStandardStammdokument">
    <w:name w:val="Revision Eingangsformel Standard (Stammdokument)"/>
    <w:basedOn w:val="Standard"/>
    <w:rsid w:val="0098296B"/>
    <w:pPr>
      <w:ind w:firstLine="425"/>
    </w:pPr>
    <w:rPr>
      <w:color w:val="800000"/>
    </w:rPr>
  </w:style>
  <w:style w:type="paragraph" w:customStyle="1" w:styleId="RevisionEingangsformelAufzhlungStammdokument">
    <w:name w:val="Revision Eingangsformel Aufzählung (Stammdokument)"/>
    <w:basedOn w:val="Standard"/>
    <w:rsid w:val="0098296B"/>
    <w:pPr>
      <w:numPr>
        <w:numId w:val="34"/>
      </w:numPr>
    </w:pPr>
    <w:rPr>
      <w:color w:val="800000"/>
    </w:rPr>
  </w:style>
  <w:style w:type="paragraph" w:customStyle="1" w:styleId="RevisionVerzeichnisTitelStammdokument">
    <w:name w:val="Revision Verzeichnis Titel (Stammdokument)"/>
    <w:basedOn w:val="Standard"/>
    <w:next w:val="RevisionVerzeichnis2"/>
    <w:rsid w:val="0098296B"/>
    <w:pPr>
      <w:spacing w:before="180"/>
      <w:jc w:val="center"/>
    </w:pPr>
    <w:rPr>
      <w:color w:val="800000"/>
    </w:rPr>
  </w:style>
  <w:style w:type="paragraph" w:customStyle="1" w:styleId="RevisionVerzeichnis1">
    <w:name w:val="Revision Verzeichnis 1"/>
    <w:basedOn w:val="Standard"/>
    <w:rsid w:val="0098296B"/>
    <w:pPr>
      <w:tabs>
        <w:tab w:val="left" w:pos="1134"/>
      </w:tabs>
      <w:ind w:left="1134" w:hanging="1134"/>
    </w:pPr>
    <w:rPr>
      <w:color w:val="800000"/>
    </w:rPr>
  </w:style>
  <w:style w:type="paragraph" w:customStyle="1" w:styleId="RevisionVerzeichnis2">
    <w:name w:val="Revision Verzeichnis 2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3">
    <w:name w:val="Revision Verzeichnis 3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4">
    <w:name w:val="Revision Verzeichnis 4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5">
    <w:name w:val="Revision Verzeichnis 5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6">
    <w:name w:val="Revision Verzeichnis 6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7">
    <w:name w:val="Revision Verzeichnis 7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8">
    <w:name w:val="Revision Verzeichnis 8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9">
    <w:name w:val="Revision Verzeichnis 9"/>
    <w:basedOn w:val="Standard"/>
    <w:rsid w:val="0098296B"/>
    <w:pPr>
      <w:tabs>
        <w:tab w:val="left" w:pos="709"/>
      </w:tabs>
      <w:ind w:left="709" w:hanging="709"/>
    </w:pPr>
    <w:rPr>
      <w:color w:val="800000"/>
    </w:rPr>
  </w:style>
  <w:style w:type="paragraph" w:customStyle="1" w:styleId="RevisionAnlageBezeichner">
    <w:name w:val="Revision Anlage Bezeichner"/>
    <w:basedOn w:val="Standard"/>
    <w:next w:val="RevisionAnlageVerweis"/>
    <w:rsid w:val="0098296B"/>
    <w:pPr>
      <w:spacing w:before="240"/>
      <w:jc w:val="right"/>
    </w:pPr>
    <w:rPr>
      <w:color w:val="800000"/>
      <w:sz w:val="24"/>
    </w:rPr>
  </w:style>
  <w:style w:type="paragraph" w:customStyle="1" w:styleId="RevisionAnlageberschrift">
    <w:name w:val="Revision Anlage Überschrift"/>
    <w:basedOn w:val="Standard"/>
    <w:next w:val="RevisionAnlageText"/>
    <w:rsid w:val="0098296B"/>
    <w:pPr>
      <w:jc w:val="center"/>
    </w:pPr>
    <w:rPr>
      <w:color w:val="800000"/>
      <w:sz w:val="24"/>
    </w:rPr>
  </w:style>
  <w:style w:type="paragraph" w:customStyle="1" w:styleId="RevisionAnlageVerzeichnisTitel">
    <w:name w:val="Revision Anlage Verzeichnis Titel"/>
    <w:basedOn w:val="Standard"/>
    <w:next w:val="RevisionAnlageVerzeichnis1"/>
    <w:rsid w:val="0098296B"/>
    <w:pPr>
      <w:jc w:val="center"/>
    </w:pPr>
    <w:rPr>
      <w:color w:val="800000"/>
      <w:sz w:val="24"/>
    </w:rPr>
  </w:style>
  <w:style w:type="paragraph" w:customStyle="1" w:styleId="RevisionAnlageVerzeichnis1">
    <w:name w:val="Revision Anlage Verzeichnis 1"/>
    <w:basedOn w:val="Standard"/>
    <w:rsid w:val="0098296B"/>
    <w:pPr>
      <w:jc w:val="center"/>
    </w:pPr>
    <w:rPr>
      <w:color w:val="800000"/>
      <w:sz w:val="22"/>
    </w:rPr>
  </w:style>
  <w:style w:type="paragraph" w:customStyle="1" w:styleId="RevisionAnlageVerzeichnis2">
    <w:name w:val="Revision Anlage Verzeichnis 2"/>
    <w:basedOn w:val="Standard"/>
    <w:rsid w:val="0098296B"/>
    <w:pPr>
      <w:jc w:val="center"/>
    </w:pPr>
    <w:rPr>
      <w:color w:val="800000"/>
      <w:sz w:val="22"/>
    </w:rPr>
  </w:style>
  <w:style w:type="paragraph" w:customStyle="1" w:styleId="RevisionAnlageVerzeichnis3">
    <w:name w:val="Revision Anlage Verzeichnis 3"/>
    <w:basedOn w:val="Standard"/>
    <w:rsid w:val="0098296B"/>
    <w:pPr>
      <w:jc w:val="center"/>
    </w:pPr>
    <w:rPr>
      <w:color w:val="800000"/>
    </w:rPr>
  </w:style>
  <w:style w:type="paragraph" w:customStyle="1" w:styleId="RevisionAnlageVerzeichnis4">
    <w:name w:val="Revision Anlage Verzeichnis 4"/>
    <w:basedOn w:val="Standard"/>
    <w:rsid w:val="0098296B"/>
    <w:pPr>
      <w:jc w:val="center"/>
    </w:pPr>
    <w:rPr>
      <w:color w:val="800000"/>
    </w:rPr>
  </w:style>
  <w:style w:type="paragraph" w:customStyle="1" w:styleId="Revisionberschrift1">
    <w:name w:val="Revision Überschrift 1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2">
    <w:name w:val="Revision Überschrift 2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3">
    <w:name w:val="Revision Überschrift 3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4">
    <w:name w:val="Revision Überschrift 4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AnlageText">
    <w:name w:val="Revision Anlage Text"/>
    <w:basedOn w:val="Standard"/>
    <w:rsid w:val="0098296B"/>
    <w:rPr>
      <w:color w:val="800000"/>
    </w:rPr>
  </w:style>
  <w:style w:type="paragraph" w:customStyle="1" w:styleId="RevisionListeStufe1">
    <w:name w:val="Revision Liste (Stufe 1)"/>
    <w:basedOn w:val="Standard"/>
    <w:rsid w:val="0098296B"/>
    <w:pPr>
      <w:numPr>
        <w:numId w:val="28"/>
      </w:numPr>
      <w:tabs>
        <w:tab w:val="left" w:pos="0"/>
      </w:tabs>
    </w:pPr>
    <w:rPr>
      <w:color w:val="800000"/>
    </w:rPr>
  </w:style>
  <w:style w:type="paragraph" w:customStyle="1" w:styleId="RevisionListeStufe1manuell">
    <w:name w:val="Revision Liste (Stufe 1) (manuell)"/>
    <w:basedOn w:val="Standard"/>
    <w:rsid w:val="0098296B"/>
    <w:pPr>
      <w:tabs>
        <w:tab w:val="left" w:pos="425"/>
      </w:tabs>
      <w:ind w:left="425" w:hanging="425"/>
    </w:pPr>
    <w:rPr>
      <w:color w:val="800000"/>
    </w:rPr>
  </w:style>
  <w:style w:type="paragraph" w:customStyle="1" w:styleId="RevisionListeFolgeabsatzStufe1">
    <w:name w:val="Revision Liste Folgeabsatz (Stufe 1)"/>
    <w:basedOn w:val="Standard"/>
    <w:rsid w:val="0098296B"/>
    <w:pPr>
      <w:numPr>
        <w:ilvl w:val="1"/>
        <w:numId w:val="28"/>
      </w:numPr>
    </w:pPr>
    <w:rPr>
      <w:color w:val="800000"/>
    </w:rPr>
  </w:style>
  <w:style w:type="paragraph" w:customStyle="1" w:styleId="RevisionListeStufe2">
    <w:name w:val="Revision Liste (Stufe 2)"/>
    <w:basedOn w:val="Standard"/>
    <w:rsid w:val="0098296B"/>
    <w:pPr>
      <w:numPr>
        <w:ilvl w:val="2"/>
        <w:numId w:val="28"/>
      </w:numPr>
    </w:pPr>
    <w:rPr>
      <w:color w:val="800000"/>
    </w:rPr>
  </w:style>
  <w:style w:type="paragraph" w:customStyle="1" w:styleId="RevisionListeStufe2manuell">
    <w:name w:val="Revision Liste (Stufe 2) (manuell)"/>
    <w:basedOn w:val="Standard"/>
    <w:rsid w:val="0098296B"/>
    <w:pPr>
      <w:tabs>
        <w:tab w:val="left" w:pos="850"/>
      </w:tabs>
      <w:ind w:left="850" w:hanging="425"/>
    </w:pPr>
    <w:rPr>
      <w:color w:val="800000"/>
    </w:rPr>
  </w:style>
  <w:style w:type="paragraph" w:customStyle="1" w:styleId="RevisionListeFolgeabsatzStufe2">
    <w:name w:val="Revision Liste Folgeabsatz (Stufe 2)"/>
    <w:basedOn w:val="Standard"/>
    <w:rsid w:val="0098296B"/>
    <w:pPr>
      <w:numPr>
        <w:ilvl w:val="3"/>
        <w:numId w:val="28"/>
      </w:numPr>
    </w:pPr>
    <w:rPr>
      <w:color w:val="800000"/>
    </w:rPr>
  </w:style>
  <w:style w:type="paragraph" w:customStyle="1" w:styleId="RevisionListeStufe3">
    <w:name w:val="Revision Liste (Stufe 3)"/>
    <w:basedOn w:val="Standard"/>
    <w:rsid w:val="0098296B"/>
    <w:pPr>
      <w:numPr>
        <w:ilvl w:val="4"/>
        <w:numId w:val="28"/>
      </w:numPr>
    </w:pPr>
    <w:rPr>
      <w:color w:val="800000"/>
    </w:rPr>
  </w:style>
  <w:style w:type="paragraph" w:customStyle="1" w:styleId="RevisionListeStufe3manuell">
    <w:name w:val="Revision Liste (Stufe 3) (manuell)"/>
    <w:basedOn w:val="Standard"/>
    <w:rsid w:val="0098296B"/>
    <w:pPr>
      <w:tabs>
        <w:tab w:val="left" w:pos="1276"/>
      </w:tabs>
      <w:ind w:left="1276" w:hanging="425"/>
    </w:pPr>
    <w:rPr>
      <w:color w:val="800000"/>
    </w:rPr>
  </w:style>
  <w:style w:type="paragraph" w:customStyle="1" w:styleId="RevisionListeFolgeabsatzStufe3">
    <w:name w:val="Revision Liste Folgeabsatz (Stufe 3)"/>
    <w:basedOn w:val="Standard"/>
    <w:rsid w:val="0098296B"/>
    <w:pPr>
      <w:numPr>
        <w:ilvl w:val="5"/>
        <w:numId w:val="28"/>
      </w:numPr>
    </w:pPr>
    <w:rPr>
      <w:color w:val="800000"/>
    </w:rPr>
  </w:style>
  <w:style w:type="paragraph" w:customStyle="1" w:styleId="RevisionListeStufe4">
    <w:name w:val="Revision Liste (Stufe 4)"/>
    <w:basedOn w:val="Standard"/>
    <w:rsid w:val="0098296B"/>
    <w:pPr>
      <w:numPr>
        <w:ilvl w:val="6"/>
        <w:numId w:val="28"/>
      </w:numPr>
    </w:pPr>
    <w:rPr>
      <w:color w:val="800000"/>
    </w:rPr>
  </w:style>
  <w:style w:type="paragraph" w:customStyle="1" w:styleId="RevisionListeStufe4manuell">
    <w:name w:val="Revision Liste (Stufe 4) (manuell)"/>
    <w:basedOn w:val="Standard"/>
    <w:rsid w:val="0098296B"/>
    <w:pPr>
      <w:tabs>
        <w:tab w:val="left" w:pos="1984"/>
      </w:tabs>
      <w:ind w:left="1984" w:hanging="709"/>
    </w:pPr>
    <w:rPr>
      <w:color w:val="800000"/>
    </w:rPr>
  </w:style>
  <w:style w:type="paragraph" w:customStyle="1" w:styleId="RevisionListeFolgeabsatzStufe4">
    <w:name w:val="Revision Liste Folgeabsatz (Stufe 4)"/>
    <w:basedOn w:val="Standard"/>
    <w:rsid w:val="0098296B"/>
    <w:pPr>
      <w:numPr>
        <w:ilvl w:val="7"/>
        <w:numId w:val="28"/>
      </w:numPr>
    </w:pPr>
    <w:rPr>
      <w:color w:val="800000"/>
    </w:rPr>
  </w:style>
  <w:style w:type="paragraph" w:customStyle="1" w:styleId="RevisionAufzhlungStufe1">
    <w:name w:val="Revision Aufzählung (Stufe 1)"/>
    <w:basedOn w:val="Standard"/>
    <w:rsid w:val="0098296B"/>
    <w:pPr>
      <w:numPr>
        <w:numId w:val="29"/>
      </w:numPr>
      <w:tabs>
        <w:tab w:val="left" w:pos="0"/>
      </w:tabs>
    </w:pPr>
    <w:rPr>
      <w:color w:val="800000"/>
    </w:rPr>
  </w:style>
  <w:style w:type="paragraph" w:customStyle="1" w:styleId="RevisionAufzhlungFolgeabsatzStufe1">
    <w:name w:val="Revision Aufzählung Folgeabsatz (Stufe 1)"/>
    <w:basedOn w:val="Standard"/>
    <w:rsid w:val="0098296B"/>
    <w:pPr>
      <w:tabs>
        <w:tab w:val="left" w:pos="425"/>
      </w:tabs>
      <w:ind w:left="425"/>
    </w:pPr>
    <w:rPr>
      <w:color w:val="800000"/>
    </w:rPr>
  </w:style>
  <w:style w:type="paragraph" w:customStyle="1" w:styleId="RevisionAufzhlungStufe2">
    <w:name w:val="Revision Aufzählung (Stufe 2)"/>
    <w:basedOn w:val="Standard"/>
    <w:rsid w:val="0098296B"/>
    <w:pPr>
      <w:numPr>
        <w:numId w:val="30"/>
      </w:numPr>
      <w:tabs>
        <w:tab w:val="left" w:pos="425"/>
      </w:tabs>
    </w:pPr>
    <w:rPr>
      <w:color w:val="800000"/>
    </w:rPr>
  </w:style>
  <w:style w:type="paragraph" w:customStyle="1" w:styleId="RevisionAufzhlungFolgeabsatzStufe2">
    <w:name w:val="Revision Aufzählung Folgeabsatz (Stufe 2)"/>
    <w:basedOn w:val="Standard"/>
    <w:rsid w:val="0098296B"/>
    <w:pPr>
      <w:tabs>
        <w:tab w:val="left" w:pos="794"/>
      </w:tabs>
      <w:ind w:left="850"/>
    </w:pPr>
    <w:rPr>
      <w:color w:val="800000"/>
    </w:rPr>
  </w:style>
  <w:style w:type="paragraph" w:customStyle="1" w:styleId="RevisionAufzhlungStufe3">
    <w:name w:val="Revision Aufzählung (Stufe 3)"/>
    <w:basedOn w:val="Standard"/>
    <w:rsid w:val="0098296B"/>
    <w:pPr>
      <w:numPr>
        <w:numId w:val="31"/>
      </w:numPr>
      <w:tabs>
        <w:tab w:val="left" w:pos="850"/>
      </w:tabs>
    </w:pPr>
    <w:rPr>
      <w:color w:val="800000"/>
    </w:rPr>
  </w:style>
  <w:style w:type="paragraph" w:customStyle="1" w:styleId="RevisionAufzhlungFolgeabsatzStufe3">
    <w:name w:val="Revision Aufzählung Folgeabsatz (Stufe 3)"/>
    <w:basedOn w:val="Standard"/>
    <w:rsid w:val="0098296B"/>
    <w:pPr>
      <w:tabs>
        <w:tab w:val="left" w:pos="1276"/>
      </w:tabs>
      <w:ind w:left="1276"/>
    </w:pPr>
    <w:rPr>
      <w:color w:val="800000"/>
    </w:rPr>
  </w:style>
  <w:style w:type="paragraph" w:customStyle="1" w:styleId="RevisionAufzhlungStufe4">
    <w:name w:val="Revision Aufzählung (Stufe 4)"/>
    <w:basedOn w:val="Standard"/>
    <w:rsid w:val="0098296B"/>
    <w:pPr>
      <w:numPr>
        <w:numId w:val="32"/>
      </w:numPr>
      <w:tabs>
        <w:tab w:val="left" w:pos="1276"/>
      </w:tabs>
    </w:pPr>
    <w:rPr>
      <w:color w:val="800000"/>
    </w:rPr>
  </w:style>
  <w:style w:type="paragraph" w:customStyle="1" w:styleId="RevisionAufzhlungFolgeabsatzStufe4">
    <w:name w:val="Revision Aufzählung Folgeabsatz (Stufe 4)"/>
    <w:basedOn w:val="Standard"/>
    <w:rsid w:val="0098296B"/>
    <w:pPr>
      <w:tabs>
        <w:tab w:val="left" w:pos="1701"/>
      </w:tabs>
      <w:ind w:left="1701"/>
    </w:pPr>
    <w:rPr>
      <w:color w:val="800000"/>
    </w:rPr>
  </w:style>
  <w:style w:type="paragraph" w:customStyle="1" w:styleId="RevisionAufzhlungStufe5">
    <w:name w:val="Revision Aufzählung (Stufe 5)"/>
    <w:basedOn w:val="Standard"/>
    <w:rsid w:val="0098296B"/>
    <w:pPr>
      <w:numPr>
        <w:numId w:val="33"/>
      </w:numPr>
      <w:tabs>
        <w:tab w:val="left" w:pos="1701"/>
      </w:tabs>
    </w:pPr>
    <w:rPr>
      <w:color w:val="800000"/>
    </w:rPr>
  </w:style>
  <w:style w:type="paragraph" w:customStyle="1" w:styleId="RevisionAufzhlungFolgeabsatzStufe5">
    <w:name w:val="Revision Aufzählung Folgeabsatz (Stufe 5)"/>
    <w:basedOn w:val="Standard"/>
    <w:rsid w:val="0098296B"/>
    <w:pPr>
      <w:tabs>
        <w:tab w:val="left" w:pos="2126"/>
      </w:tabs>
      <w:ind w:left="2126"/>
    </w:pPr>
    <w:rPr>
      <w:color w:val="800000"/>
    </w:rPr>
  </w:style>
  <w:style w:type="paragraph" w:customStyle="1" w:styleId="RevisionFunotentext">
    <w:name w:val="Revision Fußnotentext"/>
    <w:basedOn w:val="Funotentext"/>
    <w:rsid w:val="0098296B"/>
    <w:rPr>
      <w:color w:val="800000"/>
    </w:rPr>
  </w:style>
  <w:style w:type="paragraph" w:customStyle="1" w:styleId="RevisionFormel">
    <w:name w:val="Revision Formel"/>
    <w:basedOn w:val="Standard"/>
    <w:rsid w:val="0098296B"/>
    <w:pPr>
      <w:spacing w:before="240" w:after="240"/>
      <w:jc w:val="center"/>
    </w:pPr>
    <w:rPr>
      <w:color w:val="800000"/>
    </w:rPr>
  </w:style>
  <w:style w:type="paragraph" w:customStyle="1" w:styleId="RevisionGrafik">
    <w:name w:val="Revision Grafik"/>
    <w:basedOn w:val="Standard"/>
    <w:rsid w:val="0098296B"/>
    <w:pPr>
      <w:spacing w:before="240" w:after="240"/>
      <w:jc w:val="center"/>
    </w:pPr>
    <w:rPr>
      <w:color w:val="800000"/>
    </w:rPr>
  </w:style>
  <w:style w:type="paragraph" w:customStyle="1" w:styleId="RevisionVerzeichnisTitelnderungsdokument">
    <w:name w:val="Revision Verzeichnis Titel (Änderungsdokument)"/>
    <w:basedOn w:val="Standard"/>
    <w:next w:val="RevisionVerzeichnis1"/>
    <w:rsid w:val="0098296B"/>
    <w:pPr>
      <w:spacing w:before="180"/>
      <w:jc w:val="center"/>
    </w:pPr>
    <w:rPr>
      <w:color w:val="800000"/>
    </w:rPr>
  </w:style>
  <w:style w:type="paragraph" w:customStyle="1" w:styleId="RevisionAnlageVerweis">
    <w:name w:val="Revision Anlage Verweis"/>
    <w:basedOn w:val="Standard"/>
    <w:next w:val="RevisionAnlageberschrift"/>
    <w:rsid w:val="0098296B"/>
    <w:pPr>
      <w:spacing w:before="0"/>
      <w:jc w:val="right"/>
    </w:pPr>
    <w:rPr>
      <w:color w:val="800000"/>
    </w:rPr>
  </w:style>
  <w:style w:type="paragraph" w:customStyle="1" w:styleId="EmpfehlungTextnummeriert">
    <w:name w:val="Empfehlung Text (nummeriert)"/>
    <w:basedOn w:val="Standard"/>
    <w:rsid w:val="0098296B"/>
    <w:pPr>
      <w:numPr>
        <w:numId w:val="35"/>
      </w:numPr>
    </w:pPr>
  </w:style>
  <w:style w:type="paragraph" w:customStyle="1" w:styleId="EmpfehlungTextnichtnummeriert">
    <w:name w:val="Empfehlung Text (nicht nummeriert)"/>
    <w:basedOn w:val="Standard"/>
    <w:next w:val="EmpfehlungNummerierungStufe1"/>
    <w:rsid w:val="0098296B"/>
  </w:style>
  <w:style w:type="paragraph" w:customStyle="1" w:styleId="EmpfehlungNummerierungStufe1">
    <w:name w:val="Empfehlung Nummerierung (Stufe 1)"/>
    <w:basedOn w:val="Standard"/>
    <w:rsid w:val="0098296B"/>
    <w:pPr>
      <w:numPr>
        <w:ilvl w:val="1"/>
        <w:numId w:val="35"/>
      </w:numPr>
      <w:outlineLvl w:val="2"/>
    </w:pPr>
  </w:style>
  <w:style w:type="paragraph" w:customStyle="1" w:styleId="EmpfehlungNummerierungFolgeabsatzStufe1">
    <w:name w:val="Empfehlung Nummerierung Folgeabsatz (Stufe 1)"/>
    <w:basedOn w:val="Standard"/>
    <w:rsid w:val="0098296B"/>
    <w:pPr>
      <w:tabs>
        <w:tab w:val="left" w:pos="425"/>
      </w:tabs>
      <w:ind w:left="425"/>
    </w:pPr>
  </w:style>
  <w:style w:type="paragraph" w:customStyle="1" w:styleId="EmpfehlungNummerierungStufe2">
    <w:name w:val="Empfehlung Nummerierung (Stufe 2)"/>
    <w:basedOn w:val="Standard"/>
    <w:rsid w:val="0098296B"/>
    <w:pPr>
      <w:numPr>
        <w:ilvl w:val="2"/>
        <w:numId w:val="35"/>
      </w:numPr>
      <w:outlineLvl w:val="3"/>
    </w:pPr>
  </w:style>
  <w:style w:type="paragraph" w:customStyle="1" w:styleId="EmpfehlungNummerierungFolgeabsatzStufe2">
    <w:name w:val="Empfehlung Nummerierung Folgeabsatz (Stufe 2)"/>
    <w:basedOn w:val="Standard"/>
    <w:rsid w:val="0098296B"/>
    <w:pPr>
      <w:tabs>
        <w:tab w:val="left" w:pos="850"/>
      </w:tabs>
      <w:ind w:left="850"/>
    </w:pPr>
  </w:style>
  <w:style w:type="paragraph" w:customStyle="1" w:styleId="EmpfehlungNummerierungStufe3">
    <w:name w:val="Empfehlung Nummerierung (Stufe 3)"/>
    <w:basedOn w:val="Standard"/>
    <w:rsid w:val="0098296B"/>
    <w:pPr>
      <w:numPr>
        <w:ilvl w:val="3"/>
        <w:numId w:val="35"/>
      </w:numPr>
    </w:pPr>
  </w:style>
  <w:style w:type="paragraph" w:customStyle="1" w:styleId="EmpfehlungNummerierungFolgeabsatzStufe3">
    <w:name w:val="Empfehlung Nummerierung Folgeabsatz (Stufe 3)"/>
    <w:basedOn w:val="Standard"/>
    <w:rsid w:val="0098296B"/>
    <w:pPr>
      <w:tabs>
        <w:tab w:val="left" w:pos="1276"/>
      </w:tabs>
      <w:ind w:left="1276"/>
    </w:pPr>
  </w:style>
  <w:style w:type="paragraph" w:customStyle="1" w:styleId="EmpfehlungNummerierungStufe4">
    <w:name w:val="Empfehlung Nummerierung (Stufe 4)"/>
    <w:basedOn w:val="Standard"/>
    <w:rsid w:val="0098296B"/>
    <w:pPr>
      <w:numPr>
        <w:ilvl w:val="4"/>
        <w:numId w:val="35"/>
      </w:numPr>
    </w:pPr>
  </w:style>
  <w:style w:type="paragraph" w:customStyle="1" w:styleId="EmpfehlungNummerierungFolgeabsatzStufe4">
    <w:name w:val="Empfehlung Nummerierung Folgeabsatz (Stufe 4)"/>
    <w:basedOn w:val="Standard"/>
    <w:rsid w:val="0098296B"/>
    <w:pPr>
      <w:tabs>
        <w:tab w:val="left" w:pos="1984"/>
      </w:tabs>
      <w:ind w:left="1984"/>
    </w:pPr>
  </w:style>
  <w:style w:type="paragraph" w:customStyle="1" w:styleId="EinzelbegrndungTitel">
    <w:name w:val="Einzelbegründung Titel"/>
    <w:basedOn w:val="Standard"/>
    <w:next w:val="Text"/>
    <w:rsid w:val="0098296B"/>
    <w:pPr>
      <w:keepNext/>
      <w:spacing w:before="120" w:after="100"/>
    </w:pPr>
    <w:rPr>
      <w:rFonts w:ascii="Arial" w:hAnsi="Arial" w:cs="Arial"/>
      <w:b/>
    </w:rPr>
  </w:style>
  <w:style w:type="paragraph" w:customStyle="1" w:styleId="BegrndungTitel">
    <w:name w:val="Begründung Titel"/>
    <w:basedOn w:val="Standard"/>
    <w:next w:val="Text"/>
    <w:rsid w:val="0098296B"/>
    <w:pPr>
      <w:spacing w:before="900" w:after="612"/>
      <w:ind w:right="-2665"/>
      <w:outlineLvl w:val="0"/>
    </w:pPr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Norm\Templates\FORM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1880-B9D7-4781-A319-AA34D84E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</Template>
  <TotalTime>0</TotalTime>
  <Pages>10</Pages>
  <Words>3439</Words>
  <Characters>21668</Characters>
  <Application>Microsoft Office Word</Application>
  <DocSecurity>4</DocSecurity>
  <Lines>180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/>
  <dc:description/>
  <cp:lastModifiedBy>L'Hoest, Agata, EC2</cp:lastModifiedBy>
  <cp:revision>2</cp:revision>
  <cp:lastPrinted>2021-03-19T10:29:00Z</cp:lastPrinted>
  <dcterms:created xsi:type="dcterms:W3CDTF">2021-03-19T16:31:00Z</dcterms:created>
  <dcterms:modified xsi:type="dcterms:W3CDTF">2021-03-19T16:31:00Z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4.1.4.0</vt:lpwstr>
  </property>
  <property fmtid="{D5CDD505-2E9C-101B-9397-08002B2CF9AE}" pid="3" name="Last edited using">
    <vt:lpwstr>LW 5.4, Build 20200526</vt:lpwstr>
  </property>
  <property fmtid="{D5CDD505-2E9C-101B-9397-08002B2CF9AE}" pid="4" name="Kategorie">
    <vt:lpwstr>FORM</vt:lpwstr>
  </property>
  <property fmtid="{D5CDD505-2E9C-101B-9397-08002B2CF9AE}" pid="5" name="eNorm-Version vorherige Bearbeitung">
    <vt:lpwstr>4.1.5 Bundesregierung [20200526]</vt:lpwstr>
  </property>
  <property fmtid="{D5CDD505-2E9C-101B-9397-08002B2CF9AE}" pid="6" name="eNorm-Version letzte Bearbeitung">
    <vt:lpwstr>4.1.5 Bundesregierung [20200526]</vt:lpwstr>
  </property>
  <property fmtid="{D5CDD505-2E9C-101B-9397-08002B2CF9AE}" pid="7" name="eNorm-Version Erstellung">
    <vt:lpwstr>4.1.5, Bundesregierung, [20200526]</vt:lpwstr>
  </property>
  <property fmtid="{D5CDD505-2E9C-101B-9397-08002B2CF9AE}" pid="8" name="Created using">
    <vt:lpwstr>LW 5.4, Build 20200526</vt:lpwstr>
  </property>
  <property fmtid="{D5CDD505-2E9C-101B-9397-08002B2CF9AE}" pid="9" name="Classification">
    <vt:lpwstr> </vt:lpwstr>
  </property>
  <property fmtid="{D5CDD505-2E9C-101B-9397-08002B2CF9AE}" pid="10" name="eNorm-Version letzte DQP">
    <vt:lpwstr>4.1.5, Bundesregierung, [20200526]</vt:lpwstr>
  </property>
</Properties>
</file>