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62" w:rsidRPr="00B00403" w:rsidRDefault="003D5B62" w:rsidP="003D5B62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------IND- 2018 0178 S-- CS- ------ 20181122 --- --- FINAL</w:t>
      </w:r>
    </w:p>
    <w:p w:rsidR="00DE28EA" w:rsidRPr="00B06CA7" w:rsidRDefault="00DE28EA" w:rsidP="00F47340">
      <w:pPr>
        <w:pStyle w:val="BodyText"/>
        <w:rPr>
          <w:b/>
          <w:w w:val="100"/>
          <w:sz w:val="26"/>
          <w:szCs w:val="26"/>
          <w:rFonts w:ascii="Times New Roman" w:hAnsi="Times New Roman" w:cs="Times New Roman"/>
        </w:rPr>
      </w:pPr>
      <w:r>
        <w:rPr>
          <w:b/>
          <w:sz w:val="26"/>
          <w:rFonts w:ascii="Times New Roman" w:hAnsi="Times New Roman"/>
        </w:rPr>
        <w:t xml:space="preserve">LIFS 2018:4</w:t>
      </w:r>
    </w:p>
    <w:p w:rsidR="00DE28EA" w:rsidRPr="00B06CA7" w:rsidRDefault="00DE28EA" w:rsidP="00F47340">
      <w:pPr>
        <w:pStyle w:val="BodyText"/>
        <w:spacing w:after="240"/>
        <w:rPr>
          <w:w w:val="100"/>
          <w:sz w:val="16"/>
          <w:szCs w:val="19"/>
          <w:rFonts w:ascii="Times New Roman" w:hAnsi="Times New Roman" w:cs="Times New Roman"/>
        </w:rPr>
      </w:pPr>
      <w:r>
        <w:rPr>
          <w:sz w:val="16"/>
          <w:rFonts w:ascii="Times New Roman" w:hAnsi="Times New Roman"/>
        </w:rPr>
        <w:t xml:space="preserve">Zveřejněno</w:t>
      </w:r>
      <w:r>
        <w:rPr>
          <w:sz w:val="16"/>
          <w:szCs w:val="19"/>
          <w:rFonts w:ascii="Times New Roman" w:hAnsi="Times New Roman"/>
        </w:rPr>
        <w:br/>
      </w:r>
      <w:r>
        <w:rPr>
          <w:sz w:val="16"/>
          <w:rFonts w:ascii="Times New Roman" w:hAnsi="Times New Roman"/>
        </w:rPr>
        <w:t xml:space="preserve">dne 8. srpna 2018</w:t>
      </w:r>
    </w:p>
    <w:p w:rsidR="00A457A5" w:rsidRPr="0076436D" w:rsidRDefault="00A457A5" w:rsidP="00F47340">
      <w:pPr>
        <w:pStyle w:val="Rubrik1"/>
        <w:keepNext/>
        <w:keepLines/>
        <w:widowControl/>
        <w:ind w:right="0"/>
        <w:rPr>
          <w:w w:val="100"/>
          <w:sz w:val="26"/>
          <w:szCs w:val="26"/>
          <w:rFonts w:ascii="Times New Roman" w:hAnsi="Times New Roman" w:cs="Times New Roman"/>
        </w:rPr>
      </w:pPr>
      <w:r>
        <w:rPr>
          <w:sz w:val="26"/>
          <w:rFonts w:ascii="Times New Roman" w:hAnsi="Times New Roman"/>
        </w:rPr>
        <w:t xml:space="preserve">Předpisy a obecná doporučení Švédského úřadu pro hazardní hry pro národní loterie a loterie ve veřejném zájmu;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přijato dne 25. července 2018.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Švédský úřad pro hazardní hry stanoví</w:t>
      </w:r>
      <w:r>
        <w:rPr>
          <w:rFonts w:ascii="Times New Roman" w:hAnsi="Times New Roman"/>
          <w:w w:val="100"/>
          <w:sz w:val="19"/>
          <w:vertAlign w:val="superscript"/>
        </w:rPr>
        <w:footnoteReference w:id="1"/>
      </w:r>
      <w:r>
        <w:rPr>
          <w:sz w:val="19"/>
          <w:rFonts w:ascii="Times New Roman" w:hAnsi="Times New Roman"/>
        </w:rPr>
        <w:t xml:space="preserve"> následující na základě kapitoly 16 § 3; § 8 bodu 4; § 9; § 10 bodu 1; a § 11 bodů 1–2 vyhlášky o hazardních hrách (2018:1475) a přijímá následující obecná doporučení.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rFonts w:ascii="Times New Roman" w:hAnsi="Times New Roman"/>
        </w:rPr>
        <w:t xml:space="preserve">Kapitola 1 Rozsah platnosti a terminologie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1</w:t>
      </w:r>
      <w:r>
        <w:rPr>
          <w:sz w:val="19"/>
          <w:rFonts w:ascii="Times New Roman" w:hAnsi="Times New Roman"/>
        </w:rPr>
        <w:t xml:space="preserve"> Tyto předpisy a obecná doporučení se uplatňují v případě osob disponujících licencí k provozování státních loterií podle kapitoly 5 § 1 zákona o hazardních hrách (2018: 1138) a v případě osob disponujících licencí k provozování státních loterií podle kapitoly 6 § 3 zákona o hazardních hrách.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2</w:t>
      </w:r>
      <w:r>
        <w:rPr>
          <w:sz w:val="19"/>
          <w:rFonts w:ascii="Times New Roman" w:hAnsi="Times New Roman"/>
        </w:rPr>
        <w:t xml:space="preserve"> Pokud není stanoveno jinak, mají termíny a názvy použité v těchto předpisech stejný význam jako v zákonu o hazardních hrách (2018:1138) a ve vyhlášce o hazardních hrách (2018:1475).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V těchto předpisech a obecných doporučeních platí následující definice: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i/>
          <w:rFonts w:ascii="Times New Roman" w:hAnsi="Times New Roman"/>
        </w:rPr>
        <w:t xml:space="preserve">Skrytý UV bezpečnostní prvek: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rFonts w:ascii="Times New Roman" w:hAnsi="Times New Roman"/>
        </w:rPr>
        <w:t xml:space="preserve">UV fluorescenční obrázek nebo vzor, který není patrný pouhým okem.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rFonts w:ascii="Times New Roman" w:hAnsi="Times New Roman"/>
        </w:rPr>
        <w:t xml:space="preserve">Tento motiv/vzor se objeví pouze při osvětlení UV světlem s vlnovou délkou 365 nm a fluorescencí v barvě, která se liší od barvy pozadí, na které je vytištěn.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i/>
          <w:rFonts w:ascii="Times New Roman" w:hAnsi="Times New Roman"/>
        </w:rPr>
        <w:t xml:space="preserve">los do loterie s následným slosováním:</w:t>
      </w:r>
      <w:r>
        <w:rPr>
          <w:sz w:val="19"/>
          <w:rFonts w:ascii="Times New Roman" w:hAnsi="Times New Roman"/>
        </w:rPr>
        <w:t xml:space="preserve"> nezapečetěný los do loterie, v jejímž případě se slosování uskuteční až po zakoupení losu.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elektronický los</w:t>
      </w:r>
      <w:r>
        <w:rPr>
          <w:sz w:val="19"/>
          <w:rFonts w:ascii="Times New Roman" w:hAnsi="Times New Roman"/>
        </w:rPr>
        <w:t xml:space="preserve">: fyzický nosič losu, který obsahuje elektronické součásti a může obsahovat jeden nebo několik losů.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slosování v druhém stupni</w:t>
      </w:r>
      <w:r>
        <w:rPr>
          <w:sz w:val="19"/>
          <w:rFonts w:ascii="Times New Roman" w:hAnsi="Times New Roman"/>
        </w:rPr>
        <w:t xml:space="preserve">: slosování, v němž je los zařazen do slosování, u kterého byla předem určena výhra.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los do loterie s předchozím slosováním: </w:t>
      </w:r>
      <w:r>
        <w:rPr>
          <w:sz w:val="19"/>
          <w:rFonts w:ascii="Times New Roman" w:hAnsi="Times New Roman"/>
        </w:rPr>
        <w:t xml:space="preserve">nezapečetěný los, u kterého jeho kupující přímo vidí, zda se jedná o vítězný los, či nikoli.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i/>
          <w:rFonts w:ascii="Times New Roman" w:hAnsi="Times New Roman"/>
        </w:rPr>
        <w:t xml:space="preserve">ochrana proti chemickému výmazu</w:t>
      </w:r>
      <w:r>
        <w:rPr>
          <w:sz w:val="19"/>
          <w:rFonts w:ascii="Times New Roman" w:hAnsi="Times New Roman"/>
        </w:rPr>
        <w:t xml:space="preserve">: papír s chemickými látkami, které zbavují papír barvy, pokud je tento vystaven rozpouštědlům nebo oxidačním činitelům (alkohol, kyseliny, uhlovodíky, chlor, povrchově aktivní látky atd.).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i/>
          <w:rFonts w:ascii="Times New Roman" w:hAnsi="Times New Roman"/>
        </w:rPr>
        <w:t xml:space="preserve">ochrana před kopírováním</w:t>
      </w:r>
      <w:r>
        <w:rPr>
          <w:sz w:val="19"/>
          <w:rFonts w:ascii="Times New Roman" w:hAnsi="Times New Roman"/>
        </w:rPr>
        <w:t xml:space="preserve">: prvky ochrany dokumentu, které se při kopírování změní nebo znehodnotí.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i/>
          <w:rFonts w:ascii="Times New Roman" w:hAnsi="Times New Roman"/>
        </w:rPr>
        <w:t xml:space="preserve">odstranění</w:t>
      </w:r>
      <w:r>
        <w:rPr>
          <w:sz w:val="19"/>
          <w:rFonts w:ascii="Times New Roman" w:hAnsi="Times New Roman"/>
        </w:rPr>
        <w:t xml:space="preserve">: odstranění vrstev, jako například stíracího materiálu, které chrání herní informace.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i/>
          <w:rFonts w:ascii="Times New Roman" w:hAnsi="Times New Roman"/>
        </w:rPr>
        <w:t xml:space="preserve">mikrotext</w:t>
      </w:r>
      <w:r>
        <w:rPr>
          <w:sz w:val="19"/>
          <w:rFonts w:ascii="Times New Roman" w:hAnsi="Times New Roman"/>
        </w:rPr>
        <w:t xml:space="preserve">: drobný text o maximální výšce 0,30 mm a minimální délce 35 mm, který při zkoumání pouhým okem vypadá jako linka, ale při zvětšení je zřetelně čitelný.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i/>
          <w:rFonts w:ascii="Times New Roman" w:hAnsi="Times New Roman"/>
        </w:rPr>
        <w:t xml:space="preserve">reliéf:</w:t>
      </w:r>
      <w:r>
        <w:rPr>
          <w:sz w:val="19"/>
          <w:rFonts w:ascii="Times New Roman" w:hAnsi="Times New Roman"/>
        </w:rPr>
        <w:t xml:space="preserve"> písmena, číslice nebo symboly tvořené silnou vrstvou tiskové barvy vytvářející na papíru vystouplý povrch.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rFonts w:ascii="Times New Roman" w:hAnsi="Times New Roman"/>
        </w:rPr>
        <w:t xml:space="preserve">Případně jsou písmena, číslice nebo symboly vtlačeny do papíru, čímž vznikne vlys.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i/>
          <w:rFonts w:ascii="Times New Roman" w:hAnsi="Times New Roman"/>
        </w:rPr>
        <w:t xml:space="preserve">reprodukce:</w:t>
      </w:r>
      <w:r>
        <w:rPr>
          <w:sz w:val="19"/>
          <w:rFonts w:ascii="Times New Roman" w:hAnsi="Times New Roman"/>
        </w:rPr>
        <w:t xml:space="preserve"> snímání pomocí technického zařízení s následným tiskem nebo výtiskem.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i/>
          <w:rFonts w:ascii="Times New Roman" w:hAnsi="Times New Roman"/>
        </w:rPr>
        <w:t xml:space="preserve">informace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i/>
          <w:rFonts w:ascii="Times New Roman" w:hAnsi="Times New Roman"/>
        </w:rPr>
        <w:t xml:space="preserve">o hře:</w:t>
      </w:r>
      <w:r>
        <w:rPr>
          <w:sz w:val="19"/>
          <w:rFonts w:ascii="Times New Roman" w:hAnsi="Times New Roman"/>
        </w:rPr>
        <w:t xml:space="preserve"> informace uvedené na losu udávající, zda tiket vítězí nebo prohrává.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i/>
          <w:rFonts w:ascii="Times New Roman" w:hAnsi="Times New Roman"/>
        </w:rPr>
        <w:t xml:space="preserve">vodoznak:</w:t>
      </w:r>
      <w:r>
        <w:rPr>
          <w:sz w:val="19"/>
          <w:rFonts w:ascii="Times New Roman" w:hAnsi="Times New Roman"/>
        </w:rPr>
        <w:t xml:space="preserve"> motivy nebo vzory vyrobené při procesu zpracování papíru, které jsou patrné, prochází-li papírem světlo.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rFonts w:ascii="Times New Roman" w:hAnsi="Times New Roman"/>
        </w:rPr>
        <w:t xml:space="preserve">Motiv / vzor se zjevuje, protože papír se vyrábí s různou tloušťkou; tlustší oblasti jsou vnímány jako tmavší a tenčí oblasti jako světlejší.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i/>
          <w:rFonts w:ascii="Times New Roman" w:hAnsi="Times New Roman"/>
        </w:rPr>
        <w:t xml:space="preserve">ochranný vzor</w:t>
      </w:r>
      <w:r>
        <w:rPr>
          <w:sz w:val="19"/>
          <w:rFonts w:ascii="Times New Roman" w:hAnsi="Times New Roman"/>
        </w:rPr>
        <w:t xml:space="preserve">: tenké čáry v alespoň dvou barvách s maximální šířkou čáry 0,10 mm, které se protínají v ostrém úhlu.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rFonts w:ascii="Times New Roman" w:hAnsi="Times New Roman"/>
        </w:rPr>
        <w:t xml:space="preserve">Může mít i podobu čárového reliéfu, tj. tenké pevné linky tvořící vzor, který vyvolává dojem, jako by byl vytvořen v reliéfu (trojrozměrně).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i/>
          <w:rFonts w:ascii="Times New Roman" w:hAnsi="Times New Roman"/>
        </w:rPr>
        <w:t xml:space="preserve">přetisk</w:t>
      </w:r>
      <w:r>
        <w:rPr>
          <w:sz w:val="19"/>
          <w:rFonts w:ascii="Times New Roman" w:hAnsi="Times New Roman"/>
        </w:rPr>
        <w:t xml:space="preserve">: vytištěný motiv nebo vzor, který je umístěn na horním povrchu stírací vrstvy nebo na podobném povrchu a který je navržen tak, aby jasně signalizoval, zda nebyla stírací vrstva odstraněna.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rFonts w:ascii="Times New Roman" w:hAnsi="Times New Roman"/>
        </w:rPr>
        <w:t xml:space="preserve">Kapitola 2.</w:t>
      </w:r>
      <w:r>
        <w:rPr>
          <w:sz w:val="21"/>
          <w:rFonts w:ascii="Times New Roman" w:hAnsi="Times New Roman"/>
        </w:rPr>
        <w:t xml:space="preserve"> </w:t>
      </w:r>
      <w:r>
        <w:rPr>
          <w:sz w:val="21"/>
          <w:rFonts w:ascii="Times New Roman" w:hAnsi="Times New Roman"/>
        </w:rPr>
        <w:t xml:space="preserve">Konkrétně k loteriím ve veřejném zájmu</w:t>
      </w:r>
    </w:p>
    <w:p w:rsidR="00A457A5" w:rsidRPr="0076436D" w:rsidRDefault="00A457A5" w:rsidP="00F47340">
      <w:pPr>
        <w:pStyle w:val="Brdtexthalv"/>
        <w:rPr>
          <w:b/>
          <w:bCs/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1 </w:t>
      </w:r>
      <w:r>
        <w:rPr>
          <w:sz w:val="19"/>
          <w:rFonts w:ascii="Times New Roman" w:hAnsi="Times New Roman"/>
        </w:rPr>
        <w:t xml:space="preserve">Před prodejem losů v případě loterií ve veřejném zájmu podle kapitoly 6 § 3 zákona o hazardních hrách (2018:1138) bude jmenován účetní/auditor.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Tento účetní/auditor bude kontrolovat účetnictví loterie a vypracovávat zprávy o auditu.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Obecná doporučení: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Pokud se předpokládá, že obrat loterie přesáhne 5 milionů SEK, měl by být jmenován certifikovaný účetní nebo schválený auditor.</w:t>
      </w:r>
    </w:p>
    <w:p w:rsidR="00A457A5" w:rsidRPr="0076436D" w:rsidRDefault="00A457A5" w:rsidP="00F47340">
      <w:pPr>
        <w:pStyle w:val="brdtextfyrkant"/>
        <w:ind w:left="1120" w:firstLine="20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Při kontrole by měly být dodrženy pokyny Švédského úřadu pro hazardní hry týkající se účetních/auditorů loterií ve veřejném zájmu.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2</w:t>
      </w:r>
      <w:r>
        <w:rPr>
          <w:sz w:val="19"/>
          <w:rFonts w:ascii="Times New Roman" w:hAnsi="Times New Roman"/>
        </w:rPr>
        <w:t xml:space="preserve"> Po ukončení loterie je držitel licence povinen předložit účetnictví loterie a zprávu o auditu Švédskému úřadu pro hazardní hry.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rFonts w:ascii="Times New Roman" w:hAnsi="Times New Roman"/>
        </w:rPr>
        <w:t xml:space="preserve">Kapitola 3.</w:t>
      </w:r>
      <w:r>
        <w:rPr>
          <w:sz w:val="21"/>
          <w:rFonts w:ascii="Times New Roman" w:hAnsi="Times New Roman"/>
        </w:rPr>
        <w:t xml:space="preserve"> </w:t>
      </w:r>
      <w:r>
        <w:rPr>
          <w:sz w:val="21"/>
          <w:rFonts w:ascii="Times New Roman" w:hAnsi="Times New Roman"/>
        </w:rPr>
        <w:t xml:space="preserve">Výplatní tabulka, výhry, slosování a výsledky slosování</w:t>
      </w:r>
    </w:p>
    <w:p w:rsidR="00A457A5" w:rsidRPr="0076436D" w:rsidRDefault="00A457A5" w:rsidP="00F47340">
      <w:pPr>
        <w:pStyle w:val="Rubrik40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Výplatní tabulka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1</w:t>
      </w:r>
      <w:r>
        <w:rPr>
          <w:sz w:val="19"/>
          <w:rFonts w:ascii="Times New Roman" w:hAnsi="Times New Roman"/>
        </w:rPr>
        <w:t xml:space="preserve"> Tištěné nebo elektronické losy musí odpovídat platné výplatní tabulce.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Vítězné losy nesmí být dodávány odděleně od nevítězných losů.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Výhry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2</w:t>
      </w:r>
      <w:r>
        <w:rPr>
          <w:sz w:val="19"/>
          <w:rFonts w:ascii="Times New Roman" w:hAnsi="Times New Roman"/>
        </w:rPr>
        <w:t xml:space="preserve"> Jsou-li v loterii jiné než peněžní ceny, musí být oceněny při své tržní hodnotě.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Výhry, které lze obtížně ocenit, budou oceněny nestranným znalcem.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Obecná doporučení: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V případě výher ve formě například uměleckých nebo jiných předmětů, může být pro držitele licence složité je ocenit.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Losy do loterie s následným slosováním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3</w:t>
      </w:r>
      <w:r>
        <w:rPr>
          <w:sz w:val="19"/>
          <w:rFonts w:ascii="Times New Roman" w:hAnsi="Times New Roman"/>
        </w:rPr>
        <w:t xml:space="preserve"> Pokud má výsledek slosování vycházet výhradně z prodaných losů, musí být neprodané losy zdokumentovány ještě před slosováním.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Protokol o výsledcích slosování, změny a zrušení platnosti slosování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4 </w:t>
      </w:r>
      <w:r>
        <w:rPr>
          <w:sz w:val="19"/>
          <w:rFonts w:ascii="Times New Roman" w:hAnsi="Times New Roman"/>
        </w:rPr>
        <w:t xml:space="preserve">Výsledek slosování musí být zdokumentován v protokolu.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rFonts w:ascii="Times New Roman" w:hAnsi="Times New Roman"/>
        </w:rPr>
        <w:t xml:space="preserve">Tento protokol bude uchován po dobu platnosti licence.</w:t>
      </w:r>
    </w:p>
    <w:p w:rsidR="00A457A5" w:rsidRPr="0076436D" w:rsidRDefault="00A457A5" w:rsidP="00F47340">
      <w:pPr>
        <w:pStyle w:val="Brdtextblank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5</w:t>
      </w:r>
      <w:r>
        <w:rPr>
          <w:sz w:val="19"/>
          <w:rFonts w:ascii="Times New Roman" w:hAnsi="Times New Roman"/>
        </w:rPr>
        <w:t xml:space="preserve"> Ve výsledcích slosování nesmí být prováděny žádné změny.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Pokud se vyskytly chyby, které ovlivnily výsledky, výsledek slosování se prohlásí za neplatný a k jeho zneplatnění musí dojít před zveřejněním výsledků.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Pokud je výsledek slosování prohlášen za neplatný podle odstavce výše, budou údaje a zneplatněný výsledek zdokumentovány a uloženy na dobu platnosti licence.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rFonts w:ascii="Times New Roman" w:hAnsi="Times New Roman"/>
        </w:rPr>
        <w:t xml:space="preserve">Kapitola 4.</w:t>
      </w:r>
      <w:r>
        <w:rPr>
          <w:sz w:val="21"/>
          <w:rFonts w:ascii="Times New Roman" w:hAnsi="Times New Roman"/>
        </w:rPr>
        <w:t xml:space="preserve"> </w:t>
      </w:r>
      <w:r>
        <w:rPr>
          <w:sz w:val="21"/>
          <w:rFonts w:ascii="Times New Roman" w:hAnsi="Times New Roman"/>
        </w:rPr>
        <w:t xml:space="preserve">Vlastnosti losů do loterie ve fyzické podobě</w:t>
      </w:r>
    </w:p>
    <w:p w:rsidR="00A457A5" w:rsidRPr="0076436D" w:rsidRDefault="00A457A5" w:rsidP="00F47340">
      <w:pPr>
        <w:pStyle w:val="Brdtexthalv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1</w:t>
      </w:r>
      <w:r>
        <w:rPr>
          <w:sz w:val="19"/>
          <w:rFonts w:ascii="Times New Roman" w:hAnsi="Times New Roman"/>
        </w:rPr>
        <w:t xml:space="preserve"> Jednotlivé losy v rámci slosování na druhém stupni musí být jedinečné.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Každý jednotlivý los do loterie bude patřit k sadě nebo kolu v souladu s udělenou licencí.</w:t>
      </w:r>
    </w:p>
    <w:p w:rsidR="00A457A5" w:rsidRPr="0076436D" w:rsidRDefault="00A457A5" w:rsidP="00F47340">
      <w:pPr>
        <w:pStyle w:val="Brdtextblank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2 </w:t>
      </w:r>
      <w:r>
        <w:rPr>
          <w:sz w:val="19"/>
          <w:rFonts w:ascii="Times New Roman" w:hAnsi="Times New Roman"/>
        </w:rPr>
        <w:t xml:space="preserve">Tištěné/elektronické losy do loterie nesmí mít takové fyzické vady nebo značky, díky kterým by bylo možné vytřídit vítězné losy.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Na zapečetěném loterijním tiketu nesmí být možné přečíst herní informace.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Zapečetěné losy musí mít ochranné prvky proti manipulaci a reprodukování.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3</w:t>
      </w:r>
      <w:r>
        <w:rPr>
          <w:sz w:val="19"/>
          <w:rFonts w:ascii="Times New Roman" w:hAnsi="Times New Roman"/>
        </w:rPr>
        <w:t xml:space="preserve"> Objeví-li se takové nedostatky ve vlastnostech losů, že tyto losy již nebudou splňovat požadavky těchto předpisů, bude výroba zastavena a veškeré do té doby vyrobené losy budou zneplatněny.</w:t>
      </w:r>
    </w:p>
    <w:p w:rsidR="00A457A5" w:rsidRPr="0076436D" w:rsidRDefault="00A457A5" w:rsidP="00F47340">
      <w:pPr>
        <w:pStyle w:val="Brdtextblank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4</w:t>
      </w:r>
      <w:r>
        <w:rPr>
          <w:sz w:val="19"/>
          <w:rFonts w:ascii="Times New Roman" w:hAnsi="Times New Roman"/>
        </w:rPr>
        <w:t xml:space="preserve"> V případě již slosovaných, zapečetěných losů do loterie s maximální hodnotou výhry přesahující hodnotu jedné nebo více než jedné (1) základní částky ceny se uplatňuje následující: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nebude možné znovu zapečetit již otevřený los,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nebude možné přečíst herní informace nasvícením losu,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herní informace nebudou moci vytvářet zvýšený reliéf nebo vlys na vnějším povrchu pečeti,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musí mít losy ochranu vůči kopírování,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musí mít losy UV ochranný prvek,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stírací pole musí mít přetisk skrývající herní informace a kontrolní pole,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zapečetěná kontrolní pole musí být zajištěna proti odstranění a přečtení.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herní informace nesmí být možné přečíst pomocí statické elektřiny.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herní informace nesmí mít pevně dané umístění.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herní informace musí být zajištěny proti změně a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musí losy obsahovat mikrotext.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Obecná doporučení: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Mezi příklady ochrany proti kopírování patří obtížně kopírovatelné barvy, rastrové trapy, potisky nebo povrchové vrstvy s různou odrazivostí, jako například lesklý povrch na matném papíru a speciální papír.</w:t>
      </w:r>
    </w:p>
    <w:p w:rsidR="00A457A5" w:rsidRPr="0076436D" w:rsidRDefault="00A457A5" w:rsidP="00F47340">
      <w:pPr>
        <w:pStyle w:val="brdtextfyrkant"/>
        <w:ind w:left="1120" w:firstLine="200"/>
        <w:rPr>
          <w:w w:val="100"/>
          <w:sz w:val="19"/>
          <w:szCs w:val="19"/>
          <w:u w:val="thick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Mikrotext je možné umístit do stíracího pole.</w:t>
      </w:r>
    </w:p>
    <w:p w:rsidR="00A457A5" w:rsidRPr="0076436D" w:rsidRDefault="00A457A5" w:rsidP="00F47340">
      <w:pPr>
        <w:pStyle w:val="Brdtextblank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5</w:t>
      </w:r>
      <w:r>
        <w:rPr>
          <w:sz w:val="19"/>
          <w:rFonts w:ascii="Times New Roman" w:hAnsi="Times New Roman"/>
        </w:rPr>
        <w:t xml:space="preserve"> V případě losů do loterie s následným slosováním s maximální hodnotou výhry přesahující více než jednu (1) základní částku ceny se uplatňuje následující: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musí mít losy ochranu vůči kopírování,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musí mít losy UV ochranný prvek,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musí mít losy ochranný vzor.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musí být herní informace zajištěny proti pozměnění,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musí losy obsahovat mikrotext,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musí být losy vytištěny na papíru s vodoznakem nebo rovnocennou ochranou a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papír musí mít pojistku proti chemickému smazání.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Obecná doporučení: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Mezi příklady ochrany proti kopírování patří obtížně kopírovatelné barvy, rastrové trapy, potisky nebo povrchové vrstvy s různou odrazivostí, jako například lesklý povrch na matném papíru a speciální papír.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rFonts w:ascii="Times New Roman" w:hAnsi="Times New Roman"/>
        </w:rPr>
        <w:t xml:space="preserve">Mikrotext je možné umístit do stíracího pole.</w:t>
      </w:r>
    </w:p>
    <w:p w:rsidR="00A457A5" w:rsidRPr="0076436D" w:rsidRDefault="00A457A5" w:rsidP="00F47340">
      <w:pPr>
        <w:pStyle w:val="brdtextfyrkant"/>
        <w:ind w:left="1120" w:firstLine="20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„Papír s rovnocennou ochranou“ může znamenat, že na losu bude kombinace různých ochranných prvků, které poskytují ochranu, která je obdobná ochraně, kterou skýtá papír s vodotiskem.</w:t>
      </w:r>
    </w:p>
    <w:p w:rsidR="00A457A5" w:rsidRPr="0076436D" w:rsidRDefault="00A457A5" w:rsidP="00F47340">
      <w:pPr>
        <w:pStyle w:val="Brdtextblank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6</w:t>
      </w:r>
      <w:r>
        <w:rPr>
          <w:sz w:val="19"/>
          <w:rFonts w:ascii="Times New Roman" w:hAnsi="Times New Roman"/>
        </w:rPr>
        <w:t xml:space="preserve"> V případě elektronických losů do loterie s maximální hodnotou výhry přesahující 1/6 základní částky ceny se uplatňuje následující: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musí dojít aktivací a přenastavením losů k vymazání všech stop,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musí mít losy UV ochranný prvek,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musí mít losy ochranu vůči kopírování,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musí mít losy kontrolní pole s přetiskem,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musí být elektronika a monitory chráněny vůči manipulaci a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musí losy obsahovat mikrotext.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Obecná doporučení: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Mezi příklady ochrany proti kopírování patří obtížně kopírovatelné barvy, rastrové trapy, potisky nebo povrchové vrstvy s různou odrazivostí, jako například lesklý povrch na matném papíru a speciální papír.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rFonts w:ascii="Times New Roman" w:hAnsi="Times New Roman"/>
        </w:rPr>
        <w:t xml:space="preserve">Mikrotext je možné umístit do stíracího pole.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rFonts w:ascii="Times New Roman" w:hAnsi="Times New Roman"/>
        </w:rPr>
        <w:t xml:space="preserve">Kapitola 5.</w:t>
      </w:r>
      <w:r>
        <w:rPr>
          <w:sz w:val="21"/>
          <w:rFonts w:ascii="Times New Roman" w:hAnsi="Times New Roman"/>
        </w:rPr>
        <w:t xml:space="preserve"> </w:t>
      </w:r>
      <w:r>
        <w:rPr>
          <w:sz w:val="21"/>
          <w:rFonts w:ascii="Times New Roman" w:hAnsi="Times New Roman"/>
        </w:rPr>
        <w:t xml:space="preserve">Manipulace s losy</w:t>
      </w:r>
    </w:p>
    <w:p w:rsidR="00A457A5" w:rsidRPr="0076436D" w:rsidRDefault="00A457A5" w:rsidP="00F47340">
      <w:pPr>
        <w:pStyle w:val="Rubrik40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Manipulace s hotovými losy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§ 1</w:t>
      </w:r>
      <w:r>
        <w:rPr>
          <w:sz w:val="19"/>
          <w:rFonts w:ascii="Times New Roman" w:hAnsi="Times New Roman"/>
        </w:rPr>
        <w:t xml:space="preserve"> Budou zavedeny dokumentované postupy pro manipulaci s hotovými losy.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Tyto postupy budou platit i pro částečně hotové losy.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2</w:t>
      </w:r>
      <w:r>
        <w:rPr>
          <w:sz w:val="19"/>
          <w:rFonts w:ascii="Times New Roman" w:hAnsi="Times New Roman"/>
        </w:rPr>
        <w:t xml:space="preserve"> Neoprávněné osoby nesmí mít při tvorbě herních údajů úplný přehled o tom, kde se mezi hotovými losy nacházejí ty vítězné.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3</w:t>
      </w:r>
      <w:r>
        <w:rPr>
          <w:sz w:val="19"/>
          <w:rFonts w:ascii="Times New Roman" w:hAnsi="Times New Roman"/>
        </w:rPr>
        <w:t xml:space="preserve"> Hotové výrobky a ostatní citlivé materiály budou bezpečně uloženy a chráněny způsobem, který je pro tento účel vhodný.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Karty, kódy, klíče a ostatní přístupové prostředky do prostor, kde probíhá manipulace s fyzickými losy, nebo kde jsou tyto losy uchovávány, musí být řízeny, aby to těchto prostor neměly přístup nepovolané osoby.</w:t>
      </w:r>
    </w:p>
    <w:p w:rsidR="00A457A5" w:rsidRPr="0076436D" w:rsidRDefault="00A457A5" w:rsidP="00F47340">
      <w:pPr>
        <w:pStyle w:val="Brdtextblank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§ 4</w:t>
      </w:r>
      <w:r>
        <w:rPr>
          <w:sz w:val="19"/>
          <w:rFonts w:ascii="Times New Roman" w:hAnsi="Times New Roman"/>
        </w:rPr>
        <w:t xml:space="preserve"> Fyzické losy musí být zabaleny tak, aby bylo nutné porušit jejich vnější folii nebo podobný obal, aby bylo možné se dostat k jednotlivým losům.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Pokud jsou fyzické losy baleny na paletě, musí být paleta zapečetěna tak, aby obsah nebyl viditelný.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Jakékoli porušení uzávěru nebo obalu musí být zdokumentováno.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5</w:t>
      </w:r>
      <w:r>
        <w:rPr>
          <w:sz w:val="19"/>
          <w:rFonts w:ascii="Times New Roman" w:hAnsi="Times New Roman"/>
        </w:rPr>
        <w:t xml:space="preserve"> Přeprava hotových losů musí být provedena bezpečně.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Obecná doporučení: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Přeprava hotových losů by měla být smluvně zajištěna renomovanými společnostmi disponujícími vozidly, které lze zaplombovat.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rFonts w:ascii="Times New Roman" w:hAnsi="Times New Roman"/>
        </w:rPr>
        <w:t xml:space="preserve">Trasa by měla být zvolena tak, aby dopravce nevybral rizikovější trasu s cílem například dosáhnout nějaké ekonomické výhody.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rFonts w:ascii="Times New Roman" w:hAnsi="Times New Roman"/>
        </w:rPr>
        <w:t xml:space="preserve">Po cestě by se neměly dělat přestávky.</w:t>
      </w:r>
    </w:p>
    <w:p w:rsidR="00A457A5" w:rsidRPr="0076436D" w:rsidRDefault="00A457A5" w:rsidP="00F47340">
      <w:pPr>
        <w:pStyle w:val="brdtextfyrkant"/>
        <w:ind w:left="1120" w:firstLine="20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Dodávky by měly být naplánovány tak, aby bylo možné zboží vyložit a po příjezdu neprodleně bezpečně uskladnit.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rFonts w:ascii="Times New Roman" w:hAnsi="Times New Roman"/>
        </w:rPr>
        <w:t xml:space="preserve">Nákladní vozidlo by přes noc, ani jindy nemělo být nikdy dočasně ponecháno bez dozoru.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Manipulace s neprodanými losy a proplacenými vítěznými losy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§ 6</w:t>
      </w:r>
      <w:r>
        <w:rPr>
          <w:sz w:val="19"/>
          <w:rFonts w:ascii="Times New Roman" w:hAnsi="Times New Roman"/>
        </w:rPr>
        <w:t xml:space="preserve"> Budou zavedeny dokumentované postupy pro manipulaci s neprodanými losy a proplacenými vítěznými losy.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Neprodané losy a proplacené vítězné losy se po ukončení loterie co nejdříve zlikvidují.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Pokud ověření výhry probíhá prostřednictvím systému hazardních her, nahrazuje toto ověření výhry likvidaci uvedenou v předchozím odstavci.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Manipulace s poškozenými losy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7</w:t>
      </w:r>
      <w:r>
        <w:rPr>
          <w:sz w:val="19"/>
          <w:rFonts w:ascii="Times New Roman" w:hAnsi="Times New Roman"/>
        </w:rPr>
        <w:t xml:space="preserve"> Musí být zavedeny dokumentované postupy pro manipulaci s fyzickými losy, které se poškodí při výrobě nebo v rámci dodávky.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I v případě výměny losů poškozených při výrobě nebo v rámci dodávky se musí výplatní tabulka, distribuce výher a počet dodaných losů shodovat s objednávkou.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Poškozené fyzické losy musí být zdokumentovány a zlikvidovány.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Manipulace s vyřazenými tiskovinami a dalším vybavením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8</w:t>
      </w:r>
      <w:r>
        <w:rPr>
          <w:sz w:val="19"/>
          <w:rFonts w:ascii="Times New Roman" w:hAnsi="Times New Roman"/>
        </w:rPr>
        <w:t xml:space="preserve"> Musí být zavedeny dokumentované postupy nakládání s vyřazenými tiskovinami a dalším vybavením používaným při výrobě fyzických losů.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Všechny vyřazené tiskoviny musí být zdokumentovány a zlikvidovány.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Manipulace s použitými nosiči dat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9</w:t>
      </w:r>
      <w:r>
        <w:rPr>
          <w:sz w:val="19"/>
          <w:rFonts w:ascii="Times New Roman" w:hAnsi="Times New Roman"/>
        </w:rPr>
        <w:t xml:space="preserve"> Musí existovat dokumentované postupy pro zacházení se spotřebovanými systémy pro tvorbu fyzických údajů o loterii a ověřování tištěných fyzických losů, které se již nepoužívají.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Se soubory, které obsahují informace o výhrách, je nutné nakládat způsobem, který zajistí, aby žádná nepovolaná osoba nemohla tyto informace kopírovat nebo jinak zneužít nebo poškodit</w:t>
      </w:r>
    </w:p>
    <w:p w:rsidR="00A457A5" w:rsidRPr="0076436D" w:rsidRDefault="00A457A5" w:rsidP="00F47340">
      <w:pPr>
        <w:pStyle w:val="Rubrik4"/>
        <w:keepLines/>
        <w:widowControl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Likvidace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10</w:t>
      </w:r>
      <w:r>
        <w:rPr>
          <w:sz w:val="19"/>
          <w:rFonts w:ascii="Times New Roman" w:hAnsi="Times New Roman"/>
        </w:rPr>
        <w:t xml:space="preserve"> Budou zavedeny dokumentované postupy pro zajištění likvidace.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Obecná doporučení: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Při likvidaci by měly být vždy přítomny alespoň dvě osoby.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rFonts w:ascii="Times New Roman" w:hAnsi="Times New Roman"/>
        </w:rPr>
        <w:t xml:space="preserve">Kapitola 6.</w:t>
      </w:r>
      <w:r>
        <w:rPr>
          <w:sz w:val="21"/>
          <w:rFonts w:ascii="Times New Roman" w:hAnsi="Times New Roman"/>
        </w:rPr>
        <w:t xml:space="preserve"> </w:t>
      </w:r>
      <w:r>
        <w:rPr>
          <w:sz w:val="21"/>
          <w:rFonts w:ascii="Times New Roman" w:hAnsi="Times New Roman"/>
        </w:rPr>
        <w:t xml:space="preserve">Informace pro zprostředkovatele hazardních her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1</w:t>
      </w:r>
      <w:r>
        <w:rPr>
          <w:sz w:val="19"/>
          <w:rFonts w:ascii="Times New Roman" w:hAnsi="Times New Roman"/>
        </w:rPr>
        <w:t xml:space="preserve"> Zprostředkovatelé hazardních her musí být obeznámeni s příslušnými částmi zákona o hazardních hrách (2018:1138), vyhlášky o hazardních hrách (2018:1475), předpisů, obecných doporučení a obchodních podmínek, které se vztahují na držitele licencí.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rFonts w:ascii="Times New Roman" w:hAnsi="Times New Roman"/>
        </w:rPr>
        <w:t xml:space="preserve">Rovněž musí být obeznámeni s vnitřními postupy a pokyny držitele licence, které se týkají provozovny zprostředkovatele hazardních her.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Obecná doporučení: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Příslušné části zákona o hazardních hrách, vyhlášky a předpisů mohou obsahovat například to, že hrát mohou jen osoby starší 18 let, že je zakázáno poskytovat úvěr na hazardní hry, a místa, na kterých mohou hráči získat informace a pomoc týkající se vlastního otestování, sebevyloučení a jiných záležitostí souvisejících s hazardem.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rFonts w:ascii="Times New Roman" w:hAnsi="Times New Roman"/>
        </w:rPr>
        <w:t xml:space="preserve">Kapitola 7.</w:t>
      </w:r>
      <w:r>
        <w:rPr>
          <w:sz w:val="21"/>
          <w:rFonts w:ascii="Times New Roman" w:hAnsi="Times New Roman"/>
        </w:rPr>
        <w:t xml:space="preserve"> </w:t>
      </w:r>
      <w:r>
        <w:rPr>
          <w:sz w:val="21"/>
          <w:rFonts w:ascii="Times New Roman" w:hAnsi="Times New Roman"/>
        </w:rPr>
        <w:t xml:space="preserve">Hráčský účet a dočasný hráčský účet</w:t>
      </w:r>
    </w:p>
    <w:p w:rsidR="00A457A5" w:rsidRPr="0076436D" w:rsidRDefault="00A457A5" w:rsidP="00F47340">
      <w:pPr>
        <w:pStyle w:val="Brdtexthalv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1</w:t>
      </w:r>
      <w:r>
        <w:rPr>
          <w:sz w:val="19"/>
          <w:rFonts w:ascii="Times New Roman" w:hAnsi="Times New Roman"/>
        </w:rPr>
        <w:t xml:space="preserve"> Hráč může mít pouze jeden hráčský účet.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První odstavec se neuplatňuje, pokud držitel licence poskytuje hazardní hry na různých URL.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rFonts w:ascii="Times New Roman" w:hAnsi="Times New Roman"/>
        </w:rPr>
        <w:t xml:space="preserve">V těchto případech hráč může mít více než jeden hráčský účet u jednoho držitele licence za předpokladu, že držitel licence</w:t>
      </w:r>
    </w:p>
    <w:p w:rsidR="00A457A5" w:rsidRPr="0076436D" w:rsidRDefault="00A457A5" w:rsidP="00265800">
      <w:pPr>
        <w:pStyle w:val="brdtextfyrkant"/>
        <w:numPr>
          <w:ilvl w:val="0"/>
          <w:numId w:val="8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může určit a vymezit hráčské účty jednotlivého hráče;</w:t>
      </w:r>
    </w:p>
    <w:p w:rsidR="00A457A5" w:rsidRPr="0076436D" w:rsidRDefault="00A457A5" w:rsidP="00265800">
      <w:pPr>
        <w:pStyle w:val="brdtextfyrkant"/>
        <w:numPr>
          <w:ilvl w:val="0"/>
          <w:numId w:val="8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zajistí, aby byl hráč vyloučen ze všech hazardních her držitele licence v případě, že se hráč rozhodl pro sebevyloučení podle kapitoly 14 § 11 zákona o hazardních hrách (2018:1138), pokud si hráč aktivně nezvolil, aby toto sebevyloučení platilo pouze pro jednu nebo několik konkrétních hazardních her;</w:t>
      </w:r>
    </w:p>
    <w:p w:rsidR="00A457A5" w:rsidRPr="0076436D" w:rsidRDefault="00A457A5" w:rsidP="00265800">
      <w:pPr>
        <w:pStyle w:val="brdtextfyrkant"/>
        <w:numPr>
          <w:ilvl w:val="0"/>
          <w:numId w:val="8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může dohlížet na chování hráčů hazardních her a transakce na veškerých hráčských účtech jednotlivého hráče.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2</w:t>
      </w:r>
      <w:r>
        <w:rPr>
          <w:sz w:val="19"/>
          <w:rFonts w:ascii="Times New Roman" w:hAnsi="Times New Roman"/>
        </w:rPr>
        <w:t xml:space="preserve"> Hráč nesmí na dočasný hráčský účet vložit do hry více než 1/4 základní částky ceny.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3</w:t>
      </w:r>
      <w:r>
        <w:rPr>
          <w:sz w:val="19"/>
          <w:rFonts w:ascii="Times New Roman" w:hAnsi="Times New Roman"/>
        </w:rPr>
        <w:t xml:space="preserve"> Hráč, který má dočasný hráčský účet, musí být ve lhůtě 15 dnů od registrace vyzván, aby předložil dokumenty potvrzující informace poskytnuté při registraci.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Dočasný hráčský účet může být pro hraní hazardních her používán nanejvýš po dobu 30 dnů.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rFonts w:ascii="Times New Roman" w:hAnsi="Times New Roman"/>
        </w:rPr>
        <w:t xml:space="preserve">Kapitola 8.</w:t>
      </w:r>
      <w:r>
        <w:rPr>
          <w:sz w:val="21"/>
          <w:rFonts w:ascii="Times New Roman" w:hAnsi="Times New Roman"/>
        </w:rPr>
        <w:t xml:space="preserve"> </w:t>
      </w:r>
      <w:r>
        <w:rPr>
          <w:sz w:val="21"/>
          <w:rFonts w:ascii="Times New Roman" w:hAnsi="Times New Roman"/>
        </w:rPr>
        <w:t xml:space="preserve">Informace pro hráče</w:t>
      </w:r>
    </w:p>
    <w:p w:rsidR="00A457A5" w:rsidRPr="0076436D" w:rsidRDefault="00A457A5" w:rsidP="00F47340">
      <w:pPr>
        <w:pStyle w:val="Brdtexthalv"/>
        <w:keepNext/>
        <w:keepLines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1</w:t>
      </w:r>
      <w:r>
        <w:rPr>
          <w:sz w:val="19"/>
          <w:rFonts w:ascii="Times New Roman" w:hAnsi="Times New Roman"/>
        </w:rPr>
        <w:t xml:space="preserve"> Mimo to, co je uvedeno v kapitole 14 § 4 zákona o hazardních hrách (2018:1138), musí být hráčům neustále bezprostředně k dispozici následující informace: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jméno, telefonní číslo a e-mailová adresa držitele licence;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případně informace o příjemci;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prodejní doba a/nebo doba, na kterou se vztahuje licence;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případná rizika související s hraním her o peníze;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kontaktní informace na linku pomoci při problémovém hraní hazardních her – nezávislou na provozování hazardních her – která může nabídnout pomoc na základě okolností panujících ve Švédsku;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skutečnost, že Švédský úřad pro hazardní hry je příslušným orgánem vydávajícím licence a provádějícím dohled;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cena losu, vklad apod. do dotčené loterie;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veškeré další náklady na účast v dotčené loterii; a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popřípadě počet losů do loterie nebo ekvivalentu.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Pokud se výhra nevyplácí ihned, obdrží hráči i informace týkající se lhůty a způsobu vyplacení výher a nejzazší termín výplaty výhry.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V případě loterií s následným slosováním a bezlosových loterií musí být také poskytnuty informace o čase a způsobu publikování výsledků slosování a o datu případného slosování rozdělení výher.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Obecná doporučení: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Nezávislou linkou pomoci může být například „Stödlinjen“.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2</w:t>
      </w:r>
      <w:r>
        <w:rPr>
          <w:sz w:val="19"/>
          <w:rFonts w:ascii="Times New Roman" w:hAnsi="Times New Roman"/>
        </w:rPr>
        <w:t xml:space="preserve"> Na fyzických losech nebo ekvivalentu musí být jasně a viditelně uvedeny informace uvedené v § 1.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rFonts w:ascii="Times New Roman" w:hAnsi="Times New Roman"/>
        </w:rPr>
        <w:t xml:space="preserve">Informace uvedené v § 1 bodech 2, 4 a 6, však mohou být zpřístupněny i jiným způsobem než na losu do loterie, pokud je na losu uvedeno, kde jsou tyto informace k dispozici.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Na fyzických losech do loterie musí být jasně a výrazně uvedena výplatní tabulka.</w:t>
      </w:r>
    </w:p>
    <w:p w:rsidR="00A457A5" w:rsidRPr="0076436D" w:rsidRDefault="00A457A5" w:rsidP="00F47340">
      <w:pPr>
        <w:pStyle w:val="brdtextfyrkant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Informace o případných dodavatelích podle kapitoly 11 § 6 zákona o hazardních hrách (2018: 1138) lze uvést pouze tehdy, pokud je to nutné pro to, aby mohli hráči uplatnit svá práva.</w:t>
      </w:r>
    </w:p>
    <w:p w:rsidR="00A457A5" w:rsidRPr="0076436D" w:rsidRDefault="00DE28EA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Obecná doporučení: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Výplatní tabulka může být například uvedena na rubové straně fyzických losů do loterie.</w:t>
      </w:r>
    </w:p>
    <w:p w:rsidR="00A457A5" w:rsidRPr="0076436D" w:rsidRDefault="00A457A5" w:rsidP="00F47340">
      <w:pPr>
        <w:pStyle w:val="brdtextfyrkant"/>
        <w:ind w:left="1120" w:firstLine="20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Hráčům by mělo být jasné, kdo je držitelem nebo příjemcem licence.</w:t>
      </w:r>
      <w:r>
        <w:rPr>
          <w:sz w:val="19"/>
          <w:rFonts w:ascii="Times New Roman" w:hAnsi="Times New Roman"/>
        </w:rPr>
        <w:t xml:space="preserve"> </w:t>
      </w:r>
      <w:r>
        <w:rPr>
          <w:sz w:val="19"/>
          <w:rFonts w:ascii="Times New Roman" w:hAnsi="Times New Roman"/>
        </w:rPr>
        <w:t xml:space="preserve">Informace o držiteli nebo příjemci licence mohou být například uvedeny na lícové straně fyzických losů do loterie.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3</w:t>
      </w:r>
      <w:r>
        <w:rPr>
          <w:sz w:val="19"/>
          <w:rFonts w:ascii="Times New Roman" w:hAnsi="Times New Roman"/>
        </w:rPr>
        <w:t xml:space="preserve"> Při koupi losů, které vyžadují registraci podle kapitoly 12 § 1 zákona o hazardních hrách (2018:1138), musí být hráčům před tím, než se budou moci zaregistrovat, poskytnuty informace podle § 1 bodů 4–6 a informace o možnosti omezit účast ve hrách podle kapitoly 14 § 7, § 11 odst. 1 a § 12 zákona o hazardních hrách a kapitoly 11 § 3 vyhlášky o hazardních hrách (2018:1475).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4</w:t>
      </w:r>
      <w:r>
        <w:rPr>
          <w:sz w:val="19"/>
          <w:rFonts w:ascii="Times New Roman" w:hAnsi="Times New Roman"/>
        </w:rPr>
        <w:t xml:space="preserve"> Pokud je loterie poskytována on-line, informace uvedené v § 1 odst. 1 bodech 1–3 a 5 musí být jasně uvedeny na domovské stránce držitele licence společně s logem Švédského úřadu pro hazardní hry, odkazem na internetovou stránku úřadu a odkazem na podmínky využívání.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5</w:t>
      </w:r>
      <w:r>
        <w:rPr>
          <w:sz w:val="19"/>
          <w:rFonts w:ascii="Times New Roman" w:hAnsi="Times New Roman"/>
        </w:rPr>
        <w:t xml:space="preserve"> Pokud se změní stávající podmínky využívání, a daná změna není změnou nevýznamnou, musí být hráči o změnách informováni ještě před tím, než tyto změny nabudou účinnosti.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Obecná doporučení:</w:t>
      </w:r>
    </w:p>
    <w:p w:rsidR="00A457A5" w:rsidRPr="0076436D" w:rsidRDefault="00A457A5" w:rsidP="00F47340">
      <w:pPr>
        <w:pStyle w:val="Brdtexthalv"/>
        <w:ind w:left="112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Za nevýznamnou změnu lze považovat například opravu pravopisných chyb.</w:t>
      </w:r>
    </w:p>
    <w:p w:rsidR="00A457A5" w:rsidRPr="0076436D" w:rsidRDefault="00A457A5" w:rsidP="00F47340">
      <w:pPr>
        <w:pStyle w:val="brdtextfyrkant"/>
        <w:ind w:left="1120" w:firstLine="200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Informace pro hráče o změnách podmínek využívání mohou být podány například formou písemného oznámení o změně nebo sdělením o nových podmínkách využívání, které hráč odsouhlasí při přihlašování.</w:t>
      </w:r>
    </w:p>
    <w:p w:rsidR="00A457A5" w:rsidRPr="0076436D" w:rsidRDefault="00A457A5" w:rsidP="00F47340">
      <w:pPr>
        <w:pStyle w:val="Rubrik2"/>
        <w:keepLines/>
        <w:rPr>
          <w:w w:val="100"/>
          <w:sz w:val="21"/>
          <w:szCs w:val="21"/>
          <w:rFonts w:ascii="Times New Roman" w:hAnsi="Times New Roman" w:cs="Times New Roman"/>
        </w:rPr>
      </w:pPr>
      <w:r>
        <w:rPr>
          <w:sz w:val="21"/>
          <w:rFonts w:ascii="Times New Roman" w:hAnsi="Times New Roman"/>
        </w:rPr>
        <w:t xml:space="preserve">Kapitola 9.</w:t>
      </w:r>
      <w:r>
        <w:rPr>
          <w:sz w:val="21"/>
          <w:rFonts w:ascii="Times New Roman" w:hAnsi="Times New Roman"/>
        </w:rPr>
        <w:t xml:space="preserve"> </w:t>
      </w:r>
      <w:r>
        <w:rPr>
          <w:sz w:val="21"/>
          <w:rFonts w:ascii="Times New Roman" w:hAnsi="Times New Roman"/>
        </w:rPr>
        <w:t xml:space="preserve">Držitelé licence musí být schopni vytvářet přehledy s následujícími informacemi</w:t>
      </w:r>
    </w:p>
    <w:p w:rsidR="00A457A5" w:rsidRPr="0076436D" w:rsidRDefault="00A457A5" w:rsidP="00F47340">
      <w:pPr>
        <w:pStyle w:val="Brdtexthalv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1 </w:t>
      </w:r>
      <w:r>
        <w:rPr>
          <w:sz w:val="19"/>
          <w:rFonts w:ascii="Times New Roman" w:hAnsi="Times New Roman"/>
        </w:rPr>
        <w:t xml:space="preserve">Držitelé licence se musí evidovat a být schopni vytvářet přehledy pro každou sérii nebo kolo losů do loterie nebo ekvivalentu v souladu s udělenou licencí s následujícími informacemi: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celkový počet vytištěných losů do loterie na každou výplatní tabulku;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celkový počet prodaných losů do loterie: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celkové příjmy z prodaných losů do loterie;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celková výše vyplacených výher;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celková výše vyplacených výher na každé úrovni výplatní tabulky; a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skutečný výsledek výplatního poměru.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b/>
          <w:rFonts w:ascii="Times New Roman" w:hAnsi="Times New Roman"/>
        </w:rPr>
        <w:t xml:space="preserve">§ 2 </w:t>
      </w:r>
      <w:r>
        <w:rPr>
          <w:sz w:val="19"/>
          <w:rFonts w:ascii="Times New Roman" w:hAnsi="Times New Roman"/>
        </w:rPr>
        <w:t xml:space="preserve">Držitelé licence zdokumentují a budou schopni vytvářet přehledy o losech do loterie, se kterými bylo před prodejem manipulováno, nebo jinak zmizely.</w:t>
      </w:r>
    </w:p>
    <w:p w:rsidR="00A457A5" w:rsidRPr="0076436D" w:rsidRDefault="00A457A5" w:rsidP="00265800">
      <w:pPr>
        <w:pStyle w:val="brdtextfyrkant"/>
        <w:numPr>
          <w:ilvl w:val="0"/>
          <w:numId w:val="5"/>
        </w:numPr>
        <w:pBdr>
          <w:top w:val="single" w:sz="4" w:space="1" w:color="auto"/>
        </w:pBd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Tyto předpisy vstupují v platnost dne 1. ledna 2019.</w:t>
      </w:r>
    </w:p>
    <w:p w:rsidR="00A457A5" w:rsidRPr="0076436D" w:rsidRDefault="00A457A5" w:rsidP="00265800">
      <w:pPr>
        <w:pStyle w:val="brdtextfyrkant"/>
        <w:numPr>
          <w:ilvl w:val="0"/>
          <w:numId w:val="5"/>
        </w:numPr>
        <w:tabs>
          <w:tab w:val="left" w:pos="426"/>
        </w:tabs>
        <w:ind w:left="0" w:firstLine="181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Tyto předpisy platí i v případě žádosti o povolení, které budou podány k Švédskému úřadu pro hazardní hry po 1. srpnu 2018 a které se týkají období po 1. lednu 2019.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Jménem Švédského úřadu pro hazardní hry</w:t>
      </w:r>
    </w:p>
    <w:p w:rsidR="00A457A5" w:rsidRPr="0076436D" w:rsidRDefault="00A457A5" w:rsidP="00F47340">
      <w:pPr>
        <w:pStyle w:val="Brdtextblank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CAMILLA ROSENBERG</w:t>
      </w:r>
    </w:p>
    <w:p w:rsidR="00A457A5" w:rsidRPr="0076436D" w:rsidRDefault="00A457A5" w:rsidP="00F47340">
      <w:pPr>
        <w:pStyle w:val="BodyText"/>
        <w:jc w:val="center"/>
        <w:rPr>
          <w:w w:val="100"/>
          <w:sz w:val="19"/>
          <w:szCs w:val="19"/>
          <w:rFonts w:ascii="Times New Roman" w:hAnsi="Times New Roman" w:cs="Times New Roman"/>
        </w:rPr>
      </w:pPr>
      <w:r>
        <w:rPr>
          <w:sz w:val="19"/>
          <w:rFonts w:ascii="Times New Roman" w:hAnsi="Times New Roman"/>
        </w:rPr>
        <w:t xml:space="preserve">Johan Röhr</w:t>
      </w:r>
    </w:p>
    <w:sectPr w:rsidR="00A457A5" w:rsidRPr="00764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354" w:h="13720"/>
      <w:pgMar w:top="680" w:right="2306" w:bottom="1302" w:left="115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5B6" w:rsidRDefault="00CE35B6">
      <w:pPr>
        <w:spacing w:after="0" w:line="240" w:lineRule="auto"/>
      </w:pPr>
      <w:r>
        <w:separator/>
      </w:r>
    </w:p>
  </w:endnote>
  <w:endnote w:type="continuationSeparator" w:id="0">
    <w:p w:rsidR="00CE35B6" w:rsidRDefault="00CE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A5" w:rsidRPr="00B06CA7" w:rsidRDefault="00A457A5">
    <w:pPr>
      <w:pStyle w:val="Footer"/>
      <w:tabs>
        <w:tab w:val="center" w:pos="12800"/>
        <w:tab w:val="right" w:pos="25600"/>
      </w:tabs>
      <w:jc w:val="left"/>
      <w:rPr>
        <w:rStyle w:val="Pagina"/>
        <w:w w:val="100"/>
        <w:rFonts w:ascii="Times New Roman" w:hAnsi="Times New Roman" w:cs="Times New Roman"/>
      </w:rPr>
    </w:pPr>
    <w:r w:rsidRPr="00B06CA7">
      <w:rPr>
        <w:rStyle w:val="Pagina"/>
        <w:rFonts w:ascii="Times New Roman" w:hAnsi="Times New Roman" w:cs="Times New Roman"/>
      </w:rPr>
      <w:fldChar w:fldCharType="begin"/>
    </w:r>
    <w:r w:rsidRPr="00B06CA7">
      <w:rPr>
        <w:rStyle w:val="Pagina"/>
        <w:rFonts w:ascii="Times New Roman" w:hAnsi="Times New Roman" w:cs="Times New Roman"/>
      </w:rPr>
      <w:instrText xml:space="preserve"> PAGE </w:instrText>
    </w:r>
    <w:r w:rsidRPr="00B06CA7">
      <w:rPr>
        <w:rStyle w:val="Pagina"/>
        <w:rFonts w:ascii="Times New Roman" w:hAnsi="Times New Roman" w:cs="Times New Roman"/>
      </w:rPr>
      <w:fldChar w:fldCharType="separate"/>
    </w:r>
    <w:r w:rsidR="00BC3FA5">
      <w:rPr>
        <w:rStyle w:val="Pagina"/>
        <w:rFonts w:ascii="Times New Roman" w:hAnsi="Times New Roman" w:cs="Times New Roman"/>
      </w:rPr>
      <w:t>2</w:t>
    </w:r>
    <w:r w:rsidRPr="00B06CA7">
      <w:rPr>
        <w:rStyle w:val="Pagina"/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A5" w:rsidRPr="00B06CA7" w:rsidRDefault="00A457A5">
    <w:pPr>
      <w:pStyle w:val="Footer"/>
      <w:tabs>
        <w:tab w:val="center" w:pos="12800"/>
        <w:tab w:val="right" w:pos="25600"/>
      </w:tabs>
      <w:rPr>
        <w:rStyle w:val="Pagina"/>
        <w:w w:val="100"/>
        <w:rFonts w:ascii="Times New Roman" w:hAnsi="Times New Roman" w:cs="Times New Roman"/>
      </w:rPr>
    </w:pPr>
    <w:r w:rsidRPr="00B06CA7">
      <w:rPr>
        <w:rStyle w:val="Pagina"/>
        <w:rFonts w:ascii="Times New Roman" w:hAnsi="Times New Roman" w:cs="Times New Roman"/>
      </w:rPr>
      <w:fldChar w:fldCharType="begin"/>
    </w:r>
    <w:r w:rsidRPr="00B06CA7">
      <w:rPr>
        <w:rStyle w:val="Pagina"/>
        <w:rFonts w:ascii="Times New Roman" w:hAnsi="Times New Roman" w:cs="Times New Roman"/>
      </w:rPr>
      <w:instrText xml:space="preserve"> PAGE </w:instrText>
    </w:r>
    <w:r w:rsidRPr="00B06CA7">
      <w:rPr>
        <w:rStyle w:val="Pagina"/>
        <w:rFonts w:ascii="Times New Roman" w:hAnsi="Times New Roman" w:cs="Times New Roman"/>
      </w:rPr>
      <w:fldChar w:fldCharType="separate"/>
    </w:r>
    <w:r w:rsidR="00BC3FA5">
      <w:rPr>
        <w:rStyle w:val="Pagina"/>
        <w:rFonts w:ascii="Times New Roman" w:hAnsi="Times New Roman" w:cs="Times New Roman"/>
      </w:rPr>
      <w:t>9</w:t>
    </w:r>
    <w:r w:rsidRPr="00B06CA7">
      <w:rPr>
        <w:rStyle w:val="Pagina"/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A5" w:rsidRPr="00B06CA7" w:rsidRDefault="00A457A5">
    <w:pPr>
      <w:pStyle w:val="Footer"/>
      <w:rPr>
        <w:rStyle w:val="Pagina"/>
        <w:w w:val="100"/>
        <w:rFonts w:ascii="Times New Roman" w:hAnsi="Times New Roman" w:cs="Times New Roman"/>
      </w:rPr>
    </w:pPr>
    <w:r w:rsidRPr="00B06CA7">
      <w:rPr>
        <w:rStyle w:val="Pagina"/>
        <w:rFonts w:ascii="Times New Roman" w:hAnsi="Times New Roman" w:cs="Times New Roman"/>
      </w:rPr>
      <w:fldChar w:fldCharType="begin"/>
    </w:r>
    <w:r w:rsidRPr="00B06CA7">
      <w:rPr>
        <w:rStyle w:val="Pagina"/>
        <w:rFonts w:ascii="Times New Roman" w:hAnsi="Times New Roman" w:cs="Times New Roman"/>
      </w:rPr>
      <w:instrText xml:space="preserve"> PAGE </w:instrText>
    </w:r>
    <w:r w:rsidRPr="00B06CA7">
      <w:rPr>
        <w:rStyle w:val="Pagina"/>
        <w:rFonts w:ascii="Times New Roman" w:hAnsi="Times New Roman" w:cs="Times New Roman"/>
      </w:rPr>
      <w:fldChar w:fldCharType="separate"/>
    </w:r>
    <w:r w:rsidR="00BC3FA5">
      <w:rPr>
        <w:rStyle w:val="Pagina"/>
        <w:rFonts w:ascii="Times New Roman" w:hAnsi="Times New Roman" w:cs="Times New Roman"/>
      </w:rPr>
      <w:t>1</w:t>
    </w:r>
    <w:r w:rsidRPr="00B06CA7">
      <w:rPr>
        <w:rStyle w:val="Pagina"/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5B6" w:rsidRDefault="00CE35B6">
      <w:pPr>
        <w:spacing w:after="0" w:line="240" w:lineRule="auto"/>
      </w:pPr>
      <w:r>
        <w:separator/>
      </w:r>
    </w:p>
  </w:footnote>
  <w:footnote w:type="continuationSeparator" w:id="0">
    <w:p w:rsidR="00CE35B6" w:rsidRDefault="00CE35B6">
      <w:pPr>
        <w:spacing w:after="0" w:line="240" w:lineRule="auto"/>
      </w:pPr>
      <w:r>
        <w:continuationSeparator/>
      </w:r>
    </w:p>
  </w:footnote>
  <w:footnote w:id="1">
    <w:p w:rsidR="00A457A5" w:rsidRPr="00DE28EA" w:rsidRDefault="00A457A5">
      <w:pPr>
        <w:pStyle w:val="Fotnot"/>
        <w:rPr>
          <w:w w:val="100"/>
          <w:sz w:val="17"/>
          <w:szCs w:val="17"/>
          <w:rFonts w:ascii="Times New Roman" w:hAnsi="Times New Roman" w:cs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sz w:val="17"/>
          <w:rFonts w:ascii="Times New Roman" w:hAnsi="Times New Roman"/>
        </w:rPr>
        <w:t xml:space="preserve"> </w:t>
      </w:r>
      <w:r>
        <w:rPr>
          <w:sz w:val="17"/>
          <w:rFonts w:ascii="Times New Roman" w:hAnsi="Times New Roman"/>
        </w:rPr>
        <w:t xml:space="preserve">Viz směrnice Evropského parlamentu a Rady (EU) 2015/1535 ze dne 9. září 2015 o postupu při poskytování informací v oblasti technických předpisů a předpisů pro služby informační společnosti.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A5" w:rsidRPr="00B06CA7" w:rsidRDefault="00A457A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A5" w:rsidRPr="00B06CA7" w:rsidRDefault="00A457A5" w:rsidP="00B06CA7">
    <w:pPr>
      <w:pStyle w:val="Header"/>
      <w:tabs>
        <w:tab w:val="clear" w:pos="2680"/>
        <w:tab w:val="clear" w:pos="4860"/>
        <w:tab w:val="center" w:pos="3840"/>
        <w:tab w:val="right" w:pos="7680"/>
        <w:tab w:val="center" w:pos="14920"/>
        <w:tab w:val="right" w:pos="29840"/>
      </w:tabs>
      <w:suppressAutoHyphens/>
      <w:jc w:val="right"/>
      <w:rPr>
        <w:w w:val="100"/>
        <w:sz w:val="21"/>
        <w:szCs w:val="21"/>
        <w:rFonts w:ascii="Times New Roman" w:hAnsi="Times New Roman" w:cs="Times New Roman"/>
      </w:rPr>
    </w:pPr>
    <w:r>
      <w:rPr>
        <w:sz w:val="21"/>
        <w:rFonts w:ascii="Times New Roman" w:hAnsi="Times New Roman"/>
      </w:rPr>
      <w:t xml:space="preserve">LIFS 2018:4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A5" w:rsidRPr="00B06CA7" w:rsidRDefault="00A457A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2E54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CB7C03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3A3C52"/>
    <w:multiLevelType w:val="hybridMultilevel"/>
    <w:tmpl w:val="A84C1E32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FD2128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9B198B"/>
    <w:multiLevelType w:val="hybridMultilevel"/>
    <w:tmpl w:val="6786FB40"/>
    <w:lvl w:ilvl="0" w:tplc="B67C5E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5E5520B7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56B0796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B4345C3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24C1E4B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77507C3"/>
    <w:multiLevelType w:val="hybridMultilevel"/>
    <w:tmpl w:val="0332EE3C"/>
    <w:lvl w:ilvl="0" w:tplc="11843B7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dirty" w:grammar="dirty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6D"/>
    <w:rsid w:val="00160D7C"/>
    <w:rsid w:val="001B10D4"/>
    <w:rsid w:val="00224CE3"/>
    <w:rsid w:val="002534DF"/>
    <w:rsid w:val="00265800"/>
    <w:rsid w:val="003818B4"/>
    <w:rsid w:val="003A531E"/>
    <w:rsid w:val="003D5B62"/>
    <w:rsid w:val="00462030"/>
    <w:rsid w:val="005D32FE"/>
    <w:rsid w:val="006C64A7"/>
    <w:rsid w:val="0076436D"/>
    <w:rsid w:val="00971EE7"/>
    <w:rsid w:val="009774BE"/>
    <w:rsid w:val="00A457A5"/>
    <w:rsid w:val="00B06CA7"/>
    <w:rsid w:val="00B62056"/>
    <w:rsid w:val="00B64244"/>
    <w:rsid w:val="00B97BEE"/>
    <w:rsid w:val="00BC3FA5"/>
    <w:rsid w:val="00BD10A6"/>
    <w:rsid w:val="00CE35B6"/>
    <w:rsid w:val="00DE28EA"/>
    <w:rsid w:val="00F4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tgivare">
    <w:name w:val="Utgivare"/>
    <w:pPr>
      <w:widowControl w:val="0"/>
      <w:tabs>
        <w:tab w:val="left" w:pos="100"/>
      </w:tabs>
      <w:autoSpaceDE w:val="0"/>
      <w:autoSpaceDN w:val="0"/>
      <w:adjustRightInd w:val="0"/>
      <w:spacing w:before="180" w:line="160" w:lineRule="atLeast"/>
      <w:jc w:val="both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Fristende7cic">
    <w:name w:val="Fristående 7 cic"/>
    <w:uiPriority w:val="99"/>
    <w:pPr>
      <w:tabs>
        <w:tab w:val="left" w:pos="1980"/>
      </w:tabs>
      <w:autoSpaceDE w:val="0"/>
      <w:autoSpaceDN w:val="0"/>
      <w:adjustRightInd w:val="0"/>
      <w:spacing w:before="100" w:line="220" w:lineRule="atLeast"/>
      <w:ind w:left="1980" w:hanging="19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tabs>
        <w:tab w:val="left" w:pos="2940"/>
      </w:tabs>
      <w:autoSpaceDE w:val="0"/>
      <w:autoSpaceDN w:val="0"/>
      <w:adjustRightInd w:val="0"/>
      <w:spacing w:after="0"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character" w:customStyle="1" w:styleId="BodyTextChar">
    <w:name w:val="Body Text Char"/>
    <w:link w:val="BodyText"/>
    <w:uiPriority w:val="99"/>
  </w:style>
  <w:style w:type="paragraph" w:customStyle="1" w:styleId="Brdtextblank">
    <w:name w:val="Brödtext blank"/>
    <w:uiPriority w:val="99"/>
    <w:pPr>
      <w:tabs>
        <w:tab w:val="left" w:pos="3060"/>
      </w:tabs>
      <w:autoSpaceDE w:val="0"/>
      <w:autoSpaceDN w:val="0"/>
      <w:adjustRightInd w:val="0"/>
      <w:spacing w:before="220"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Brdtexthalv">
    <w:name w:val="Brödtext halv"/>
    <w:uiPriority w:val="99"/>
    <w:pPr>
      <w:autoSpaceDE w:val="0"/>
      <w:autoSpaceDN w:val="0"/>
      <w:adjustRightInd w:val="0"/>
      <w:spacing w:before="100"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Brdtextlinje">
    <w:name w:val="Brödtext linje"/>
    <w:uiPriority w:val="99"/>
    <w:pPr>
      <w:pBdr>
        <w:top w:val="single" w:sz="8" w:space="0" w:color="auto"/>
      </w:pBdr>
      <w:autoSpaceDE w:val="0"/>
      <w:autoSpaceDN w:val="0"/>
      <w:adjustRightInd w:val="0"/>
      <w:spacing w:line="220" w:lineRule="atLeast"/>
      <w:ind w:firstLine="1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Fotnot">
    <w:name w:val="Fotnot"/>
    <w:uiPriority w:val="99"/>
    <w:pPr>
      <w:widowControl w:val="0"/>
      <w:tabs>
        <w:tab w:val="left" w:pos="100"/>
      </w:tabs>
      <w:autoSpaceDE w:val="0"/>
      <w:autoSpaceDN w:val="0"/>
      <w:adjustRightInd w:val="0"/>
      <w:spacing w:line="160" w:lineRule="atLeast"/>
      <w:jc w:val="both"/>
    </w:pPr>
    <w:rPr>
      <w:rFonts w:ascii="Times" w:hAnsi="Times" w:cs="Times"/>
      <w:color w:val="000000"/>
      <w:w w:val="0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3840"/>
        <w:tab w:val="right" w:pos="7680"/>
      </w:tabs>
      <w:autoSpaceDE w:val="0"/>
      <w:autoSpaceDN w:val="0"/>
      <w:adjustRightInd w:val="0"/>
      <w:spacing w:after="0" w:line="220" w:lineRule="atLeast"/>
      <w:jc w:val="right"/>
    </w:pPr>
    <w:rPr>
      <w:rFonts w:ascii="Times" w:hAnsi="Times" w:cs="Times"/>
      <w:color w:val="000000"/>
      <w:w w:val="0"/>
      <w:sz w:val="18"/>
      <w:szCs w:val="18"/>
    </w:rPr>
  </w:style>
  <w:style w:type="character" w:customStyle="1" w:styleId="FooterChar">
    <w:name w:val="Footer Char"/>
    <w:link w:val="Footer"/>
    <w:uiPriority w:val="99"/>
    <w:semiHidden/>
  </w:style>
  <w:style w:type="paragraph" w:styleId="Header">
    <w:name w:val="header"/>
    <w:aliases w:val="extra"/>
    <w:basedOn w:val="Normal"/>
    <w:link w:val="HeaderChar"/>
    <w:uiPriority w:val="99"/>
    <w:pPr>
      <w:widowControl w:val="0"/>
      <w:tabs>
        <w:tab w:val="left" w:pos="2680"/>
        <w:tab w:val="left" w:pos="4860"/>
      </w:tabs>
      <w:autoSpaceDE w:val="0"/>
      <w:autoSpaceDN w:val="0"/>
      <w:adjustRightInd w:val="0"/>
      <w:spacing w:after="0" w:line="240" w:lineRule="atLeast"/>
      <w:jc w:val="both"/>
    </w:pPr>
    <w:rPr>
      <w:rFonts w:ascii="Times" w:hAnsi="Times" w:cs="Times"/>
      <w:b/>
      <w:bCs/>
      <w:color w:val="000000"/>
      <w:w w:val="0"/>
      <w:sz w:val="20"/>
      <w:szCs w:val="20"/>
    </w:rPr>
  </w:style>
  <w:style w:type="character" w:customStyle="1" w:styleId="HeaderChar">
    <w:name w:val="Header Char"/>
    <w:aliases w:val="extra Char"/>
    <w:link w:val="Header"/>
    <w:uiPriority w:val="99"/>
    <w:semiHidden/>
  </w:style>
  <w:style w:type="paragraph" w:customStyle="1" w:styleId="Rubrik1">
    <w:name w:val="Rubrik1"/>
    <w:uiPriority w:val="99"/>
    <w:pPr>
      <w:widowControl w:val="0"/>
      <w:suppressAutoHyphens/>
      <w:autoSpaceDE w:val="0"/>
      <w:autoSpaceDN w:val="0"/>
      <w:adjustRightInd w:val="0"/>
      <w:spacing w:line="240" w:lineRule="atLeast"/>
      <w:ind w:right="240"/>
    </w:pPr>
    <w:rPr>
      <w:rFonts w:ascii="Times" w:hAnsi="Times" w:cs="Times"/>
      <w:b/>
      <w:bCs/>
      <w:color w:val="000000"/>
      <w:w w:val="0"/>
      <w:sz w:val="24"/>
      <w:szCs w:val="24"/>
    </w:rPr>
  </w:style>
  <w:style w:type="paragraph" w:customStyle="1" w:styleId="Rubrik2engelsk">
    <w:name w:val="Rubrik2 engelsk"/>
    <w:uiPriority w:val="99"/>
    <w:pPr>
      <w:keepNext/>
      <w:widowControl w:val="0"/>
      <w:autoSpaceDE w:val="0"/>
      <w:autoSpaceDN w:val="0"/>
      <w:adjustRightInd w:val="0"/>
      <w:spacing w:before="320" w:line="200" w:lineRule="atLeast"/>
      <w:jc w:val="both"/>
    </w:pPr>
    <w:rPr>
      <w:rFonts w:ascii="Times" w:hAnsi="Times" w:cs="Times"/>
      <w:b/>
      <w:bCs/>
      <w:color w:val="000000"/>
      <w:w w:val="0"/>
    </w:rPr>
  </w:style>
  <w:style w:type="paragraph" w:customStyle="1" w:styleId="Rubrik3">
    <w:name w:val="Rubrik3"/>
    <w:uiPriority w:val="99"/>
    <w:pPr>
      <w:keepNext/>
      <w:widowControl w:val="0"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b/>
      <w:bCs/>
      <w:color w:val="000000"/>
      <w:w w:val="0"/>
      <w:sz w:val="18"/>
      <w:szCs w:val="18"/>
    </w:rPr>
  </w:style>
  <w:style w:type="paragraph" w:customStyle="1" w:styleId="Rubrik30">
    <w:name w:val="Rubrik30"/>
    <w:uiPriority w:val="99"/>
    <w:pPr>
      <w:keepNext/>
      <w:widowControl w:val="0"/>
      <w:suppressAutoHyphens/>
      <w:autoSpaceDE w:val="0"/>
      <w:autoSpaceDN w:val="0"/>
      <w:adjustRightInd w:val="0"/>
      <w:spacing w:before="100" w:line="220" w:lineRule="atLeast"/>
    </w:pPr>
    <w:rPr>
      <w:rFonts w:ascii="Times" w:hAnsi="Times" w:cs="Times"/>
      <w:b/>
      <w:bCs/>
      <w:color w:val="000000"/>
      <w:w w:val="0"/>
      <w:sz w:val="18"/>
      <w:szCs w:val="18"/>
    </w:rPr>
  </w:style>
  <w:style w:type="paragraph" w:customStyle="1" w:styleId="Kantrubrik">
    <w:name w:val="Kantrubrik"/>
    <w:uiPriority w:val="99"/>
    <w:pPr>
      <w:widowControl w:val="0"/>
      <w:suppressAutoHyphens/>
      <w:autoSpaceDE w:val="0"/>
      <w:autoSpaceDN w:val="0"/>
      <w:adjustRightInd w:val="0"/>
      <w:spacing w:line="280" w:lineRule="atLeast"/>
    </w:pPr>
    <w:rPr>
      <w:rFonts w:ascii="Times" w:hAnsi="Times" w:cs="Times"/>
      <w:b/>
      <w:bCs/>
      <w:color w:val="000000"/>
      <w:w w:val="0"/>
      <w:sz w:val="22"/>
      <w:szCs w:val="22"/>
    </w:rPr>
  </w:style>
  <w:style w:type="paragraph" w:customStyle="1" w:styleId="Rubrik4">
    <w:name w:val="Rubrik4"/>
    <w:uiPriority w:val="99"/>
    <w:pPr>
      <w:keepNext/>
      <w:widowControl w:val="0"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i/>
      <w:iCs/>
      <w:color w:val="000000"/>
      <w:w w:val="0"/>
      <w:sz w:val="18"/>
      <w:szCs w:val="18"/>
    </w:rPr>
  </w:style>
  <w:style w:type="paragraph" w:customStyle="1" w:styleId="Rubrik40">
    <w:name w:val="Rubrik40"/>
    <w:uiPriority w:val="99"/>
    <w:pPr>
      <w:keepNext/>
      <w:widowControl w:val="0"/>
      <w:suppressAutoHyphens/>
      <w:autoSpaceDE w:val="0"/>
      <w:autoSpaceDN w:val="0"/>
      <w:adjustRightInd w:val="0"/>
      <w:spacing w:before="100" w:line="220" w:lineRule="atLeast"/>
    </w:pPr>
    <w:rPr>
      <w:rFonts w:ascii="Times" w:hAnsi="Times" w:cs="Times"/>
      <w:i/>
      <w:iCs/>
      <w:color w:val="000000"/>
      <w:w w:val="0"/>
      <w:sz w:val="18"/>
      <w:szCs w:val="18"/>
    </w:rPr>
  </w:style>
  <w:style w:type="paragraph" w:customStyle="1" w:styleId="Rubrik400utanluftver">
    <w:name w:val="Rubrik400 utan luft över"/>
    <w:uiPriority w:val="99"/>
    <w:pPr>
      <w:keepNext/>
      <w:widowControl w:val="0"/>
      <w:suppressAutoHyphens/>
      <w:autoSpaceDE w:val="0"/>
      <w:autoSpaceDN w:val="0"/>
      <w:adjustRightInd w:val="0"/>
      <w:spacing w:line="220" w:lineRule="atLeast"/>
    </w:pPr>
    <w:rPr>
      <w:rFonts w:ascii="Times" w:hAnsi="Times" w:cs="Times"/>
      <w:i/>
      <w:iCs/>
      <w:color w:val="000000"/>
      <w:w w:val="0"/>
      <w:sz w:val="18"/>
      <w:szCs w:val="18"/>
    </w:rPr>
  </w:style>
  <w:style w:type="paragraph" w:customStyle="1" w:styleId="Rubrik5">
    <w:name w:val="Rubrik5"/>
    <w:uiPriority w:val="99"/>
    <w:pPr>
      <w:keepNext/>
      <w:widowControl w:val="0"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Rubrik50">
    <w:name w:val="Rubrik50"/>
    <w:uiPriority w:val="99"/>
    <w:pPr>
      <w:keepNext/>
      <w:widowControl w:val="0"/>
      <w:suppressAutoHyphens/>
      <w:autoSpaceDE w:val="0"/>
      <w:autoSpaceDN w:val="0"/>
      <w:adjustRightInd w:val="0"/>
      <w:spacing w:before="100" w:line="220" w:lineRule="atLeast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Strecklinjeunder">
    <w:name w:val="Strecklinje under"/>
    <w:uiPriority w:val="99"/>
    <w:pPr>
      <w:pBdr>
        <w:bottom w:val="single" w:sz="8" w:space="0" w:color="auto"/>
      </w:pBdr>
      <w:tabs>
        <w:tab w:val="left" w:pos="3060"/>
      </w:tabs>
      <w:autoSpaceDE w:val="0"/>
      <w:autoSpaceDN w:val="0"/>
      <w:adjustRightInd w:val="0"/>
      <w:spacing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Strecklinjever">
    <w:name w:val="Strecklinje över"/>
    <w:uiPriority w:val="99"/>
    <w:pPr>
      <w:pBdr>
        <w:top w:val="single" w:sz="8" w:space="0" w:color="auto"/>
      </w:pBdr>
      <w:tabs>
        <w:tab w:val="left" w:pos="2560"/>
        <w:tab w:val="left" w:pos="4600"/>
      </w:tabs>
      <w:autoSpaceDE w:val="0"/>
      <w:autoSpaceDN w:val="0"/>
      <w:adjustRightInd w:val="0"/>
      <w:spacing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Tabellfotnot">
    <w:name w:val="Tabellfotnot"/>
    <w:uiPriority w:val="99"/>
    <w:pPr>
      <w:widowControl w:val="0"/>
      <w:tabs>
        <w:tab w:val="left" w:pos="560"/>
      </w:tabs>
      <w:autoSpaceDE w:val="0"/>
      <w:autoSpaceDN w:val="0"/>
      <w:adjustRightInd w:val="0"/>
      <w:spacing w:line="160" w:lineRule="atLeast"/>
      <w:jc w:val="both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Tabelltext">
    <w:name w:val="Tabelltext"/>
    <w:uiPriority w:val="99"/>
    <w:pPr>
      <w:widowControl w:val="0"/>
      <w:autoSpaceDE w:val="0"/>
      <w:autoSpaceDN w:val="0"/>
      <w:adjustRightInd w:val="0"/>
      <w:spacing w:line="160" w:lineRule="atLeast"/>
      <w:jc w:val="both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Tabelltitel">
    <w:name w:val="Tabelltitel"/>
    <w:uiPriority w:val="99"/>
    <w:pPr>
      <w:keepNext/>
      <w:pageBreakBefore/>
      <w:widowControl w:val="0"/>
      <w:suppressAutoHyphens/>
      <w:autoSpaceDE w:val="0"/>
      <w:autoSpaceDN w:val="0"/>
      <w:adjustRightInd w:val="0"/>
      <w:spacing w:before="180" w:line="180" w:lineRule="atLeast"/>
    </w:pPr>
    <w:rPr>
      <w:rFonts w:ascii="Times" w:hAnsi="Times" w:cs="Times"/>
      <w:b/>
      <w:bCs/>
      <w:color w:val="000000"/>
      <w:w w:val="0"/>
      <w:sz w:val="18"/>
      <w:szCs w:val="18"/>
    </w:rPr>
  </w:style>
  <w:style w:type="paragraph" w:customStyle="1" w:styleId="Text">
    <w:name w:val="Text"/>
    <w:uiPriority w:val="99"/>
    <w:pPr>
      <w:widowControl w:val="0"/>
      <w:tabs>
        <w:tab w:val="left" w:pos="760"/>
      </w:tabs>
      <w:autoSpaceDE w:val="0"/>
      <w:autoSpaceDN w:val="0"/>
      <w:adjustRightInd w:val="0"/>
      <w:spacing w:before="120" w:line="180" w:lineRule="atLeast"/>
      <w:jc w:val="both"/>
    </w:pPr>
    <w:rPr>
      <w:rFonts w:ascii="Times" w:hAnsi="Times" w:cs="Times"/>
      <w:color w:val="000000"/>
      <w:w w:val="0"/>
      <w:sz w:val="14"/>
      <w:szCs w:val="14"/>
    </w:rPr>
  </w:style>
  <w:style w:type="paragraph" w:customStyle="1" w:styleId="brdtextfyrkant">
    <w:name w:val="brödtext fyrkant"/>
    <w:uiPriority w:val="99"/>
    <w:pPr>
      <w:tabs>
        <w:tab w:val="left" w:pos="3060"/>
      </w:tabs>
      <w:autoSpaceDE w:val="0"/>
      <w:autoSpaceDN w:val="0"/>
      <w:adjustRightInd w:val="0"/>
      <w:spacing w:line="220" w:lineRule="atLeast"/>
      <w:ind w:firstLine="1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upprkninga-z">
    <w:name w:val="uppräkning a-z"/>
    <w:uiPriority w:val="99"/>
    <w:pPr>
      <w:tabs>
        <w:tab w:val="left" w:pos="280"/>
      </w:tabs>
      <w:autoSpaceDE w:val="0"/>
      <w:autoSpaceDN w:val="0"/>
      <w:adjustRightInd w:val="0"/>
      <w:spacing w:line="220" w:lineRule="atLeast"/>
      <w:ind w:left="280" w:hanging="2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upprkninga-zstart">
    <w:name w:val="uppräkning a-z start"/>
    <w:uiPriority w:val="99"/>
    <w:pPr>
      <w:tabs>
        <w:tab w:val="left" w:pos="280"/>
      </w:tabs>
      <w:autoSpaceDE w:val="0"/>
      <w:autoSpaceDN w:val="0"/>
      <w:adjustRightInd w:val="0"/>
      <w:spacing w:before="100" w:line="220" w:lineRule="atLeast"/>
      <w:ind w:left="280" w:hanging="2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upprkningstreck">
    <w:name w:val="uppräkning streck"/>
    <w:uiPriority w:val="99"/>
    <w:pPr>
      <w:tabs>
        <w:tab w:val="left" w:pos="560"/>
      </w:tabs>
      <w:autoSpaceDE w:val="0"/>
      <w:autoSpaceDN w:val="0"/>
      <w:adjustRightInd w:val="0"/>
      <w:spacing w:line="220" w:lineRule="atLeast"/>
      <w:ind w:left="560" w:hanging="2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Rubrik2">
    <w:name w:val="Rubrik2"/>
    <w:uiPriority w:val="99"/>
    <w:pPr>
      <w:keepNext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b/>
      <w:bCs/>
      <w:color w:val="000000"/>
      <w:w w:val="0"/>
    </w:rPr>
  </w:style>
  <w:style w:type="paragraph" w:customStyle="1" w:styleId="Brdtextnytt">
    <w:name w:val="Brödtext nytt"/>
    <w:uiPriority w:val="99"/>
    <w:pPr>
      <w:tabs>
        <w:tab w:val="left" w:pos="3060"/>
      </w:tabs>
      <w:autoSpaceDE w:val="0"/>
      <w:autoSpaceDN w:val="0"/>
      <w:adjustRightInd w:val="0"/>
      <w:spacing w:line="220" w:lineRule="atLeast"/>
      <w:ind w:firstLine="180"/>
      <w:jc w:val="both"/>
    </w:pPr>
    <w:rPr>
      <w:rFonts w:ascii="Times" w:hAnsi="Times" w:cs="Times"/>
      <w:color w:val="000000"/>
      <w:w w:val="0"/>
      <w:sz w:val="18"/>
      <w:szCs w:val="18"/>
    </w:rPr>
  </w:style>
  <w:style w:type="character" w:customStyle="1" w:styleId="Bilaga">
    <w:name w:val="Bilaga"/>
    <w:uiPriority w:val="99"/>
    <w:rPr>
      <w:sz w:val="14"/>
      <w:szCs w:val="14"/>
    </w:rPr>
  </w:style>
  <w:style w:type="character" w:customStyle="1" w:styleId="Kursiv">
    <w:name w:val="Kursiv"/>
    <w:uiPriority w:val="99"/>
    <w:rPr>
      <w:rFonts w:ascii="Times" w:hAnsi="Times" w:cs="Times"/>
      <w:i/>
      <w:iCs/>
      <w:color w:val="000000"/>
      <w:u w:val="none"/>
      <w:vertAlign w:val="baseline"/>
    </w:rPr>
  </w:style>
  <w:style w:type="character" w:customStyle="1" w:styleId="Arkisar">
    <w:name w:val="Arkisar"/>
    <w:uiPriority w:val="99"/>
    <w:rPr>
      <w:sz w:val="14"/>
      <w:szCs w:val="14"/>
    </w:rPr>
  </w:style>
  <w:style w:type="character" w:customStyle="1" w:styleId="UnderISSN-nummer">
    <w:name w:val="Under ISSN-nummer"/>
    <w:uiPriority w:val="99"/>
    <w:rPr>
      <w:rFonts w:ascii="Times" w:hAnsi="Times" w:cs="Times"/>
      <w:color w:val="000000"/>
      <w:spacing w:val="0"/>
      <w:sz w:val="15"/>
      <w:szCs w:val="15"/>
      <w:u w:val="none"/>
      <w:vertAlign w:val="baseline"/>
    </w:rPr>
  </w:style>
  <w:style w:type="character" w:customStyle="1" w:styleId="Svfrfattnhalvfet">
    <w:name w:val="Sv.författn. halvfet"/>
    <w:uiPriority w:val="99"/>
    <w:rPr>
      <w:rFonts w:ascii="Times" w:hAnsi="Times" w:cs="Times"/>
      <w:b/>
      <w:bCs/>
      <w:color w:val="000000"/>
      <w:spacing w:val="0"/>
      <w:sz w:val="36"/>
      <w:szCs w:val="36"/>
      <w:u w:val="none"/>
      <w:vertAlign w:val="baseline"/>
    </w:rPr>
  </w:style>
  <w:style w:type="character" w:customStyle="1" w:styleId="Tryckort">
    <w:name w:val="Tryckort"/>
    <w:uiPriority w:val="99"/>
    <w:rPr>
      <w:rFonts w:ascii="Times" w:hAnsi="Times" w:cs="Times"/>
      <w:color w:val="000000"/>
      <w:spacing w:val="0"/>
      <w:sz w:val="11"/>
      <w:szCs w:val="11"/>
      <w:u w:val="none"/>
      <w:vertAlign w:val="baseline"/>
    </w:rPr>
  </w:style>
  <w:style w:type="character" w:styleId="Emphasis">
    <w:name w:val="Emphasis"/>
    <w:uiPriority w:val="99"/>
    <w:qFormat/>
    <w:rPr>
      <w:i/>
      <w:iCs/>
    </w:rPr>
  </w:style>
  <w:style w:type="character" w:customStyle="1" w:styleId="Ekvationsvariabler">
    <w:name w:val="Ekvationsvariabler"/>
    <w:uiPriority w:val="99"/>
    <w:rPr>
      <w:i/>
      <w:iCs/>
    </w:rPr>
  </w:style>
  <w:style w:type="character" w:customStyle="1" w:styleId="Halvfet">
    <w:name w:val="Halvfet"/>
    <w:uiPriority w:val="99"/>
    <w:rPr>
      <w:rFonts w:ascii="Times" w:hAnsi="Times" w:cs="Times"/>
      <w:b/>
      <w:bCs/>
      <w:color w:val="000000"/>
      <w:u w:val="none"/>
      <w:vertAlign w:val="baseline"/>
    </w:rPr>
  </w:style>
  <w:style w:type="character" w:customStyle="1" w:styleId="Pagina">
    <w:name w:val="Pagina"/>
    <w:uiPriority w:val="99"/>
    <w:rPr>
      <w:rFonts w:ascii="Times" w:hAnsi="Times" w:cs="Times"/>
      <w:color w:val="000000"/>
      <w:spacing w:val="0"/>
      <w:sz w:val="19"/>
      <w:szCs w:val="19"/>
      <w:u w:val="none"/>
      <w:vertAlign w:val="baseline"/>
    </w:rPr>
  </w:style>
  <w:style w:type="character" w:customStyle="1" w:styleId="Utkom">
    <w:name w:val="Utkom"/>
    <w:uiPriority w:val="99"/>
    <w:rPr>
      <w:rFonts w:ascii="Times" w:hAnsi="Times" w:cs="Times"/>
      <w:color w:val="000000"/>
      <w:spacing w:val="0"/>
      <w:sz w:val="17"/>
      <w:szCs w:val="17"/>
      <w:u w:val="none"/>
      <w:vertAlign w:val="baseline"/>
    </w:rPr>
  </w:style>
  <w:style w:type="paragraph" w:styleId="PlainText">
    <w:name w:val="Plain Text"/>
    <w:basedOn w:val="Normal"/>
    <w:link w:val="PlainTextChar"/>
    <w:uiPriority w:val="99"/>
    <w:unhideWhenUsed/>
    <w:rsid w:val="003D5B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5B62"/>
    <w:rPr>
      <w:rFonts w:ascii="Consolas" w:hAnsi="Consolas"/>
      <w:sz w:val="21"/>
      <w:szCs w:val="21"/>
      <w:lang w:val="cs-CZ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tgivare">
    <w:name w:val="Utgivare"/>
    <w:pPr>
      <w:widowControl w:val="0"/>
      <w:tabs>
        <w:tab w:val="left" w:pos="100"/>
      </w:tabs>
      <w:autoSpaceDE w:val="0"/>
      <w:autoSpaceDN w:val="0"/>
      <w:adjustRightInd w:val="0"/>
      <w:spacing w:before="180" w:line="160" w:lineRule="atLeast"/>
      <w:jc w:val="both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Fristende7cic">
    <w:name w:val="Fristående 7 cic"/>
    <w:uiPriority w:val="99"/>
    <w:pPr>
      <w:tabs>
        <w:tab w:val="left" w:pos="1980"/>
      </w:tabs>
      <w:autoSpaceDE w:val="0"/>
      <w:autoSpaceDN w:val="0"/>
      <w:adjustRightInd w:val="0"/>
      <w:spacing w:before="100" w:line="220" w:lineRule="atLeast"/>
      <w:ind w:left="1980" w:hanging="19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tabs>
        <w:tab w:val="left" w:pos="2940"/>
      </w:tabs>
      <w:autoSpaceDE w:val="0"/>
      <w:autoSpaceDN w:val="0"/>
      <w:adjustRightInd w:val="0"/>
      <w:spacing w:after="0"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character" w:customStyle="1" w:styleId="BodyTextChar">
    <w:name w:val="Body Text Char"/>
    <w:link w:val="BodyText"/>
    <w:uiPriority w:val="99"/>
  </w:style>
  <w:style w:type="paragraph" w:customStyle="1" w:styleId="Brdtextblank">
    <w:name w:val="Brödtext blank"/>
    <w:uiPriority w:val="99"/>
    <w:pPr>
      <w:tabs>
        <w:tab w:val="left" w:pos="3060"/>
      </w:tabs>
      <w:autoSpaceDE w:val="0"/>
      <w:autoSpaceDN w:val="0"/>
      <w:adjustRightInd w:val="0"/>
      <w:spacing w:before="220"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Brdtexthalv">
    <w:name w:val="Brödtext halv"/>
    <w:uiPriority w:val="99"/>
    <w:pPr>
      <w:autoSpaceDE w:val="0"/>
      <w:autoSpaceDN w:val="0"/>
      <w:adjustRightInd w:val="0"/>
      <w:spacing w:before="100"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Brdtextlinje">
    <w:name w:val="Brödtext linje"/>
    <w:uiPriority w:val="99"/>
    <w:pPr>
      <w:pBdr>
        <w:top w:val="single" w:sz="8" w:space="0" w:color="auto"/>
      </w:pBdr>
      <w:autoSpaceDE w:val="0"/>
      <w:autoSpaceDN w:val="0"/>
      <w:adjustRightInd w:val="0"/>
      <w:spacing w:line="220" w:lineRule="atLeast"/>
      <w:ind w:firstLine="1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Fotnot">
    <w:name w:val="Fotnot"/>
    <w:uiPriority w:val="99"/>
    <w:pPr>
      <w:widowControl w:val="0"/>
      <w:tabs>
        <w:tab w:val="left" w:pos="100"/>
      </w:tabs>
      <w:autoSpaceDE w:val="0"/>
      <w:autoSpaceDN w:val="0"/>
      <w:adjustRightInd w:val="0"/>
      <w:spacing w:line="160" w:lineRule="atLeast"/>
      <w:jc w:val="both"/>
    </w:pPr>
    <w:rPr>
      <w:rFonts w:ascii="Times" w:hAnsi="Times" w:cs="Times"/>
      <w:color w:val="000000"/>
      <w:w w:val="0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3840"/>
        <w:tab w:val="right" w:pos="7680"/>
      </w:tabs>
      <w:autoSpaceDE w:val="0"/>
      <w:autoSpaceDN w:val="0"/>
      <w:adjustRightInd w:val="0"/>
      <w:spacing w:after="0" w:line="220" w:lineRule="atLeast"/>
      <w:jc w:val="right"/>
    </w:pPr>
    <w:rPr>
      <w:rFonts w:ascii="Times" w:hAnsi="Times" w:cs="Times"/>
      <w:color w:val="000000"/>
      <w:w w:val="0"/>
      <w:sz w:val="18"/>
      <w:szCs w:val="18"/>
    </w:rPr>
  </w:style>
  <w:style w:type="character" w:customStyle="1" w:styleId="FooterChar">
    <w:name w:val="Footer Char"/>
    <w:link w:val="Footer"/>
    <w:uiPriority w:val="99"/>
    <w:semiHidden/>
  </w:style>
  <w:style w:type="paragraph" w:styleId="Header">
    <w:name w:val="header"/>
    <w:aliases w:val="extra"/>
    <w:basedOn w:val="Normal"/>
    <w:link w:val="HeaderChar"/>
    <w:uiPriority w:val="99"/>
    <w:pPr>
      <w:widowControl w:val="0"/>
      <w:tabs>
        <w:tab w:val="left" w:pos="2680"/>
        <w:tab w:val="left" w:pos="4860"/>
      </w:tabs>
      <w:autoSpaceDE w:val="0"/>
      <w:autoSpaceDN w:val="0"/>
      <w:adjustRightInd w:val="0"/>
      <w:spacing w:after="0" w:line="240" w:lineRule="atLeast"/>
      <w:jc w:val="both"/>
    </w:pPr>
    <w:rPr>
      <w:rFonts w:ascii="Times" w:hAnsi="Times" w:cs="Times"/>
      <w:b/>
      <w:bCs/>
      <w:color w:val="000000"/>
      <w:w w:val="0"/>
      <w:sz w:val="20"/>
      <w:szCs w:val="20"/>
    </w:rPr>
  </w:style>
  <w:style w:type="character" w:customStyle="1" w:styleId="HeaderChar">
    <w:name w:val="Header Char"/>
    <w:aliases w:val="extra Char"/>
    <w:link w:val="Header"/>
    <w:uiPriority w:val="99"/>
    <w:semiHidden/>
  </w:style>
  <w:style w:type="paragraph" w:customStyle="1" w:styleId="Rubrik1">
    <w:name w:val="Rubrik1"/>
    <w:uiPriority w:val="99"/>
    <w:pPr>
      <w:widowControl w:val="0"/>
      <w:suppressAutoHyphens/>
      <w:autoSpaceDE w:val="0"/>
      <w:autoSpaceDN w:val="0"/>
      <w:adjustRightInd w:val="0"/>
      <w:spacing w:line="240" w:lineRule="atLeast"/>
      <w:ind w:right="240"/>
    </w:pPr>
    <w:rPr>
      <w:rFonts w:ascii="Times" w:hAnsi="Times" w:cs="Times"/>
      <w:b/>
      <w:bCs/>
      <w:color w:val="000000"/>
      <w:w w:val="0"/>
      <w:sz w:val="24"/>
      <w:szCs w:val="24"/>
    </w:rPr>
  </w:style>
  <w:style w:type="paragraph" w:customStyle="1" w:styleId="Rubrik2engelsk">
    <w:name w:val="Rubrik2 engelsk"/>
    <w:uiPriority w:val="99"/>
    <w:pPr>
      <w:keepNext/>
      <w:widowControl w:val="0"/>
      <w:autoSpaceDE w:val="0"/>
      <w:autoSpaceDN w:val="0"/>
      <w:adjustRightInd w:val="0"/>
      <w:spacing w:before="320" w:line="200" w:lineRule="atLeast"/>
      <w:jc w:val="both"/>
    </w:pPr>
    <w:rPr>
      <w:rFonts w:ascii="Times" w:hAnsi="Times" w:cs="Times"/>
      <w:b/>
      <w:bCs/>
      <w:color w:val="000000"/>
      <w:w w:val="0"/>
    </w:rPr>
  </w:style>
  <w:style w:type="paragraph" w:customStyle="1" w:styleId="Rubrik3">
    <w:name w:val="Rubrik3"/>
    <w:uiPriority w:val="99"/>
    <w:pPr>
      <w:keepNext/>
      <w:widowControl w:val="0"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b/>
      <w:bCs/>
      <w:color w:val="000000"/>
      <w:w w:val="0"/>
      <w:sz w:val="18"/>
      <w:szCs w:val="18"/>
    </w:rPr>
  </w:style>
  <w:style w:type="paragraph" w:customStyle="1" w:styleId="Rubrik30">
    <w:name w:val="Rubrik30"/>
    <w:uiPriority w:val="99"/>
    <w:pPr>
      <w:keepNext/>
      <w:widowControl w:val="0"/>
      <w:suppressAutoHyphens/>
      <w:autoSpaceDE w:val="0"/>
      <w:autoSpaceDN w:val="0"/>
      <w:adjustRightInd w:val="0"/>
      <w:spacing w:before="100" w:line="220" w:lineRule="atLeast"/>
    </w:pPr>
    <w:rPr>
      <w:rFonts w:ascii="Times" w:hAnsi="Times" w:cs="Times"/>
      <w:b/>
      <w:bCs/>
      <w:color w:val="000000"/>
      <w:w w:val="0"/>
      <w:sz w:val="18"/>
      <w:szCs w:val="18"/>
    </w:rPr>
  </w:style>
  <w:style w:type="paragraph" w:customStyle="1" w:styleId="Kantrubrik">
    <w:name w:val="Kantrubrik"/>
    <w:uiPriority w:val="99"/>
    <w:pPr>
      <w:widowControl w:val="0"/>
      <w:suppressAutoHyphens/>
      <w:autoSpaceDE w:val="0"/>
      <w:autoSpaceDN w:val="0"/>
      <w:adjustRightInd w:val="0"/>
      <w:spacing w:line="280" w:lineRule="atLeast"/>
    </w:pPr>
    <w:rPr>
      <w:rFonts w:ascii="Times" w:hAnsi="Times" w:cs="Times"/>
      <w:b/>
      <w:bCs/>
      <w:color w:val="000000"/>
      <w:w w:val="0"/>
      <w:sz w:val="22"/>
      <w:szCs w:val="22"/>
    </w:rPr>
  </w:style>
  <w:style w:type="paragraph" w:customStyle="1" w:styleId="Rubrik4">
    <w:name w:val="Rubrik4"/>
    <w:uiPriority w:val="99"/>
    <w:pPr>
      <w:keepNext/>
      <w:widowControl w:val="0"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i/>
      <w:iCs/>
      <w:color w:val="000000"/>
      <w:w w:val="0"/>
      <w:sz w:val="18"/>
      <w:szCs w:val="18"/>
    </w:rPr>
  </w:style>
  <w:style w:type="paragraph" w:customStyle="1" w:styleId="Rubrik40">
    <w:name w:val="Rubrik40"/>
    <w:uiPriority w:val="99"/>
    <w:pPr>
      <w:keepNext/>
      <w:widowControl w:val="0"/>
      <w:suppressAutoHyphens/>
      <w:autoSpaceDE w:val="0"/>
      <w:autoSpaceDN w:val="0"/>
      <w:adjustRightInd w:val="0"/>
      <w:spacing w:before="100" w:line="220" w:lineRule="atLeast"/>
    </w:pPr>
    <w:rPr>
      <w:rFonts w:ascii="Times" w:hAnsi="Times" w:cs="Times"/>
      <w:i/>
      <w:iCs/>
      <w:color w:val="000000"/>
      <w:w w:val="0"/>
      <w:sz w:val="18"/>
      <w:szCs w:val="18"/>
    </w:rPr>
  </w:style>
  <w:style w:type="paragraph" w:customStyle="1" w:styleId="Rubrik400utanluftver">
    <w:name w:val="Rubrik400 utan luft över"/>
    <w:uiPriority w:val="99"/>
    <w:pPr>
      <w:keepNext/>
      <w:widowControl w:val="0"/>
      <w:suppressAutoHyphens/>
      <w:autoSpaceDE w:val="0"/>
      <w:autoSpaceDN w:val="0"/>
      <w:adjustRightInd w:val="0"/>
      <w:spacing w:line="220" w:lineRule="atLeast"/>
    </w:pPr>
    <w:rPr>
      <w:rFonts w:ascii="Times" w:hAnsi="Times" w:cs="Times"/>
      <w:i/>
      <w:iCs/>
      <w:color w:val="000000"/>
      <w:w w:val="0"/>
      <w:sz w:val="18"/>
      <w:szCs w:val="18"/>
    </w:rPr>
  </w:style>
  <w:style w:type="paragraph" w:customStyle="1" w:styleId="Rubrik5">
    <w:name w:val="Rubrik5"/>
    <w:uiPriority w:val="99"/>
    <w:pPr>
      <w:keepNext/>
      <w:widowControl w:val="0"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Rubrik50">
    <w:name w:val="Rubrik50"/>
    <w:uiPriority w:val="99"/>
    <w:pPr>
      <w:keepNext/>
      <w:widowControl w:val="0"/>
      <w:suppressAutoHyphens/>
      <w:autoSpaceDE w:val="0"/>
      <w:autoSpaceDN w:val="0"/>
      <w:adjustRightInd w:val="0"/>
      <w:spacing w:before="100" w:line="220" w:lineRule="atLeast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Strecklinjeunder">
    <w:name w:val="Strecklinje under"/>
    <w:uiPriority w:val="99"/>
    <w:pPr>
      <w:pBdr>
        <w:bottom w:val="single" w:sz="8" w:space="0" w:color="auto"/>
      </w:pBdr>
      <w:tabs>
        <w:tab w:val="left" w:pos="3060"/>
      </w:tabs>
      <w:autoSpaceDE w:val="0"/>
      <w:autoSpaceDN w:val="0"/>
      <w:adjustRightInd w:val="0"/>
      <w:spacing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Strecklinjever">
    <w:name w:val="Strecklinje över"/>
    <w:uiPriority w:val="99"/>
    <w:pPr>
      <w:pBdr>
        <w:top w:val="single" w:sz="8" w:space="0" w:color="auto"/>
      </w:pBdr>
      <w:tabs>
        <w:tab w:val="left" w:pos="2560"/>
        <w:tab w:val="left" w:pos="4600"/>
      </w:tabs>
      <w:autoSpaceDE w:val="0"/>
      <w:autoSpaceDN w:val="0"/>
      <w:adjustRightInd w:val="0"/>
      <w:spacing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Tabellfotnot">
    <w:name w:val="Tabellfotnot"/>
    <w:uiPriority w:val="99"/>
    <w:pPr>
      <w:widowControl w:val="0"/>
      <w:tabs>
        <w:tab w:val="left" w:pos="560"/>
      </w:tabs>
      <w:autoSpaceDE w:val="0"/>
      <w:autoSpaceDN w:val="0"/>
      <w:adjustRightInd w:val="0"/>
      <w:spacing w:line="160" w:lineRule="atLeast"/>
      <w:jc w:val="both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Tabelltext">
    <w:name w:val="Tabelltext"/>
    <w:uiPriority w:val="99"/>
    <w:pPr>
      <w:widowControl w:val="0"/>
      <w:autoSpaceDE w:val="0"/>
      <w:autoSpaceDN w:val="0"/>
      <w:adjustRightInd w:val="0"/>
      <w:spacing w:line="160" w:lineRule="atLeast"/>
      <w:jc w:val="both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Tabelltitel">
    <w:name w:val="Tabelltitel"/>
    <w:uiPriority w:val="99"/>
    <w:pPr>
      <w:keepNext/>
      <w:pageBreakBefore/>
      <w:widowControl w:val="0"/>
      <w:suppressAutoHyphens/>
      <w:autoSpaceDE w:val="0"/>
      <w:autoSpaceDN w:val="0"/>
      <w:adjustRightInd w:val="0"/>
      <w:spacing w:before="180" w:line="180" w:lineRule="atLeast"/>
    </w:pPr>
    <w:rPr>
      <w:rFonts w:ascii="Times" w:hAnsi="Times" w:cs="Times"/>
      <w:b/>
      <w:bCs/>
      <w:color w:val="000000"/>
      <w:w w:val="0"/>
      <w:sz w:val="18"/>
      <w:szCs w:val="18"/>
    </w:rPr>
  </w:style>
  <w:style w:type="paragraph" w:customStyle="1" w:styleId="Text">
    <w:name w:val="Text"/>
    <w:uiPriority w:val="99"/>
    <w:pPr>
      <w:widowControl w:val="0"/>
      <w:tabs>
        <w:tab w:val="left" w:pos="760"/>
      </w:tabs>
      <w:autoSpaceDE w:val="0"/>
      <w:autoSpaceDN w:val="0"/>
      <w:adjustRightInd w:val="0"/>
      <w:spacing w:before="120" w:line="180" w:lineRule="atLeast"/>
      <w:jc w:val="both"/>
    </w:pPr>
    <w:rPr>
      <w:rFonts w:ascii="Times" w:hAnsi="Times" w:cs="Times"/>
      <w:color w:val="000000"/>
      <w:w w:val="0"/>
      <w:sz w:val="14"/>
      <w:szCs w:val="14"/>
    </w:rPr>
  </w:style>
  <w:style w:type="paragraph" w:customStyle="1" w:styleId="brdtextfyrkant">
    <w:name w:val="brödtext fyrkant"/>
    <w:uiPriority w:val="99"/>
    <w:pPr>
      <w:tabs>
        <w:tab w:val="left" w:pos="3060"/>
      </w:tabs>
      <w:autoSpaceDE w:val="0"/>
      <w:autoSpaceDN w:val="0"/>
      <w:adjustRightInd w:val="0"/>
      <w:spacing w:line="220" w:lineRule="atLeast"/>
      <w:ind w:firstLine="1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upprkninga-z">
    <w:name w:val="uppräkning a-z"/>
    <w:uiPriority w:val="99"/>
    <w:pPr>
      <w:tabs>
        <w:tab w:val="left" w:pos="280"/>
      </w:tabs>
      <w:autoSpaceDE w:val="0"/>
      <w:autoSpaceDN w:val="0"/>
      <w:adjustRightInd w:val="0"/>
      <w:spacing w:line="220" w:lineRule="atLeast"/>
      <w:ind w:left="280" w:hanging="2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upprkninga-zstart">
    <w:name w:val="uppräkning a-z start"/>
    <w:uiPriority w:val="99"/>
    <w:pPr>
      <w:tabs>
        <w:tab w:val="left" w:pos="280"/>
      </w:tabs>
      <w:autoSpaceDE w:val="0"/>
      <w:autoSpaceDN w:val="0"/>
      <w:adjustRightInd w:val="0"/>
      <w:spacing w:before="100" w:line="220" w:lineRule="atLeast"/>
      <w:ind w:left="280" w:hanging="2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upprkningstreck">
    <w:name w:val="uppräkning streck"/>
    <w:uiPriority w:val="99"/>
    <w:pPr>
      <w:tabs>
        <w:tab w:val="left" w:pos="560"/>
      </w:tabs>
      <w:autoSpaceDE w:val="0"/>
      <w:autoSpaceDN w:val="0"/>
      <w:adjustRightInd w:val="0"/>
      <w:spacing w:line="220" w:lineRule="atLeast"/>
      <w:ind w:left="560" w:hanging="2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Rubrik2">
    <w:name w:val="Rubrik2"/>
    <w:uiPriority w:val="99"/>
    <w:pPr>
      <w:keepNext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b/>
      <w:bCs/>
      <w:color w:val="000000"/>
      <w:w w:val="0"/>
    </w:rPr>
  </w:style>
  <w:style w:type="paragraph" w:customStyle="1" w:styleId="Brdtextnytt">
    <w:name w:val="Brödtext nytt"/>
    <w:uiPriority w:val="99"/>
    <w:pPr>
      <w:tabs>
        <w:tab w:val="left" w:pos="3060"/>
      </w:tabs>
      <w:autoSpaceDE w:val="0"/>
      <w:autoSpaceDN w:val="0"/>
      <w:adjustRightInd w:val="0"/>
      <w:spacing w:line="220" w:lineRule="atLeast"/>
      <w:ind w:firstLine="180"/>
      <w:jc w:val="both"/>
    </w:pPr>
    <w:rPr>
      <w:rFonts w:ascii="Times" w:hAnsi="Times" w:cs="Times"/>
      <w:color w:val="000000"/>
      <w:w w:val="0"/>
      <w:sz w:val="18"/>
      <w:szCs w:val="18"/>
    </w:rPr>
  </w:style>
  <w:style w:type="character" w:customStyle="1" w:styleId="Bilaga">
    <w:name w:val="Bilaga"/>
    <w:uiPriority w:val="99"/>
    <w:rPr>
      <w:sz w:val="14"/>
      <w:szCs w:val="14"/>
    </w:rPr>
  </w:style>
  <w:style w:type="character" w:customStyle="1" w:styleId="Kursiv">
    <w:name w:val="Kursiv"/>
    <w:uiPriority w:val="99"/>
    <w:rPr>
      <w:rFonts w:ascii="Times" w:hAnsi="Times" w:cs="Times"/>
      <w:i/>
      <w:iCs/>
      <w:color w:val="000000"/>
      <w:u w:val="none"/>
      <w:vertAlign w:val="baseline"/>
    </w:rPr>
  </w:style>
  <w:style w:type="character" w:customStyle="1" w:styleId="Arkisar">
    <w:name w:val="Arkisar"/>
    <w:uiPriority w:val="99"/>
    <w:rPr>
      <w:sz w:val="14"/>
      <w:szCs w:val="14"/>
    </w:rPr>
  </w:style>
  <w:style w:type="character" w:customStyle="1" w:styleId="UnderISSN-nummer">
    <w:name w:val="Under ISSN-nummer"/>
    <w:uiPriority w:val="99"/>
    <w:rPr>
      <w:rFonts w:ascii="Times" w:hAnsi="Times" w:cs="Times"/>
      <w:color w:val="000000"/>
      <w:spacing w:val="0"/>
      <w:sz w:val="15"/>
      <w:szCs w:val="15"/>
      <w:u w:val="none"/>
      <w:vertAlign w:val="baseline"/>
    </w:rPr>
  </w:style>
  <w:style w:type="character" w:customStyle="1" w:styleId="Svfrfattnhalvfet">
    <w:name w:val="Sv.författn. halvfet"/>
    <w:uiPriority w:val="99"/>
    <w:rPr>
      <w:rFonts w:ascii="Times" w:hAnsi="Times" w:cs="Times"/>
      <w:b/>
      <w:bCs/>
      <w:color w:val="000000"/>
      <w:spacing w:val="0"/>
      <w:sz w:val="36"/>
      <w:szCs w:val="36"/>
      <w:u w:val="none"/>
      <w:vertAlign w:val="baseline"/>
    </w:rPr>
  </w:style>
  <w:style w:type="character" w:customStyle="1" w:styleId="Tryckort">
    <w:name w:val="Tryckort"/>
    <w:uiPriority w:val="99"/>
    <w:rPr>
      <w:rFonts w:ascii="Times" w:hAnsi="Times" w:cs="Times"/>
      <w:color w:val="000000"/>
      <w:spacing w:val="0"/>
      <w:sz w:val="11"/>
      <w:szCs w:val="11"/>
      <w:u w:val="none"/>
      <w:vertAlign w:val="baseline"/>
    </w:rPr>
  </w:style>
  <w:style w:type="character" w:styleId="Emphasis">
    <w:name w:val="Emphasis"/>
    <w:uiPriority w:val="99"/>
    <w:qFormat/>
    <w:rPr>
      <w:i/>
      <w:iCs/>
    </w:rPr>
  </w:style>
  <w:style w:type="character" w:customStyle="1" w:styleId="Ekvationsvariabler">
    <w:name w:val="Ekvationsvariabler"/>
    <w:uiPriority w:val="99"/>
    <w:rPr>
      <w:i/>
      <w:iCs/>
    </w:rPr>
  </w:style>
  <w:style w:type="character" w:customStyle="1" w:styleId="Halvfet">
    <w:name w:val="Halvfet"/>
    <w:uiPriority w:val="99"/>
    <w:rPr>
      <w:rFonts w:ascii="Times" w:hAnsi="Times" w:cs="Times"/>
      <w:b/>
      <w:bCs/>
      <w:color w:val="000000"/>
      <w:u w:val="none"/>
      <w:vertAlign w:val="baseline"/>
    </w:rPr>
  </w:style>
  <w:style w:type="character" w:customStyle="1" w:styleId="Pagina">
    <w:name w:val="Pagina"/>
    <w:uiPriority w:val="99"/>
    <w:rPr>
      <w:rFonts w:ascii="Times" w:hAnsi="Times" w:cs="Times"/>
      <w:color w:val="000000"/>
      <w:spacing w:val="0"/>
      <w:sz w:val="19"/>
      <w:szCs w:val="19"/>
      <w:u w:val="none"/>
      <w:vertAlign w:val="baseline"/>
    </w:rPr>
  </w:style>
  <w:style w:type="character" w:customStyle="1" w:styleId="Utkom">
    <w:name w:val="Utkom"/>
    <w:uiPriority w:val="99"/>
    <w:rPr>
      <w:rFonts w:ascii="Times" w:hAnsi="Times" w:cs="Times"/>
      <w:color w:val="000000"/>
      <w:spacing w:val="0"/>
      <w:sz w:val="17"/>
      <w:szCs w:val="17"/>
      <w:u w:val="none"/>
      <w:vertAlign w:val="baseline"/>
    </w:rPr>
  </w:style>
  <w:style w:type="paragraph" w:styleId="PlainText">
    <w:name w:val="Plain Text"/>
    <w:basedOn w:val="Normal"/>
    <w:link w:val="PlainTextChar"/>
    <w:uiPriority w:val="99"/>
    <w:unhideWhenUsed/>
    <w:rsid w:val="003D5B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5B62"/>
    <w:rPr>
      <w:rFonts w:ascii="Consolas" w:hAnsi="Consolas"/>
      <w:sz w:val="21"/>
      <w:szCs w:val="21"/>
      <w:lang w:val="en-GB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2771</Words>
  <Characters>15795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rkuser1</dc:creator>
  <cp:keywords/>
  <dc:description/>
  <cp:lastModifiedBy>DA</cp:lastModifiedBy>
  <cp:revision>4</cp:revision>
  <dcterms:created xsi:type="dcterms:W3CDTF">2018-11-09T14:20:00Z</dcterms:created>
  <dcterms:modified xsi:type="dcterms:W3CDTF">2018-11-20T06:33:00Z</dcterms:modified>
</cp:coreProperties>
</file>