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D0F" w:rsidRPr="00B00403" w:rsidRDefault="00943D0F" w:rsidP="00943D0F">
      <w:pPr>
        <w:pStyle w:val="PlainText"/>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------IND- 2017 0284 S-- RO- ------ 20190508 --- --- FINAL</w:t>
      </w:r>
      <w:r>
        <w:rPr>
          <w:sz w:val="20"/>
          <w:rFonts w:ascii="Courier New" w:hAnsi="Courier New"/>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43D0F" w:rsidRDefault="00943D0F" w:rsidP="00015EA3">
      <w:pPr>
        <w:spacing w:after="120" w:line="259" w:lineRule="auto"/>
        <w:ind w:left="0" w:firstLine="0"/>
        <w:jc w:val="left"/>
        <w:rPr>
          <w:b/>
          <w:sz w:val="36"/>
        </w:rPr>
      </w:pPr>
    </w:p>
    <w:p w:rsidR="00DB4B0C" w:rsidRDefault="00643102" w:rsidP="00015EA3">
      <w:pPr>
        <w:spacing w:after="120" w:line="259" w:lineRule="auto"/>
        <w:ind w:left="0" w:firstLine="0"/>
        <w:jc w:val="left"/>
        <w:rPr>
          <w:b/>
          <w:sz w:val="36"/>
        </w:rPr>
      </w:pPr>
      <w:r>
        <w:rPr>
    </w:rPr>
        <w:drawing>
          <wp:anchor xmlns:wp="http://schemas.openxmlformats.org/drawingml/2006/wordprocessingDrawing" distT="0" distB="0" distL="114300" distR="114300" simplePos="0" relativeHeight="251658240" behindDoc="0" locked="0" layoutInCell="1" allowOverlap="1">
            <wp:simplePos x="0" y="0"/>
            <wp:positionH relativeFrom="column">
              <wp:posOffset>3790950</wp:posOffset>
            </wp:positionH>
            <wp:positionV relativeFrom="paragraph">
              <wp:posOffset>-212725</wp:posOffset>
            </wp:positionV>
            <wp:extent cx="431800" cy="768985"/>
            <wp:effectExtent l="0" t="0" r="6350" b="0"/>
            <wp:wrapNone/>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768985"/>
                    </a:xfrm>
                    <a:prstGeom prst="rect">
                      <a:avLst/>
                    </a:prstGeom>
                    <a:noFill/>
                  </pic:spPr>
                </pic:pic>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w:r>
      <w:r>
        <w:rPr>
          <w:b/>
          <w:sz w:val="36"/>
        </w:rPr>
        <w:t xml:space="preserve">Codul actelor normative ale Suediei</w:t>
      </w:r>
    </w:p>
    <w:p w:rsidR="00015EA3" w:rsidRDefault="00643102" w:rsidP="00015EA3">
      <w:pPr>
        <w:pBdr>
          <w:bottom w:val="single" w:sz="4" w:space="1" w:color="auto"/>
        </w:pBdr>
        <w:spacing w:after="120" w:line="259" w:lineRule="auto"/>
        <w:ind w:left="0" w:firstLine="0"/>
        <w:jc w:val="left"/>
        <w:rPr>
          <w:b/>
          <w:sz w:val="36"/>
        </w:rPr>
      </w:pPr>
      <w:r>
        <w:rPr>
          <w:b/>
          <w:sz w:val="26"/>
        </w:rPr>
        <mc:AlternateContent xmlns:mc="http://schemas.openxmlformats.org/markup-compatibility/2006">
          <mc:Choice Requires="wps">
            <w:drawing>
              <wp:anchor xmlns:wp="http://schemas.openxmlformats.org/drawingml/2006/wordprocessingDrawing" distT="0" distB="0" distL="114300" distR="114300" simplePos="0" relativeHeight="251657216" behindDoc="0" locked="0" layoutInCell="1" allowOverlap="1">
                <wp:simplePos x="0" y="0"/>
                <wp:positionH relativeFrom="column">
                  <wp:posOffset>3745865</wp:posOffset>
                </wp:positionH>
                <wp:positionV relativeFrom="paragraph">
                  <wp:posOffset>337820</wp:posOffset>
                </wp:positionV>
                <wp:extent cx="1264920" cy="828040"/>
                <wp:effectExtent l="0" t="0" r="3175" b="4445"/>
                <wp:wrapNone/>
                <wp:docPr id="3" name="Textruta 15"/>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64920" cy="8280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B4B0C" w:rsidRDefault="00DB4B0C" w:rsidP="00DB4B0C">
                            <w:pPr>
                              <w:spacing w:after="160" w:line="259" w:lineRule="auto"/>
                              <w:ind w:left="0" w:firstLine="0"/>
                              <w:jc w:val="left"/>
                              <w:rPr>
                                <w:b/>
                                <w:sz w:val="26"/>
                              </w:rPr>
                            </w:pPr>
                            <w:r>
                              <w:rPr>
                                <w:b/>
                                <w:sz w:val="26"/>
                              </w:rPr>
                              <w:t xml:space="preserve">SFS 2018:55</w:t>
                            </w:r>
                          </w:p>
                          <w:p w:rsidR="00DB4B0C" w:rsidRPr="00D30131" w:rsidRDefault="00DB4B0C" w:rsidP="00DB4B0C">
                            <w:pPr>
                              <w:spacing w:after="160" w:line="259" w:lineRule="auto"/>
                              <w:ind w:left="0" w:firstLine="0"/>
                              <w:jc w:val="left"/>
                              <w:rPr>
                                <w:sz w:val="17"/>
                                <w:szCs w:val="17"/>
                              </w:rPr>
                            </w:pPr>
                            <w:r>
                              <w:t xml:space="preserve">Publicat</w:t>
                            </w:r>
                            <w:r>
                              <w:br/>
                            </w:r>
                            <w:r>
                              <w:t xml:space="preserve">la 13 februarie 2018</w:t>
                            </w:r>
                          </w:p>
                        </w:txbxContent>
                      </wps:txbx>
                      <wps:bodyPr rot="0" vert="horz" wrap="square" lIns="0" tIns="0" rIns="0" bIns="0" anchor="t" anchorCtr="0" upright="1">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ruta 15" o:spid="_x0000_s1026" type="#_x0000_t202" style="position:absolute;margin-left:294.95pt;margin-top:26.6pt;width:99.6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" stroked="f" strokeweight=".5pt">
                <v:textbox inset="0,0,0,0">
                  <w:txbxContent>
                    <w:p w:rsidR="00DB4B0C" w:rsidRDefault="00DB4B0C" w:rsidP="00DB4B0C">
                      <w:pPr>
                        <w:spacing w:after="160" w:line="259" w:lineRule="auto"/>
                        <w:ind w:left="0" w:firstLine="0"/>
                        <w:jc w:val="left"/>
                        <w:rPr>
                          <w:b/>
                          <w:sz w:val="26"/>
                        </w:rPr>
                      </w:pPr>
                      <w:r>
                        <w:rPr>
                          <w:b/>
                          <w:sz w:val="26"/>
                        </w:rPr>
                        <w:t xml:space="preserve">SFS 2018:55</w:t>
                      </w:r>
                    </w:p>
                    <w:p w:rsidR="00DB4B0C" w:rsidRPr="00D30131" w:rsidRDefault="00DB4B0C" w:rsidP="00DB4B0C">
                      <w:pPr>
                        <w:spacing w:after="160" w:line="259" w:lineRule="auto"/>
                        <w:ind w:left="0" w:firstLine="0"/>
                        <w:jc w:val="left"/>
                        <w:rPr>
                          <w:sz w:val="17"/>
                          <w:szCs w:val="17"/>
                        </w:rPr>
                      </w:pPr>
                      <w:r>
                        <w:t xml:space="preserve">Publicat</w:t>
                      </w:r>
                      <w:r>
                        <w:br/>
                      </w:r>
                      <w:r>
                        <w:t xml:space="preserve">la 13 februarie 2018</w:t>
                      </w:r>
                    </w:p>
                  </w:txbxContent>
                </v:textbox>
              </v:shape>
            </w:pict>
          </mc:Fallback>
        </mc:AlternateContent>
      </w:r>
    </w:p>
    <w:p w:rsidR="00551E3F" w:rsidRDefault="00DB4B0C" w:rsidP="00DA5828">
      <w:pPr>
        <w:spacing w:before="240" w:after="240" w:line="216" w:lineRule="auto"/>
        <w:ind w:left="0" w:firstLine="0"/>
        <w:jc w:val="left"/>
      </w:pPr>
      <w:r>
        <w:rPr>
          <w:b/>
          <w:sz w:val="26"/>
        </w:rPr>
        <w:t xml:space="preserve">Regulament</w:t>
        <w:br/>
        <w:t xml:space="preserve">de modificare a Regulamentului (1998:944) privind produsele chimice (interdicții privind manipularea, importul și exportul);</w:t>
      </w:r>
    </w:p>
    <w:p w:rsidR="00551E3F" w:rsidRDefault="00CC49D7" w:rsidP="00DA5828">
      <w:pPr>
        <w:spacing w:after="221"/>
        <w:ind w:left="0" w:firstLine="0"/>
      </w:pPr>
      <w:r>
        <w:t xml:space="preserve">emis la 1 februarie 2018.</w:t>
      </w:r>
    </w:p>
    <w:p w:rsidR="00551E3F" w:rsidRDefault="00CC49D7" w:rsidP="00015EA3">
      <w:pPr>
        <w:spacing w:after="240"/>
        <w:ind w:left="0" w:firstLine="193"/>
      </w:pPr>
      <w:r>
        <w:t xml:space="preserve">În ceea ce privește Regulamentul (1998:944) privind produsele chimice (interdicții privind manipularea, importul și exportul), guvernul </w:t>
      </w:r>
      <w:r>
        <w:rPr>
          <w:vertAlign w:val="superscript"/>
        </w:rPr>
        <w:footnoteReference w:id="1"/>
      </w:r>
      <w:r>
        <w:t xml:space="preserve"> prevede în primul faptul că articolele 1 și 5 vor avea următoarea formulare și, în al doilea rând, că următoarele patru noi paragrafe indicate mai jos - articolele 1a și 4 (inclusiv subtitlul precedent), articolele 4-4 b - sunt introduse în Regulament.</w:t>
      </w:r>
    </w:p>
    <w:p w:rsidR="00551E3F" w:rsidRDefault="00CC49D7" w:rsidP="00DA5828">
      <w:pPr>
        <w:keepNext/>
        <w:keepLines/>
        <w:ind w:left="0" w:firstLine="0"/>
      </w:pPr>
      <w:r>
        <w:rPr>
          <w:b w:val="1"/>
        </w:rPr>
        <w:t xml:space="preserve">Articolul 1</w:t>
      </w:r>
      <w:r>
        <w:rPr>
          <w:vertAlign w:val="superscript"/>
        </w:rPr>
        <w:footnoteReference w:id="2"/>
      </w:r>
      <w:r>
        <w:t xml:space="preserve"> Prezentul regulament conține dispoziții speciale privind interdicția sau alte restricții privind manipularea</w:t>
      </w:r>
      <w:r>
        <w:t xml:space="preserve"> </w:t>
      </w:r>
    </w:p>
    <w:p w:rsidR="00551E3F" w:rsidRDefault="00CC49D7" w:rsidP="00015EA3">
      <w:pPr>
        <w:numPr>
          <w:ilvl w:val="0"/>
          <w:numId w:val="1"/>
        </w:numPr>
        <w:tabs>
          <w:tab w:val="left" w:pos="567"/>
        </w:tabs>
        <w:ind w:left="0" w:firstLine="192"/>
      </w:pPr>
      <w:r>
        <w:t xml:space="preserve">Rășini epoxidice din două componente care conțin bisfenol A sau diglicidil eter de bisfenol A,</w:t>
      </w:r>
    </w:p>
    <w:p w:rsidR="00551E3F" w:rsidRDefault="00CC49D7" w:rsidP="00015EA3">
      <w:pPr>
        <w:numPr>
          <w:ilvl w:val="0"/>
          <w:numId w:val="1"/>
        </w:numPr>
        <w:tabs>
          <w:tab w:val="left" w:pos="567"/>
        </w:tabs>
        <w:ind w:left="0" w:firstLine="192"/>
      </w:pPr>
      <w:r>
        <w:t xml:space="preserve">cadmiu,</w:t>
      </w:r>
    </w:p>
    <w:p w:rsidR="00551E3F" w:rsidRDefault="00CC49D7" w:rsidP="00015EA3">
      <w:pPr>
        <w:numPr>
          <w:ilvl w:val="0"/>
          <w:numId w:val="1"/>
        </w:numPr>
        <w:pBdr>
          <w:left w:val="single" w:sz="4" w:space="4" w:color="auto"/>
        </w:pBdr>
        <w:tabs>
          <w:tab w:val="left" w:pos="567"/>
        </w:tabs>
        <w:ind w:left="0" w:firstLine="192"/>
      </w:pPr>
      <w:r>
        <w:t xml:space="preserve">microplasticele din produsele cosmetice,</w:t>
      </w:r>
    </w:p>
    <w:p w:rsidR="00551E3F" w:rsidRDefault="00CC49D7" w:rsidP="00015EA3">
      <w:pPr>
        <w:numPr>
          <w:ilvl w:val="0"/>
          <w:numId w:val="1"/>
        </w:numPr>
        <w:pBdr>
          <w:left w:val="single" w:sz="4" w:space="4" w:color="auto"/>
        </w:pBdr>
        <w:tabs>
          <w:tab w:val="left" w:pos="567"/>
        </w:tabs>
        <w:ind w:left="0" w:firstLine="192"/>
      </w:pPr>
      <w:r>
        <w:t xml:space="preserve">solvenți clorurați,</w:t>
      </w:r>
    </w:p>
    <w:p w:rsidR="00551E3F" w:rsidRDefault="00CC49D7" w:rsidP="00015EA3">
      <w:pPr>
        <w:numPr>
          <w:ilvl w:val="0"/>
          <w:numId w:val="1"/>
        </w:numPr>
        <w:pBdr>
          <w:left w:val="single" w:sz="4" w:space="4" w:color="auto"/>
        </w:pBdr>
        <w:tabs>
          <w:tab w:val="left" w:pos="567"/>
        </w:tabs>
        <w:ind w:left="0" w:firstLine="192"/>
      </w:pPr>
      <w:r>
        <w:t xml:space="preserve">mercur,</w:t>
      </w:r>
    </w:p>
    <w:p w:rsidR="00551E3F" w:rsidRDefault="00CC49D7" w:rsidP="00015EA3">
      <w:pPr>
        <w:numPr>
          <w:ilvl w:val="0"/>
          <w:numId w:val="1"/>
        </w:numPr>
        <w:pBdr>
          <w:left w:val="single" w:sz="4" w:space="4" w:color="auto"/>
        </w:pBdr>
        <w:tabs>
          <w:tab w:val="left" w:pos="567"/>
        </w:tabs>
        <w:ind w:left="0" w:firstLine="192"/>
      </w:pPr>
      <w:r>
        <w:t xml:space="preserve">cadmiu și mercur în baterii,</w:t>
      </w:r>
    </w:p>
    <w:p w:rsidR="00551E3F" w:rsidRDefault="00CC49D7" w:rsidP="00015EA3">
      <w:pPr>
        <w:numPr>
          <w:ilvl w:val="0"/>
          <w:numId w:val="1"/>
        </w:numPr>
        <w:pBdr>
          <w:left w:val="single" w:sz="4" w:space="4" w:color="auto"/>
        </w:pBdr>
        <w:tabs>
          <w:tab w:val="left" w:pos="567"/>
        </w:tabs>
        <w:ind w:left="0" w:firstLine="192"/>
      </w:pPr>
      <w:r>
        <w:t xml:space="preserve">metale grele în ambalaj,</w:t>
      </w:r>
    </w:p>
    <w:p w:rsidR="00551E3F" w:rsidRDefault="00CC49D7" w:rsidP="00015EA3">
      <w:pPr>
        <w:numPr>
          <w:ilvl w:val="0"/>
          <w:numId w:val="1"/>
        </w:numPr>
        <w:pBdr>
          <w:left w:val="single" w:sz="4" w:space="4" w:color="auto"/>
        </w:pBdr>
        <w:tabs>
          <w:tab w:val="left" w:pos="567"/>
        </w:tabs>
        <w:ind w:left="0" w:firstLine="192"/>
      </w:pPr>
      <w:r>
        <w:t xml:space="preserve">muniții care conțin plumb,</w:t>
      </w:r>
    </w:p>
    <w:p w:rsidR="00551E3F" w:rsidRDefault="00CC49D7" w:rsidP="00015EA3">
      <w:pPr>
        <w:numPr>
          <w:ilvl w:val="0"/>
          <w:numId w:val="1"/>
        </w:numPr>
        <w:pBdr>
          <w:left w:val="single" w:sz="4" w:space="4" w:color="auto"/>
        </w:pBdr>
        <w:tabs>
          <w:tab w:val="left" w:pos="567"/>
        </w:tabs>
        <w:ind w:left="0" w:firstLine="192"/>
      </w:pPr>
      <w:r>
        <w:t xml:space="preserve">detergenți care conțin fosfați și</w:t>
      </w:r>
    </w:p>
    <w:p w:rsidR="00551E3F" w:rsidRDefault="00CC49D7" w:rsidP="00015EA3">
      <w:pPr>
        <w:numPr>
          <w:ilvl w:val="0"/>
          <w:numId w:val="1"/>
        </w:numPr>
        <w:pBdr>
          <w:left w:val="single" w:sz="4" w:space="4" w:color="auto"/>
        </w:pBdr>
        <w:tabs>
          <w:tab w:val="left" w:pos="567"/>
        </w:tabs>
        <w:ind w:left="0" w:firstLine="192"/>
      </w:pPr>
      <w:r>
        <w:t xml:space="preserve">anumite alte produse chimice și bunuri care sunt periculoase pentru sănătate sau mediu.</w:t>
      </w:r>
    </w:p>
    <w:p w:rsidR="00551E3F" w:rsidRDefault="00CC49D7" w:rsidP="00015EA3">
      <w:pPr>
        <w:spacing w:after="249"/>
        <w:ind w:left="0" w:firstLine="192"/>
      </w:pPr>
      <w:r>
        <w:t xml:space="preserve">Prezentul regulament nu se aplică produselor chimice și organismelor biotehnice care sunt reglementate de Legea (2006:804) privind produsele alimentare și Legea (2006:805) privind furajele și subprodusele de origine animală sau Legea (2015:315) privind medicamentele.</w:t>
      </w:r>
    </w:p>
    <w:p w:rsidR="00551E3F" w:rsidRDefault="00CC49D7" w:rsidP="00DA5828">
      <w:pPr>
        <w:keepNext/>
        <w:keepLines/>
        <w:pBdr>
          <w:left w:val="single" w:sz="4" w:space="4" w:color="auto"/>
        </w:pBdr>
        <w:ind w:left="0" w:firstLine="0"/>
      </w:pPr>
      <w:r>
        <w:rPr>
          <w:b w:val="1"/>
        </w:rPr>
        <w:t xml:space="preserve">Articolul 1 a</w:t>
      </w:r>
      <w:r>
        <w:t xml:space="preserve"> Prezentul regulament este emis în conformitate cu</w:t>
      </w:r>
    </w:p>
    <w:p w:rsidR="00551E3F" w:rsidRDefault="00CC49D7" w:rsidP="007058F2">
      <w:pPr>
        <w:numPr>
          <w:ilvl w:val="0"/>
          <w:numId w:val="2"/>
        </w:numPr>
        <w:pBdr>
          <w:left w:val="single" w:sz="4" w:space="4" w:color="auto"/>
        </w:pBdr>
        <w:ind w:left="426" w:hanging="285"/>
      </w:pPr>
      <w:r>
        <w:t xml:space="preserve">capitolul 14 articolul 8 din Codul mediului în ceea ce privește articolele 2-3, 5-11, 11 c-14 și 14 b-20 a,</w:t>
      </w:r>
    </w:p>
    <w:p w:rsidR="00551E3F" w:rsidRDefault="00CC49D7" w:rsidP="007058F2">
      <w:pPr>
        <w:numPr>
          <w:ilvl w:val="0"/>
          <w:numId w:val="2"/>
        </w:numPr>
        <w:pBdr>
          <w:left w:val="single" w:sz="4" w:space="4" w:color="auto"/>
        </w:pBdr>
        <w:ind w:left="426" w:hanging="285"/>
      </w:pPr>
      <w:r>
        <w:t xml:space="preserve">capitolul 15 articolul 40 din Codul mediului în ceea ce privește articolul 4 a,</w:t>
      </w:r>
      <w:r>
        <w:t xml:space="preserve"> </w:t>
      </w:r>
    </w:p>
    <w:p w:rsidR="00551E3F" w:rsidRDefault="00CC49D7" w:rsidP="007058F2">
      <w:pPr>
        <w:numPr>
          <w:ilvl w:val="0"/>
          <w:numId w:val="2"/>
        </w:numPr>
        <w:pBdr>
          <w:left w:val="single" w:sz="4" w:space="4" w:color="auto"/>
        </w:pBdr>
        <w:ind w:left="426" w:hanging="285"/>
      </w:pPr>
      <w:r>
        <w:t xml:space="preserve">capitolul 8 articolul 11 din instrumentul guvernului în ceea ce privește articolul 21, și</w:t>
      </w:r>
    </w:p>
    <w:p w:rsidR="00551E3F" w:rsidRDefault="00CC49D7" w:rsidP="007058F2">
      <w:pPr>
        <w:numPr>
          <w:ilvl w:val="0"/>
          <w:numId w:val="2"/>
        </w:numPr>
        <w:pBdr>
          <w:left w:val="single" w:sz="4" w:space="4" w:color="auto"/>
        </w:pBdr>
        <w:ind w:left="426" w:hanging="285"/>
      </w:pPr>
      <w:r>
        <w:t xml:space="preserve">capitolul 8 articolul 7 din instrumentul guvernului în ceea ce privește alte dispoziții.</w:t>
      </w:r>
    </w:p>
    <w:p w:rsidR="00551E3F" w:rsidRDefault="00CC49D7" w:rsidP="00DA5828">
      <w:pPr>
        <w:pStyle w:val="Heading1"/>
        <w:pBdr>
          <w:left w:val="single" w:sz="4" w:space="4" w:color="auto"/>
        </w:pBdr>
        <w:ind w:left="0"/>
      </w:pPr>
      <w:r>
        <w:t xml:space="preserve">Microplasticele din produsele cosmetice</w:t>
      </w:r>
    </w:p>
    <w:p w:rsidR="00551E3F" w:rsidRDefault="00CC49D7" w:rsidP="00DA5828">
      <w:pPr>
        <w:pBdr>
          <w:left w:val="single" w:sz="4" w:space="4" w:color="auto"/>
        </w:pBdr>
        <w:ind w:left="0" w:firstLine="0"/>
      </w:pPr>
      <w:r>
        <w:rPr>
          <w:b w:val="1"/>
        </w:rPr>
        <w:t xml:space="preserve">Articolul </w:t>
      </w:r>
      <w:r>
        <w:rPr>
          <w:b/>
        </w:rPr>
        <w:t xml:space="preserve">4</w:t>
      </w:r>
      <w:r>
        <w:rPr>
          <w:vertAlign w:val="superscript"/>
        </w:rPr>
        <w:footnoteReference w:id="3"/>
      </w:r>
      <w:r>
        <w:t xml:space="preserve"> În prezentul paragraf și la articolele 4 a și 4 b termenul </w:t>
      </w:r>
      <w:r>
        <w:rPr>
          <w:i/>
        </w:rPr>
        <w:t xml:space="preserve">produs cosmetic</w:t>
      </w:r>
      <w:r>
        <w:t xml:space="preserve"> înseamnă un produs cosmetic în sensul Regulamentului (CE) nr. 1223/2009 al Parlamentului European și al Consiliului din 30 noiembrie 2009 privind produsele cosmetice,</w:t>
      </w:r>
      <w:r>
        <w:t xml:space="preserve"> </w:t>
      </w:r>
    </w:p>
    <w:p w:rsidR="008062AA" w:rsidRDefault="00CC49D7" w:rsidP="008062AA">
      <w:pPr>
        <w:pBdr>
          <w:left w:val="single" w:sz="4" w:space="4" w:color="auto"/>
        </w:pBdr>
        <w:spacing w:after="0"/>
        <w:ind w:left="0" w:firstLine="193"/>
      </w:pPr>
      <w:r>
        <w:rPr>
          <w:i w:val="1"/>
        </w:rPr>
        <w:t xml:space="preserve">plastic:</w:t>
      </w:r>
      <w:r>
        <w:rPr>
          <w:i w:val="1"/>
        </w:rPr>
        <w:t xml:space="preserve"> </w:t>
      </w:r>
      <w:r>
        <w:t xml:space="preserve">un polimer în sensul articolului 3 alineatul (5) din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w:t>
      </w:r>
      <w:r>
        <w:rPr>
          <w:i/>
          <w:i w:val="false"/>
        </w:rPr>
        <w:t xml:space="preserve">al Comisiei,</w:t>
      </w:r>
      <w:r>
        <w:t xml:space="preserve"> precum și a Directivei 76/769/CEE a Consiliului și a Directivelor 91/155/CEE, 93/67/CEE, 93/105/CE și 2000/21/CE ale Comisiei, la care este posibil să fi fost adăugați aditivi sau alte substanțe, microplastice: particule solide din plastic mai mici de 5 mm și insolubile în apă;</w:t>
      </w:r>
    </w:p>
    <w:p w:rsidR="008062AA" w:rsidRDefault="00CC49D7" w:rsidP="008062AA">
      <w:pPr>
        <w:pBdr>
          <w:left w:val="single" w:sz="4" w:space="4" w:color="auto"/>
        </w:pBdr>
        <w:spacing w:after="0"/>
        <w:ind w:left="0" w:firstLine="193"/>
      </w:pPr>
      <w:r>
        <w:rPr>
          <w:i/>
        </w:rPr>
        <w:t xml:space="preserve">polimer natural</w:t>
      </w:r>
      <w:r>
        <w:t xml:space="preserve">: un polimer care apare în mod natural în mediu și a cărui structură chimică nu a fost modificată dacă a fost supusă unui proces sau unui tratament chimic sau unei transformări mineralogice,</w:t>
      </w:r>
    </w:p>
    <w:p w:rsidR="00551E3F" w:rsidRDefault="00CC49D7" w:rsidP="007058F2">
      <w:pPr>
        <w:pBdr>
          <w:left w:val="single" w:sz="4" w:space="4" w:color="auto"/>
        </w:pBdr>
        <w:spacing w:after="232"/>
        <w:ind w:left="0" w:firstLine="192"/>
      </w:pPr>
      <w:r>
        <w:rPr>
          <w:i/>
        </w:rPr>
        <w:t xml:space="preserve">punere la dispoziție pe piață</w:t>
      </w:r>
      <w:r>
        <w:t xml:space="preserve">: de fiecare dată când un produs este pus la dispoziție pentru distribuție, consum sau utilizare pe piața suedeză în cursul unei activități comerciale, contra cost sau gratuit.</w:t>
      </w:r>
    </w:p>
    <w:p w:rsidR="00551E3F" w:rsidRDefault="00CC49D7" w:rsidP="00DA5828">
      <w:pPr>
        <w:pBdr>
          <w:left w:val="single" w:sz="4" w:space="4" w:color="auto"/>
        </w:pBdr>
        <w:ind w:left="0" w:firstLine="0"/>
      </w:pPr>
      <w:r>
        <w:rPr>
          <w:b w:val="1"/>
        </w:rPr>
        <w:t xml:space="preserve">Articolul </w:t>
      </w:r>
      <w:r>
        <w:rPr>
          <w:b/>
        </w:rPr>
        <w:t xml:space="preserve">4 a</w:t>
      </w:r>
      <w:r>
        <w:rPr>
          <w:vertAlign w:val="superscript"/>
        </w:rPr>
        <w:footnoteReference w:id="4"/>
      </w:r>
      <w:r>
        <w:t xml:space="preserve"> </w:t>
      </w:r>
      <w:r>
        <w:rPr>
          <w:b w:val="false"/>
        </w:rPr>
        <w:t xml:space="preserve">Este interzisă punerea la dispoziție pe piață a unui produs cosmetic care urmează să fie clătit sau scuipat după ce a fost utilizat pe cap, păr, mucoase sau dinți și conține microplastice care au fost adăugate pentru a curăța, a exfolia sau a lustrui</w:t>
      </w:r>
      <w:r>
        <w:rPr>
          <w:b w:val="false"/>
        </w:rPr>
        <w:t xml:space="preserve">.</w:t>
      </w:r>
    </w:p>
    <w:p w:rsidR="00551E3F" w:rsidRDefault="00CC49D7" w:rsidP="007058F2">
      <w:pPr>
        <w:pBdr>
          <w:left w:val="single" w:sz="4" w:space="4" w:color="auto"/>
        </w:pBdr>
        <w:spacing w:after="232"/>
        <w:ind w:left="0" w:firstLine="192"/>
      </w:pPr>
      <w:r>
        <w:t xml:space="preserve">Interdicția nu se aplică produselor cosmetice care conțin microplastice alcătuite numai din polimeri naturali.</w:t>
      </w:r>
      <w:r>
        <w:t xml:space="preserve"> </w:t>
      </w:r>
    </w:p>
    <w:p w:rsidR="00551E3F" w:rsidRDefault="00CC49D7" w:rsidP="00DA5828">
      <w:pPr>
        <w:keepNext/>
        <w:keepLines/>
        <w:pBdr>
          <w:left w:val="single" w:sz="4" w:space="4" w:color="auto"/>
        </w:pBdr>
        <w:ind w:left="0" w:firstLine="0"/>
      </w:pPr>
      <w:r>
        <w:rPr>
          <w:b w:val="1"/>
        </w:rPr>
        <w:t xml:space="preserve">Articolul </w:t>
      </w:r>
      <w:r>
        <w:rPr>
          <w:b/>
        </w:rPr>
        <w:t xml:space="preserve">4 b</w:t>
      </w:r>
      <w:r>
        <w:rPr>
          <w:vertAlign w:val="superscript"/>
        </w:rPr>
        <w:footnoteReference w:id="5"/>
      </w:r>
      <w:r>
        <w:t xml:space="preserve"> Agenția suedeză pentru Produse Chimice poate să notifice reglementări privind derogările sau, în cazuri individuale, să acorde o derogare de la interdicția prevăzută la articolul 4a pentru produsele cosmetice care conțin microplastice, care</w:t>
      </w:r>
      <w:r>
        <w:t xml:space="preserve"> </w:t>
      </w:r>
    </w:p>
    <w:p w:rsidR="00551E3F" w:rsidRDefault="00CC49D7" w:rsidP="007058F2">
      <w:pPr>
        <w:numPr>
          <w:ilvl w:val="0"/>
          <w:numId w:val="3"/>
        </w:numPr>
        <w:pBdr>
          <w:left w:val="single" w:sz="4" w:space="4" w:color="auto"/>
        </w:pBdr>
        <w:tabs>
          <w:tab w:val="left" w:pos="567"/>
        </w:tabs>
        <w:ind w:left="0" w:firstLine="192"/>
      </w:pPr>
      <w:r>
        <w:t xml:space="preserve">sunt fabricate utilizând polimeri naturali ca materie primă, și</w:t>
      </w:r>
      <w:r>
        <w:t xml:space="preserve"> </w:t>
      </w:r>
    </w:p>
    <w:p w:rsidR="00551E3F" w:rsidRDefault="00CC49D7" w:rsidP="007058F2">
      <w:pPr>
        <w:numPr>
          <w:ilvl w:val="0"/>
          <w:numId w:val="3"/>
        </w:numPr>
        <w:pBdr>
          <w:left w:val="single" w:sz="4" w:space="4" w:color="auto"/>
        </w:pBdr>
        <w:tabs>
          <w:tab w:val="left" w:pos="567"/>
        </w:tabs>
        <w:ind w:left="0" w:firstLine="192"/>
      </w:pPr>
      <w:r>
        <w:t xml:space="preserve">se descompun rapid în monomeri în mediul acvatic și nu prezintă niciun risc pentru organismele acvatice.</w:t>
      </w:r>
      <w:r>
        <w:t xml:space="preserve"> </w:t>
      </w:r>
    </w:p>
    <w:p w:rsidR="00551E3F" w:rsidRDefault="00CC49D7" w:rsidP="007058F2">
      <w:pPr>
        <w:pBdr>
          <w:left w:val="single" w:sz="4" w:space="4" w:color="auto"/>
        </w:pBdr>
        <w:spacing w:after="231"/>
        <w:ind w:left="0" w:firstLine="192"/>
      </w:pPr>
      <w:r>
        <w:t xml:space="preserve">Produsele cosmetice vândute în mod legal în conformitate cu legislația din alte state membre ale Uniunii Europene sau din Turcia sau fabricate în mod legal într-un stat parte la Acordul privind Spațiul Economic European sunt exceptate, cu condiția ca acest cadru de reglementare să ofere un nivel echivalent de protecție.</w:t>
      </w:r>
    </w:p>
    <w:p w:rsidR="00551E3F" w:rsidRDefault="00CC49D7" w:rsidP="00DA5828">
      <w:pPr>
        <w:ind w:left="0" w:firstLine="0"/>
      </w:pPr>
      <w:r>
        <w:rPr>
          <w:b/>
        </w:rPr>
        <w:t xml:space="preserve">Articolul</w:t>
      </w:r>
      <w:r>
        <w:t xml:space="preserve"> </w:t>
      </w:r>
      <w:r>
        <w:rPr>
          <w:b/>
        </w:rPr>
        <w:t xml:space="preserve">5</w:t>
      </w:r>
      <w:r>
        <w:rPr>
          <w:rStyle w:val="FootnoteReference"/>
          <w:b/>
        </w:rPr>
        <w:footnoteReference w:id="6"/>
      </w:r>
      <w:r>
        <w:t xml:space="preserve"> Produsele chimice care constau integral sau parțial în clorură de metilen sau tetracloretilenă nu trebuie comercializate sau transferate consumatorilor pentru uz individual.</w:t>
      </w:r>
    </w:p>
    <w:p w:rsidR="00551E3F" w:rsidRDefault="00CC49D7" w:rsidP="00E812AA">
      <w:pPr>
        <w:spacing w:after="0"/>
        <w:ind w:left="0" w:firstLine="193"/>
      </w:pPr>
      <w:r>
        <w:t xml:space="preserve">Agenția suedeză pentru Produse Chimice poate emite reglementări conform cărora produsele care constau integral sau parțial în clorură de metilen sau tetracloretilenă nu trebuie comercializate sau transferate consumatorilor pentru uz individual.</w:t>
      </w:r>
    </w:p>
    <w:p w:rsidR="00551E3F" w:rsidRDefault="00CC49D7" w:rsidP="007058F2">
      <w:pPr>
        <w:pBdr>
          <w:left w:val="single" w:sz="4" w:space="4" w:color="auto"/>
        </w:pBdr>
        <w:spacing w:after="241"/>
        <w:ind w:left="0" w:firstLine="192"/>
      </w:pPr>
      <w:r>
        <w:t xml:space="preserve">Interdicția privind clorura de metilen se aplică numai dacă nu rezultă deja o interdicție echivalentă din punctul 59.1 din anexa XVII la Regulamentul (CE) nr. 1907/2006.</w:t>
      </w:r>
    </w:p>
    <w:p w:rsidR="007058F2" w:rsidRDefault="007058F2" w:rsidP="007058F2">
      <w:pPr>
        <w:tabs>
          <w:tab w:val="left" w:leader="underscore" w:pos="1276"/>
        </w:tabs>
        <w:spacing w:after="120"/>
        <w:ind w:left="0" w:firstLine="142"/>
      </w:pPr>
      <w:r>
        <w:tab/>
      </w:r>
    </w:p>
    <w:p w:rsidR="00551E3F" w:rsidRDefault="00CC49D7" w:rsidP="00E812AA">
      <w:pPr>
        <w:numPr>
          <w:ilvl w:val="0"/>
          <w:numId w:val="4"/>
        </w:numPr>
        <w:tabs>
          <w:tab w:val="left" w:pos="567"/>
        </w:tabs>
        <w:ind w:left="0" w:firstLine="192"/>
      </w:pPr>
      <w:r>
        <w:t xml:space="preserve">Prezentul regulament intră în vigoare la 1 iulie 2018.</w:t>
      </w:r>
    </w:p>
    <w:p w:rsidR="00551E3F" w:rsidRDefault="00CC49D7" w:rsidP="00E812AA">
      <w:pPr>
        <w:numPr>
          <w:ilvl w:val="0"/>
          <w:numId w:val="4"/>
        </w:numPr>
        <w:tabs>
          <w:tab w:val="left" w:pos="567"/>
        </w:tabs>
        <w:spacing w:after="224"/>
        <w:ind w:left="0" w:firstLine="192"/>
      </w:pPr>
      <w:r>
        <w:t xml:space="preserve">În ciuda pofida interdicției prevăzute la articolul 4 a, stocurile existente de produse cosmetice care au fost puse la dispoziție în mod legal pe piață înainte de 1 iulie 2018 continuă să fie puse la dispoziție până la sfârșitul lunii decembrie 2018.</w:t>
      </w:r>
      <w:r>
        <w:t xml:space="preserve"> </w:t>
      </w:r>
    </w:p>
    <w:p w:rsidR="00551E3F" w:rsidRDefault="00CC49D7" w:rsidP="00DA5828">
      <w:pPr>
        <w:spacing w:after="225"/>
        <w:ind w:left="0" w:firstLine="0"/>
      </w:pPr>
      <w:r>
        <w:t xml:space="preserve">În numele guvernului</w:t>
      </w:r>
    </w:p>
    <w:p w:rsidR="00551E3F" w:rsidRDefault="00CC49D7" w:rsidP="00DA5828">
      <w:pPr>
        <w:ind w:left="0" w:firstLine="0"/>
      </w:pPr>
      <w:r>
        <w:t xml:space="preserve">KAROLINA SKOG</w:t>
      </w:r>
    </w:p>
    <w:p w:rsidR="00551E3F" w:rsidRDefault="00CC49D7" w:rsidP="00825642">
      <w:pPr>
        <w:keepNext/>
        <w:keepLines/>
        <w:spacing w:after="0" w:line="265" w:lineRule="auto"/>
        <w:ind w:left="2835" w:firstLine="0"/>
        <w:jc w:val="left"/>
      </w:pPr>
      <w:r>
        <w:t xml:space="preserve">Egon Abresparr</w:t>
      </w:r>
    </w:p>
    <w:p w:rsidR="00551E3F" w:rsidRDefault="00CC49D7" w:rsidP="00825642">
      <w:pPr>
        <w:spacing w:after="0" w:line="264" w:lineRule="auto"/>
        <w:ind w:left="2835" w:firstLine="0"/>
        <w:jc w:val="left"/>
      </w:pPr>
      <w:r>
        <w:t xml:space="preserve">(Ministerul Mediului și Energiei)</w:t>
      </w:r>
    </w:p>
    <w:p w:rsidR="007058F2" w:rsidRDefault="00CC49D7" w:rsidP="00651E3A">
      <w:pPr>
        <w:pageBreakBefore/>
        <w:spacing w:before="10920" w:after="0" w:line="259" w:lineRule="auto"/>
        <w:ind w:left="0" w:firstLine="0"/>
        <w:jc w:val="right"/>
        <w:rPr>
          <w:sz w:val="11"/>
        </w:rPr>
      </w:pPr>
      <w:r>
        <w:rPr>
          <w:sz w:val="11"/>
        </w:rPr>
        <w:t xml:space="preserve">Norstedts Juridik AB</w:t>
      </w:r>
    </w:p>
    <w:p w:rsidR="00551E3F" w:rsidRPr="007058F2" w:rsidRDefault="00CC49D7" w:rsidP="007058F2">
      <w:pPr>
        <w:spacing w:after="0" w:line="259" w:lineRule="auto"/>
        <w:ind w:left="0" w:firstLine="0"/>
        <w:jc w:val="right"/>
        <w:rPr>
          <w:sz w:val="11"/>
        </w:rPr>
      </w:pPr>
      <w:r>
        <w:rPr>
          <w:sz w:val="11"/>
        </w:rPr>
        <w:t xml:space="preserve">Elanders Sverige AB, 2018</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51E3F" w:rsidRPr="007058F2" w:rsidSect="00E812AA">
      <w:headerReference w:type="even" r:id="rId9"/>
      <w:headerReference w:type="default" r:id="rId10"/>
      <w:footerReference w:type="even" r:id="rId11"/>
      <w:footerReference w:type="default" r:id="rId12"/>
      <w:footerReference w:type="first" r:id="rId13"/>
      <w:pgSz w:w="9354" w:h="13720"/>
      <w:pgMar w:top="680" w:right="2353" w:bottom="1361" w:left="1134" w:header="720" w:footer="720" w:gutter="0"/>
      <w:cols w:space="720"/>
      <w:titlePg/>
      <w:docGrid w:linePitch="258"/>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4B717A" w:rsidRDefault="004B717A">
      <w:pPr>
        <w:spacing w:after="0" w:line="240" w:lineRule="auto"/>
      </w:pPr>
      <w:r>
        <w:separator/>
      </w:r>
    </w:p>
  </w:endnote>
  <w:endnote xmlns:w15="http://schemas.microsoft.com/office/word/2012/wordml" w:type="continuationSeparator" w:id="0">
    <w:p w:rsidR="004B717A" w:rsidRDefault="004B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1276" w:firstLine="0"/>
      <w:jc w:val="left"/>
    </w:pPr>
    <w:r>
      <w:fldChar w:fldCharType="begin"/>
    </w:r>
    <w:r>
      <w:instrText xml:space="preserve"> PAGE   \* MERGEFORMAT </w:instrText>
    </w:r>
    <w:r>
      <w:fldChar w:fldCharType="separate"/>
    </w:r>
    <w:r w:rsidR="00943D0F">
      <w:rPr>
    </w:rPr>
      <w:t>4</w:t>
    </w:r>
    <w:r>
      <w:rPr>
    </w:rPr>
      <w:fldChar w:fldCharType="end"/>
    </w: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0" w:right="-1221" w:firstLine="0"/>
      <w:jc w:val="right"/>
    </w:pPr>
    <w:r>
      <w:fldChar w:fldCharType="begin"/>
    </w:r>
    <w:r>
      <w:instrText xml:space="preserve"> PAGE   \* MERGEFORMAT </w:instrText>
    </w:r>
    <w:r>
      <w:fldChar w:fldCharType="separate"/>
    </w:r>
    <w:r w:rsidR="00943D0F">
      <w:rPr>
    </w:rPr>
      <w:t>3</w:t>
    </w:r>
    <w:r>
      <w:rPr>
    </w:rPr>
      <w:fldChar w:fldCharType="end"/>
    </w: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0" w:right="-1221" w:firstLine="0"/>
      <w:jc w:val="right"/>
    </w:pPr>
    <w:r>
      <w:fldChar w:fldCharType="begin"/>
    </w:r>
    <w:r>
      <w:instrText xml:space="preserve"> PAGE   \* MERGEFORMAT </w:instrText>
    </w:r>
    <w:r>
      <w:fldChar w:fldCharType="separate"/>
    </w:r>
    <w:r w:rsidR="00943D0F">
      <w:rPr>
    </w:rPr>
      <w:t>1</w:t>
    </w:r>
    <w:r>
      <w:rPr>
    </w:rPr>
      <w:fldChar w:fldCharType="end"/>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4B717A" w:rsidRDefault="004B717A" w:rsidP="00E812AA">
      <w:pPr>
        <w:spacing w:after="0" w:line="230" w:lineRule="auto"/>
        <w:ind w:left="0" w:right="1837" w:firstLine="0"/>
      </w:pPr>
      <w:r>
        <w:separator/>
      </w:r>
    </w:p>
  </w:footnote>
  <w:footnote xmlns:w15="http://schemas.microsoft.com/office/word/2012/wordml" w:type="continuationSeparator" w:id="0">
    <w:p w:rsidR="004B717A" w:rsidRDefault="004B717A">
      <w:pPr>
        <w:spacing w:after="0" w:line="230" w:lineRule="auto"/>
        <w:ind w:left="412" w:right="1837" w:firstLine="0"/>
      </w:pPr>
      <w:r>
        <w:continuationSeparator/>
      </w:r>
    </w:p>
  </w:footnote>
  <w:footnote xmlns:w="http://schemas.openxmlformats.org/wordprocessingml/2006/main" w:id="1">
    <w:p w:rsidR="00551E3F" w:rsidRPr="00E812AA" w:rsidRDefault="00CC49D7" w:rsidP="00E812AA">
      <w:pPr>
        <w:pStyle w:val="footnotedescription"/>
        <w:spacing w:line="240" w:lineRule="auto"/>
        <w:ind w:left="0"/>
        <w:jc w:val="both"/>
        <w:rPr>
          <w:szCs w:val="17"/>
        </w:rPr>
      </w:pPr>
      <w:r>
        <w:rPr>
          <w:rStyle w:val="footnotemark"/>
        </w:rPr>
        <w:footnoteRef/>
      </w:r>
      <w:r>
        <w:t xml:space="preserve"> A se vedea Directiva (UE) 2015/1535 a Parlamentului European și a Consiliului din 9 septembrie 2015 referitoare la procedura de furnizare de informații în domeniul reglementărilor tehnice și al normelor privind serviciile societății informaționale.</w:t>
      </w:r>
    </w:p>
  </w:footnote>
  <w:footnote xmlns:w="http://schemas.openxmlformats.org/wordprocessingml/2006/main" w:id="2">
    <w:p w:rsidR="00551E3F" w:rsidRPr="00E812AA" w:rsidRDefault="00CC49D7" w:rsidP="00E812AA">
      <w:pPr>
        <w:pStyle w:val="footnotedescription"/>
        <w:tabs>
          <w:tab w:val="center" w:pos="1348"/>
          <w:tab w:val="right" w:pos="8146"/>
        </w:tabs>
        <w:spacing w:line="240" w:lineRule="auto"/>
        <w:ind w:left="0"/>
        <w:jc w:val="both"/>
        <w:rPr>
          <w:szCs w:val="17"/>
        </w:rPr>
      </w:pPr>
      <w:r>
        <w:rPr>
          <w:rStyle w:val="footnotemark"/>
        </w:rPr>
        <w:footnoteRef/>
      </w:r>
      <w:r>
        <w:t xml:space="preserve"> Cea mai recentă versiune 2016:829.</w:t>
      </w:r>
    </w:p>
  </w:footnote>
  <w:footnote xmlns:w="http://schemas.openxmlformats.org/wordprocessingml/2006/main" w:id="3">
    <w:p w:rsidR="00551E3F" w:rsidRPr="00E812AA" w:rsidRDefault="00CC49D7" w:rsidP="00E812AA">
      <w:pPr>
        <w:pStyle w:val="footnotedescription"/>
        <w:spacing w:line="240" w:lineRule="auto"/>
        <w:ind w:left="0"/>
        <w:jc w:val="both"/>
        <w:rPr>
          <w:szCs w:val="17"/>
        </w:rPr>
      </w:pPr>
      <w:r>
        <w:rPr>
          <w:rStyle w:val="footnotemark"/>
        </w:rPr>
        <w:footnoteRef/>
      </w:r>
      <w:r>
        <w:t xml:space="preserve"> Anteriorul articol 4 a fost abrogat prin intermediul 2009:954.</w:t>
      </w:r>
    </w:p>
  </w:footnote>
  <w:footnote xmlns:w="http://schemas.openxmlformats.org/wordprocessingml/2006/main" w:id="4">
    <w:p w:rsidR="00551E3F" w:rsidRPr="00E812AA" w:rsidRDefault="00CC49D7" w:rsidP="00E812AA">
      <w:pPr>
        <w:pStyle w:val="footnotedescription"/>
        <w:spacing w:line="240" w:lineRule="auto"/>
        <w:ind w:left="0"/>
        <w:jc w:val="both"/>
        <w:rPr>
          <w:szCs w:val="17"/>
        </w:rPr>
      </w:pPr>
      <w:r>
        <w:rPr>
          <w:rStyle w:val="footnotemark"/>
        </w:rPr>
        <w:footnoteRef/>
      </w:r>
      <w:r>
        <w:t xml:space="preserve"> Versiunea anterioară a articolului 4 a abrogată prin Legea nr. 200:255.</w:t>
      </w:r>
    </w:p>
  </w:footnote>
  <w:footnote xmlns:w="http://schemas.openxmlformats.org/wordprocessingml/2006/main" w:id="5">
    <w:p w:rsidR="00551E3F" w:rsidRPr="00E812AA" w:rsidRDefault="00CC49D7" w:rsidP="00825642">
      <w:pPr>
        <w:pStyle w:val="footnotedescription"/>
        <w:spacing w:line="240" w:lineRule="auto"/>
        <w:ind w:left="0"/>
        <w:jc w:val="both"/>
        <w:rPr>
          <w:szCs w:val="17"/>
        </w:rPr>
      </w:pPr>
      <w:r>
        <w:rPr>
          <w:rStyle w:val="footnotemark"/>
        </w:rPr>
        <w:footnoteRef/>
      </w:r>
      <w:r>
        <w:t xml:space="preserve"> Versiunea anterioară a articolului 4 b abrogată prin Legea nr. 2008:255.</w:t>
      </w:r>
    </w:p>
  </w:footnote>
  <w:footnote xmlns:w="http://schemas.openxmlformats.org/wordprocessingml/2006/main" w:id="6">
    <w:p w:rsidR="00E812AA" w:rsidRPr="00E812AA" w:rsidRDefault="00E812AA" w:rsidP="00825642">
      <w:pPr>
        <w:pStyle w:val="footnotedescription"/>
        <w:spacing w:line="240" w:lineRule="auto"/>
        <w:ind w:left="0"/>
        <w:jc w:val="both"/>
        <w:rPr>
          <w:szCs w:val="17"/>
          <w:rFonts w:eastAsia="SimSun"/>
        </w:rPr>
      </w:pPr>
      <w:r>
        <w:rPr>
          <w:vertAlign w:val="superscript"/>
        </w:rPr>
        <w:footnoteRef/>
      </w:r>
      <w:r>
        <w:t xml:space="preserve"> Cea mai recentă versiune 2016:144.</w:t>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2AA" w:rsidRDefault="00643102" w:rsidP="00E812AA">
    <w:pPr>
      <w:pStyle w:val="Header"/>
      <w:ind w:left="0" w:firstLine="0"/>
    </w:pPr>
    <w:r>
      <w:rPr>
    </w:rPr>
      <mc:AlternateContent xmlns:mc="http://schemas.openxmlformats.org/markup-compatibility/2006">
        <mc:Choice Requires="wps">
          <w:drawing>
            <wp:anchor xmlns:wp="http://schemas.openxmlformats.org/drawingml/2006/wordprocessingDrawing" distT="0" distB="0" distL="114300" distR="114300" simplePos="0" relativeHeight="251658240" behindDoc="0" locked="0" layoutInCell="1" allowOverlap="1">
              <wp:simplePos x="0" y="0"/>
              <wp:positionH relativeFrom="column">
                <wp:posOffset>-1273810</wp:posOffset>
              </wp:positionH>
              <wp:positionV relativeFrom="paragraph">
                <wp:posOffset>104775</wp:posOffset>
              </wp:positionV>
              <wp:extent cx="1143000" cy="457200"/>
              <wp:effectExtent l="127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2AA" w:rsidRPr="00E812AA" w:rsidRDefault="00E812AA" w:rsidP="00E812AA">
                          <w:pPr>
                            <w:ind w:left="0"/>
                            <w:rPr>
                              <w:b/>
                            </w:rPr>
                          </w:pPr>
                          <w:r>
                            <w:rPr>
                              <w:b/>
                            </w:rPr>
                            <w:t xml:space="preserve">SFS 2018:55</w:t>
                          </w:r>
                        </w:p>
                      </w:txbxContent>
                    </wps:txbx>
                    <wps:bodyPr rot="0" vert="horz" wrap="square" lIns="91440" tIns="45720" rIns="91440" bIns="45720" anchor="t" anchorCtr="0"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2" o:spid="_x0000_s1027" type="#_x0000_t202" style="position:absolute;left:0;text-align:left;margin-left:-100.3pt;margin-top:8.25pt;width:9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" stroked="f">
              <v:textbox>
                <w:txbxContent>
                  <w:p w:rsidR="00E812AA" w:rsidRPr="00E812AA" w:rsidRDefault="00E812AA" w:rsidP="00E812AA">
                    <w:pPr>
                      <w:ind w:left="0"/>
                      <w:rPr>
                        <w:b/>
                      </w:rPr>
                    </w:pPr>
                    <w:r>
                      <w:rPr>
                        <w:b/>
                      </w:rPr>
                      <w:t xml:space="preserve">SFS 2018:55</w:t>
                    </w:r>
                  </w:p>
                </w:txbxContent>
              </v:textbox>
            </v:shape>
          </w:pict>
        </mc:Fallback>
      </mc:AlternateContent>
    </w: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2AA" w:rsidRPr="00E812AA" w:rsidRDefault="00643102" w:rsidP="00E812AA">
    <w:pPr>
      <w:pStyle w:val="Header"/>
      <w:ind w:left="-1701" w:firstLine="0"/>
      <w:rPr>
        <w:b/>
      </w:rPr>
    </w:pPr>
    <w:r>
      <w:rPr>
        <w:b/>
      </w:rPr>
      <mc:AlternateContent xmlns:mc="http://schemas.openxmlformats.org/markup-compatibility/2006">
        <mc:Choice Requires="wps">
          <w:drawing>
            <wp:anchor xmlns:wp="http://schemas.openxmlformats.org/drawingml/2006/wordprocessingDrawing" distT="0" distB="0" distL="114300" distR="114300" simplePos="0" relativeHeight="251657216" behindDoc="0" locked="0" layoutInCell="1" allowOverlap="1">
              <wp:simplePos x="0" y="0"/>
              <wp:positionH relativeFrom="column">
                <wp:posOffset>3977005</wp:posOffset>
              </wp:positionH>
              <wp:positionV relativeFrom="paragraph">
                <wp:posOffset>114300</wp:posOffset>
              </wp:positionV>
              <wp:extent cx="1143000" cy="45720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2AA" w:rsidRPr="00E812AA" w:rsidRDefault="00E812AA">
                          <w:pPr>
                            <w:ind w:left="0"/>
                            <w:rPr>
                              <w:b/>
                            </w:rPr>
                          </w:pPr>
                          <w:r>
                            <w:rPr>
                              <w:b/>
                            </w:rPr>
                            <w:t xml:space="preserve">SFS 2018:55</w:t>
                          </w:r>
                        </w:p>
                      </w:txbxContent>
                    </wps:txbx>
                    <wps:bodyPr rot="0" vert="horz" wrap="square" lIns="91440" tIns="45720" rIns="91440" bIns="45720" anchor="t" anchorCtr="0"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1" o:spid="_x0000_s1028" type="#_x0000_t202" style="position:absolute;left:0;text-align:left;margin-left:313.15pt;margin-top:9pt;width:90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" stroked="f">
              <v:textbox>
                <w:txbxContent>
                  <w:p w:rsidR="00E812AA" w:rsidRPr="00E812AA" w:rsidRDefault="00E812AA">
                    <w:pPr>
                      <w:ind w:left="0"/>
                      <w:rPr>
                        <w:b/>
                      </w:rPr>
                    </w:pPr>
                    <w:r>
                      <w:rPr>
                        <w:b/>
                      </w:rPr>
                      <w:t xml:space="preserve">SFS 2018:55</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338C0"/>
    <w:multiLevelType w:val="hybridMultilevel"/>
    <w:tmpl w:val="B5A2AEDA"/>
    <w:lvl w:ilvl="0" w:tplc="88E671A2">
      <w:start w:val="1"/>
      <w:numFmt w:val="decimal"/>
      <w:lvlText w:val="%1."/>
      <w:lvlJc w:val="left"/>
      <w:pPr>
        <w:ind w:left="4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46E0632">
      <w:start w:val="1"/>
      <w:numFmt w:val="lowerLetter"/>
      <w:lvlText w:val="%2"/>
      <w:lvlJc w:val="left"/>
      <w:pPr>
        <w:ind w:left="1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D7A40B8">
      <w:start w:val="1"/>
      <w:numFmt w:val="lowerRoman"/>
      <w:lvlText w:val="%3"/>
      <w:lvlJc w:val="left"/>
      <w:pPr>
        <w:ind w:left="19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94EE1A4">
      <w:start w:val="1"/>
      <w:numFmt w:val="decimal"/>
      <w:lvlText w:val="%4"/>
      <w:lvlJc w:val="left"/>
      <w:pPr>
        <w:ind w:left="27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CCADB12">
      <w:start w:val="1"/>
      <w:numFmt w:val="lowerLetter"/>
      <w:lvlText w:val="%5"/>
      <w:lvlJc w:val="left"/>
      <w:pPr>
        <w:ind w:left="34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4FEE712">
      <w:start w:val="1"/>
      <w:numFmt w:val="lowerRoman"/>
      <w:lvlText w:val="%6"/>
      <w:lvlJc w:val="left"/>
      <w:pPr>
        <w:ind w:left="41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A8E30C6">
      <w:start w:val="1"/>
      <w:numFmt w:val="decimal"/>
      <w:lvlText w:val="%7"/>
      <w:lvlJc w:val="left"/>
      <w:pPr>
        <w:ind w:left="48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58C012C">
      <w:start w:val="1"/>
      <w:numFmt w:val="lowerLetter"/>
      <w:lvlText w:val="%8"/>
      <w:lvlJc w:val="left"/>
      <w:pPr>
        <w:ind w:left="55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1661DFE">
      <w:start w:val="1"/>
      <w:numFmt w:val="lowerRoman"/>
      <w:lvlText w:val="%9"/>
      <w:lvlJc w:val="left"/>
      <w:pPr>
        <w:ind w:left="63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5C5A280A"/>
    <w:multiLevelType w:val="hybridMultilevel"/>
    <w:tmpl w:val="97A4D7A8"/>
    <w:lvl w:ilvl="0" w:tplc="DEBEB0CE">
      <w:start w:val="1"/>
      <w:numFmt w:val="decimal"/>
      <w:lvlText w:val="%1."/>
      <w:lvlJc w:val="left"/>
      <w:pPr>
        <w:ind w:left="3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96AEBAC">
      <w:start w:val="1"/>
      <w:numFmt w:val="lowerLetter"/>
      <w:lvlText w:val="%2"/>
      <w:lvlJc w:val="left"/>
      <w:pPr>
        <w:ind w:left="12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F4072B4">
      <w:start w:val="1"/>
      <w:numFmt w:val="lowerRoman"/>
      <w:lvlText w:val="%3"/>
      <w:lvlJc w:val="left"/>
      <w:pPr>
        <w:ind w:left="19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7328C18">
      <w:start w:val="1"/>
      <w:numFmt w:val="decimal"/>
      <w:lvlText w:val="%4"/>
      <w:lvlJc w:val="left"/>
      <w:pPr>
        <w:ind w:left="27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11A8B98">
      <w:start w:val="1"/>
      <w:numFmt w:val="lowerLetter"/>
      <w:lvlText w:val="%5"/>
      <w:lvlJc w:val="left"/>
      <w:pPr>
        <w:ind w:left="3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8F27A06">
      <w:start w:val="1"/>
      <w:numFmt w:val="lowerRoman"/>
      <w:lvlText w:val="%6"/>
      <w:lvlJc w:val="left"/>
      <w:pPr>
        <w:ind w:left="41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D34AC36">
      <w:start w:val="1"/>
      <w:numFmt w:val="decimal"/>
      <w:lvlText w:val="%7"/>
      <w:lvlJc w:val="left"/>
      <w:pPr>
        <w:ind w:left="48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AB04680">
      <w:start w:val="1"/>
      <w:numFmt w:val="lowerLetter"/>
      <w:lvlText w:val="%8"/>
      <w:lvlJc w:val="left"/>
      <w:pPr>
        <w:ind w:left="5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54686E0">
      <w:start w:val="1"/>
      <w:numFmt w:val="lowerRoman"/>
      <w:lvlText w:val="%9"/>
      <w:lvlJc w:val="left"/>
      <w:pPr>
        <w:ind w:left="6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6ADA0C50"/>
    <w:multiLevelType w:val="hybridMultilevel"/>
    <w:tmpl w:val="26107D60"/>
    <w:lvl w:ilvl="0" w:tplc="48B6FFAE">
      <w:start w:val="1"/>
      <w:numFmt w:val="bullet"/>
      <w:lvlText w:val="–"/>
      <w:lvlJc w:val="left"/>
      <w:pPr>
        <w:ind w:left="5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40E3F8C">
      <w:start w:val="1"/>
      <w:numFmt w:val="bullet"/>
      <w:lvlText w:val="o"/>
      <w:lvlJc w:val="left"/>
      <w:pPr>
        <w:ind w:left="12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87E1362">
      <w:start w:val="1"/>
      <w:numFmt w:val="bullet"/>
      <w:lvlText w:val="▪"/>
      <w:lvlJc w:val="left"/>
      <w:pPr>
        <w:ind w:left="19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AD4C1CC">
      <w:start w:val="1"/>
      <w:numFmt w:val="bullet"/>
      <w:lvlText w:val="•"/>
      <w:lvlJc w:val="left"/>
      <w:pPr>
        <w:ind w:left="27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59AC512">
      <w:start w:val="1"/>
      <w:numFmt w:val="bullet"/>
      <w:lvlText w:val="o"/>
      <w:lvlJc w:val="left"/>
      <w:pPr>
        <w:ind w:left="3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1CE9388">
      <w:start w:val="1"/>
      <w:numFmt w:val="bullet"/>
      <w:lvlText w:val="▪"/>
      <w:lvlJc w:val="left"/>
      <w:pPr>
        <w:ind w:left="41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0369006">
      <w:start w:val="1"/>
      <w:numFmt w:val="bullet"/>
      <w:lvlText w:val="•"/>
      <w:lvlJc w:val="left"/>
      <w:pPr>
        <w:ind w:left="48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434DA78">
      <w:start w:val="1"/>
      <w:numFmt w:val="bullet"/>
      <w:lvlText w:val="o"/>
      <w:lvlJc w:val="left"/>
      <w:pPr>
        <w:ind w:left="5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9F89080">
      <w:start w:val="1"/>
      <w:numFmt w:val="bullet"/>
      <w:lvlText w:val="▪"/>
      <w:lvlJc w:val="left"/>
      <w:pPr>
        <w:ind w:left="6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DB568C1"/>
    <w:multiLevelType w:val="hybridMultilevel"/>
    <w:tmpl w:val="183E5B58"/>
    <w:lvl w:ilvl="0" w:tplc="A8D8D61A">
      <w:start w:val="1"/>
      <w:numFmt w:val="decimal"/>
      <w:lvlText w:val="%1."/>
      <w:lvlJc w:val="left"/>
      <w:pPr>
        <w:ind w:left="17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E6A0EA8">
      <w:start w:val="1"/>
      <w:numFmt w:val="lowerLetter"/>
      <w:lvlText w:val="%2"/>
      <w:lvlJc w:val="left"/>
      <w:pPr>
        <w:ind w:left="30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110D80A">
      <w:start w:val="1"/>
      <w:numFmt w:val="lowerRoman"/>
      <w:lvlText w:val="%3"/>
      <w:lvlJc w:val="left"/>
      <w:pPr>
        <w:ind w:left="38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AC4E194">
      <w:start w:val="1"/>
      <w:numFmt w:val="decimal"/>
      <w:lvlText w:val="%4"/>
      <w:lvlJc w:val="left"/>
      <w:pPr>
        <w:ind w:left="45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4BAC7B0">
      <w:start w:val="1"/>
      <w:numFmt w:val="lowerLetter"/>
      <w:lvlText w:val="%5"/>
      <w:lvlJc w:val="left"/>
      <w:pPr>
        <w:ind w:left="5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DF05078">
      <w:start w:val="1"/>
      <w:numFmt w:val="lowerRoman"/>
      <w:lvlText w:val="%6"/>
      <w:lvlJc w:val="left"/>
      <w:pPr>
        <w:ind w:left="59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916C030">
      <w:start w:val="1"/>
      <w:numFmt w:val="decimal"/>
      <w:lvlText w:val="%7"/>
      <w:lvlJc w:val="left"/>
      <w:pPr>
        <w:ind w:left="6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7126992">
      <w:start w:val="1"/>
      <w:numFmt w:val="lowerLetter"/>
      <w:lvlText w:val="%8"/>
      <w:lvlJc w:val="left"/>
      <w:pPr>
        <w:ind w:left="74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FC789A">
      <w:start w:val="1"/>
      <w:numFmt w:val="lowerRoman"/>
      <w:lvlText w:val="%9"/>
      <w:lvlJc w:val="left"/>
      <w:pPr>
        <w:ind w:left="81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dirty" w:grammar="dirty"/>
  <w:defaultTabStop w:val="1304"/>
  <w:hyphenationZone w:val="425"/>
  <w:doNotHyphenateCaps/>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3F"/>
    <w:rsid w:val="00015EA3"/>
    <w:rsid w:val="001716B1"/>
    <w:rsid w:val="00215ED8"/>
    <w:rsid w:val="004707E8"/>
    <w:rsid w:val="004B717A"/>
    <w:rsid w:val="00551E3F"/>
    <w:rsid w:val="00643102"/>
    <w:rsid w:val="00651E3A"/>
    <w:rsid w:val="007058F2"/>
    <w:rsid w:val="007154F6"/>
    <w:rsid w:val="00793620"/>
    <w:rsid w:val="007D7823"/>
    <w:rsid w:val="008062AA"/>
    <w:rsid w:val="00825642"/>
    <w:rsid w:val="008802E6"/>
    <w:rsid w:val="008B7F39"/>
    <w:rsid w:val="00943D0F"/>
    <w:rsid w:val="00952D25"/>
    <w:rsid w:val="00A065E3"/>
    <w:rsid w:val="00CC49D7"/>
    <w:rsid w:val="00DA5828"/>
    <w:rsid w:val="00DB4B0C"/>
    <w:rsid w:val="00E8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F117386-FD52-40CE-9834-BBBB910AC5F7}"/>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Calibri" w:eastAsia="Times New Roman" w:hAnsi="Calibri" w:cs="Times New Roman"/>
        <w:lang w:val="ro-RO" w:eastAsia="en-GB" w:bidi="en-GB"/>
      </w:rPr>
    </w:rPrDefault>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pPr>
      <w:spacing w:after="3" w:line="262" w:lineRule="auto"/>
      <w:ind w:left="422" w:hanging="10"/>
      <w:jc w:val="both"/>
    </w:pPr>
    <w:rPr>
      <w:rFonts w:ascii="Times New Roman" w:hAnsi="Times New Roman"/>
      <w:color w:val="000000"/>
      <w:sz w:val="19"/>
      <w:szCs w:val="22"/>
      <w:lang w:val="ro-RO" w:eastAsia="en-GB"/>
    </w:rPr>
  </w:style>
  <w:style xmlns:w15="http://schemas.microsoft.com/office/word/2012/wordml" w:type="paragraph" w:styleId="Heading1">
    <w:name w:val="heading 1"/>
    <w:next w:val="Normal"/>
    <w:link w:val="Heading1Char"/>
    <w:uiPriority w:val="9"/>
    <w:unhideWhenUsed/>
    <w:qFormat/>
    <w:pPr>
      <w:keepNext/>
      <w:keepLines/>
      <w:spacing w:after="79" w:line="259" w:lineRule="auto"/>
      <w:ind w:left="11"/>
      <w:outlineLvl w:val="0"/>
    </w:pPr>
    <w:rPr>
      <w:rFonts w:ascii="Times New Roman" w:hAnsi="Times New Roman"/>
      <w:b/>
      <w:color w:val="000000"/>
      <w:sz w:val="21"/>
      <w:szCs w:val="22"/>
      <w:lang w:val="ro-RO" w:eastAsia="en-GB"/>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customStyle="1" w:styleId="Heading1Char">
    <w:name w:val="Heading 1 Char"/>
    <w:link w:val="Heading1"/>
    <w:rPr>
      <w:rFonts w:ascii="Times New Roman" w:eastAsia="Times New Roman" w:hAnsi="Times New Roman" w:cs="Times New Roman"/>
      <w:b/>
      <w:color w:val="000000"/>
      <w:sz w:val="21"/>
    </w:rPr>
  </w:style>
  <w:style xmlns:w15="http://schemas.microsoft.com/office/word/2012/wordml" w:type="paragraph" w:customStyle="1" w:styleId="footnotedescription">
    <w:name w:val="footnote description"/>
    <w:next w:val="Normal"/>
    <w:link w:val="footnotedescriptionChar"/>
    <w:hidden/>
    <w:pPr>
      <w:spacing w:line="259" w:lineRule="auto"/>
      <w:ind w:left="1111"/>
    </w:pPr>
    <w:rPr>
      <w:rFonts w:ascii="Times New Roman" w:hAnsi="Times New Roman"/>
      <w:color w:val="000000"/>
      <w:sz w:val="17"/>
      <w:szCs w:val="22"/>
      <w:lang w:val="ro-RO" w:eastAsia="en-GB"/>
    </w:rPr>
  </w:style>
  <w:style xmlns:w15="http://schemas.microsoft.com/office/word/2012/wordml" w:type="character" w:customStyle="1" w:styleId="footnotedescriptionChar">
    <w:name w:val="footnote description Char"/>
    <w:link w:val="footnotedescription"/>
    <w:rPr>
      <w:rFonts w:ascii="Times New Roman" w:eastAsia="Times New Roman" w:hAnsi="Times New Roman" w:cs="Times New Roman"/>
      <w:color w:val="000000"/>
      <w:sz w:val="17"/>
    </w:rPr>
  </w:style>
  <w:style xmlns:w15="http://schemas.microsoft.com/office/word/2012/wordml" w:type="character" w:customStyle="1" w:styleId="footnotemark">
    <w:name w:val="footnote mark"/>
    <w:hidden/>
    <w:rPr>
      <w:rFonts w:ascii="Times New Roman" w:eastAsia="Times New Roman" w:hAnsi="Times New Roman" w:cs="Times New Roman"/>
      <w:color w:val="000000"/>
      <w:sz w:val="17"/>
      <w:vertAlign w:val="superscript"/>
    </w:rPr>
  </w:style>
  <w:style xmlns:w15="http://schemas.microsoft.com/office/word/2012/wordml" w:type="paragraph" w:customStyle="1" w:styleId="RKbas">
    <w:name w:val="RKbas"/>
    <w:link w:val="RKbasChar"/>
    <w:uiPriority w:val="11"/>
    <w:semiHidden/>
    <w:rsid w:val="00DB4B0C"/>
    <w:rPr>
      <w:rFonts w:ascii="Times New Roman" w:eastAsia="SimSun" w:hAnsi="Times New Roman"/>
      <w:szCs w:val="22"/>
      <w:lang w:val="ro-RO"/>
    </w:rPr>
  </w:style>
  <w:style xmlns:w15="http://schemas.microsoft.com/office/word/2012/wordml" w:type="character" w:customStyle="1" w:styleId="RKbasChar">
    <w:name w:val="RKbas Char"/>
    <w:link w:val="RKbas"/>
    <w:uiPriority w:val="11"/>
    <w:semiHidden/>
    <w:rsid w:val="00DB4B0C"/>
    <w:rPr>
      <w:rFonts w:ascii="Times New Roman" w:eastAsia="SimSun" w:hAnsi="Times New Roman"/>
      <w:szCs w:val="22"/>
      <w:lang w:val="ro-RO"/>
    </w:rPr>
  </w:style>
  <w:style xmlns:w15="http://schemas.microsoft.com/office/word/2012/wordml" w:type="paragraph" w:styleId="BodyText">
    <w:name w:val="Body Text"/>
    <w:basedOn w:val="RKbas"/>
    <w:next w:val="BodyTextIndent"/>
    <w:link w:val="BodyTextChar"/>
    <w:qFormat/>
    <w:rsid w:val="00DB4B0C"/>
    <w:pPr>
      <w:tabs>
        <w:tab w:val="left" w:pos="227"/>
        <w:tab w:val="left" w:pos="397"/>
        <w:tab w:val="left" w:pos="3062"/>
      </w:tabs>
      <w:spacing w:line="232" w:lineRule="exact"/>
      <w:jc w:val="both"/>
    </w:pPr>
    <w:rPr>
      <w:sz w:val="19"/>
    </w:rPr>
  </w:style>
  <w:style xmlns:w15="http://schemas.microsoft.com/office/word/2012/wordml" w:type="character" w:customStyle="1" w:styleId="BodyTextChar">
    <w:name w:val="Body Text Char"/>
    <w:link w:val="BodyText"/>
    <w:rsid w:val="00DB4B0C"/>
    <w:rPr>
      <w:rFonts w:ascii="Times New Roman" w:eastAsia="SimSun" w:hAnsi="Times New Roman"/>
      <w:sz w:val="19"/>
      <w:szCs w:val="22"/>
      <w:lang w:val="ro-RO"/>
    </w:rPr>
  </w:style>
  <w:style xmlns:w15="http://schemas.microsoft.com/office/word/2012/wordml" w:type="paragraph" w:styleId="BodyTextIndent">
    <w:name w:val="Body Text Indent"/>
    <w:basedOn w:val="Normal"/>
    <w:link w:val="BodyTextIndentChar"/>
    <w:uiPriority w:val="99"/>
    <w:semiHidden/>
    <w:unhideWhenUsed/>
    <w:rsid w:val="00DB4B0C"/>
    <w:pPr>
      <w:spacing w:after="120"/>
      <w:ind w:left="283"/>
    </w:pPr>
  </w:style>
  <w:style xmlns:w15="http://schemas.microsoft.com/office/word/2012/wordml" w:type="character" w:customStyle="1" w:styleId="BodyTextIndentChar">
    <w:name w:val="Body Text Indent Char"/>
    <w:link w:val="BodyTextIndent"/>
    <w:uiPriority w:val="99"/>
    <w:semiHidden/>
    <w:rsid w:val="00DB4B0C"/>
    <w:rPr>
      <w:rFonts w:ascii="Times New Roman" w:hAnsi="Times New Roman"/>
      <w:color w:val="000000"/>
      <w:sz w:val="19"/>
      <w:szCs w:val="22"/>
      <w:lang w:val="ro-RO" w:eastAsia="en-GB"/>
    </w:rPr>
  </w:style>
  <w:style xmlns:w15="http://schemas.microsoft.com/office/word/2012/wordml" w:type="paragraph" w:styleId="Header">
    <w:name w:val="header"/>
    <w:basedOn w:val="Normal"/>
    <w:link w:val="HeaderChar"/>
    <w:uiPriority w:val="99"/>
    <w:unhideWhenUsed/>
    <w:rsid w:val="00E812AA"/>
    <w:pPr>
      <w:tabs>
        <w:tab w:val="center" w:pos="4320"/>
        <w:tab w:val="right" w:pos="8640"/>
      </w:tabs>
    </w:pPr>
  </w:style>
  <w:style xmlns:w15="http://schemas.microsoft.com/office/word/2012/wordml" w:type="character" w:customStyle="1" w:styleId="HeaderChar">
    <w:name w:val="Header Char"/>
    <w:link w:val="Header"/>
    <w:uiPriority w:val="99"/>
    <w:rsid w:val="00E812AA"/>
    <w:rPr>
      <w:rFonts w:ascii="Times New Roman" w:hAnsi="Times New Roman"/>
      <w:color w:val="000000"/>
      <w:sz w:val="19"/>
      <w:szCs w:val="22"/>
      <w:lang w:val="ro-RO" w:eastAsia="en-GB"/>
    </w:rPr>
  </w:style>
  <w:style xmlns:w15="http://schemas.microsoft.com/office/word/2012/wordml" w:type="paragraph" w:styleId="Footer">
    <w:name w:val="footer"/>
    <w:basedOn w:val="Normal"/>
    <w:link w:val="FooterChar"/>
    <w:uiPriority w:val="99"/>
    <w:unhideWhenUsed/>
    <w:rsid w:val="00E812AA"/>
    <w:pPr>
      <w:tabs>
        <w:tab w:val="center" w:pos="4320"/>
        <w:tab w:val="right" w:pos="8640"/>
      </w:tabs>
    </w:pPr>
  </w:style>
  <w:style xmlns:w15="http://schemas.microsoft.com/office/word/2012/wordml" w:type="character" w:customStyle="1" w:styleId="FooterChar">
    <w:name w:val="Footer Char"/>
    <w:link w:val="Footer"/>
    <w:uiPriority w:val="99"/>
    <w:rsid w:val="00E812AA"/>
    <w:rPr>
      <w:rFonts w:ascii="Times New Roman" w:hAnsi="Times New Roman"/>
      <w:color w:val="000000"/>
      <w:sz w:val="19"/>
      <w:szCs w:val="22"/>
      <w:lang w:val="ro-RO" w:eastAsia="en-GB"/>
    </w:rPr>
  </w:style>
  <w:style xmlns:w15="http://schemas.microsoft.com/office/word/2012/wordml" w:type="paragraph" w:styleId="FootnoteText">
    <w:name w:val="footnote text"/>
    <w:basedOn w:val="Normal"/>
    <w:link w:val="FootnoteTextChar"/>
    <w:uiPriority w:val="99"/>
    <w:semiHidden/>
    <w:unhideWhenUsed/>
    <w:rsid w:val="00E812AA"/>
    <w:rPr>
      <w:sz w:val="20"/>
      <w:szCs w:val="20"/>
    </w:rPr>
  </w:style>
  <w:style xmlns:w15="http://schemas.microsoft.com/office/word/2012/wordml" w:type="character" w:customStyle="1" w:styleId="FootnoteTextChar">
    <w:name w:val="Footnote Text Char"/>
    <w:link w:val="FootnoteText"/>
    <w:uiPriority w:val="99"/>
    <w:semiHidden/>
    <w:rsid w:val="00E812AA"/>
    <w:rPr>
      <w:rFonts w:ascii="Times New Roman" w:hAnsi="Times New Roman"/>
      <w:color w:val="000000"/>
      <w:lang w:val="ro-RO" w:eastAsia="en-GB"/>
    </w:rPr>
  </w:style>
  <w:style xmlns:w15="http://schemas.microsoft.com/office/word/2012/wordml" w:type="character" w:styleId="FootnoteReference">
    <w:name w:val="footnote reference"/>
    <w:uiPriority w:val="99"/>
    <w:semiHidden/>
    <w:unhideWhenUsed/>
    <w:rsid w:val="00E812AA"/>
    <w:rPr>
      <w:vertAlign w:val="superscript"/>
    </w:rPr>
  </w:style>
  <w:style xmlns:w15="http://schemas.microsoft.com/office/word/2012/wordml" w:type="paragraph" w:styleId="PlainText">
    <w:name w:val="Plain Text"/>
    <w:basedOn w:val="Normal"/>
    <w:link w:val="PlainTextChar"/>
    <w:uiPriority w:val="99"/>
    <w:unhideWhenUsed/>
    <w:rsid w:val="00943D0F"/>
    <w:pPr>
      <w:spacing w:after="0" w:line="240" w:lineRule="auto"/>
      <w:ind w:left="0" w:firstLine="0"/>
      <w:jc w:val="left"/>
    </w:pPr>
    <w:rPr>
      <w:rFonts w:ascii="Consolas" w:hAnsi="Consolas"/>
      <w:color w:val="auto"/>
      <w:sz w:val="21"/>
      <w:szCs w:val="21"/>
      <w:lang w:val="ro-RO" w:eastAsia="en-GB"/>
    </w:rPr>
  </w:style>
  <w:style xmlns:w15="http://schemas.microsoft.com/office/word/2012/wordml" w:type="character" w:customStyle="1" w:styleId="PlainTextChar">
    <w:name w:val="Plain Text Char"/>
    <w:basedOn w:val="DefaultParagraphFont"/>
    <w:link w:val="PlainText"/>
    <w:uiPriority w:val="99"/>
    <w:rsid w:val="00943D0F"/>
    <w:rPr>
      <w:rFonts w:ascii="Consolas" w:hAnsi="Consolas"/>
      <w:sz w:val="21"/>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498A6-8988-40B3-9852-D2270585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752</Words>
  <Characters>4136</Characters>
  <Application>Microsoft Office Word</Application>
  <DocSecurity>0</DocSecurity>
  <Lines>68</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0055.fm</vt:lpstr>
      <vt:lpstr>0055.fm</vt:lpstr>
    </vt:vector>
  </TitlesOfParts>
  <Company>Kommerskollegium</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0055.fm</dc:title>
  <dc:subject/>
  <dc:creator>leer01</dc:creator>
  <cp:keywords/>
  <cp:lastModifiedBy>Tordai, Vera</cp:lastModifiedBy>
  <cp:revision>3</cp:revision>
  <dcterms:created xsi:type="dcterms:W3CDTF">2019-04-30T10:57:00Z</dcterms:created>
  <dcterms:modified xsi:type="dcterms:W3CDTF">2019-04-30T10:57:00Z</dcterms:modified>
</cp:coreProperties>
</file>