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ECONOMIE EN MARITIEME ZAKEN</w:t>
      </w:r>
    </w:p>
    <w:p w14:paraId="4BE6550D"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Kabinet van de Staatssecretaris van Economische Zaken</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Verordening nr.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rFonts w:ascii="Garamond" w:eastAsia="Times New Roman" w:hAnsi="Garamond" w:cs="Times New Roman"/>
          <w:bCs/>
          <w:sz w:val="24"/>
          <w:szCs w:val="24"/>
        </w:rPr>
      </w:pPr>
      <w:r>
        <w:rPr>
          <w:rFonts w:ascii="Garamond" w:hAnsi="Garamond"/>
          <w:sz w:val="24"/>
        </w:rPr>
        <w:t>Samenvatting: Verordening tot vaststelling van een Verordening betreffende de wettelijke metrologische controle van opaciteitsmeters.</w:t>
      </w:r>
    </w:p>
    <w:p w14:paraId="4AE88BD5" w14:textId="0D92811E" w:rsidR="00501FB0" w:rsidRDefault="00752C59" w:rsidP="00501FB0">
      <w:pPr>
        <w:spacing w:after="120" w:line="360" w:lineRule="auto"/>
        <w:jc w:val="both"/>
        <w:rPr>
          <w:rFonts w:ascii="Garamond" w:hAnsi="Garamond" w:cs="Arial"/>
          <w:sz w:val="24"/>
          <w:szCs w:val="24"/>
        </w:rPr>
      </w:pPr>
      <w:r>
        <w:rPr>
          <w:rFonts w:ascii="Garamond" w:hAnsi="Garamond"/>
          <w:sz w:val="24"/>
        </w:rPr>
        <w:t>De metrologische controle van meetmethoden en -instrumenten in Portugal voldoet aan de algemene regeling die is goedgekeurd bij wetsbesluit nr. 29/2022 van 7 april, aan de algemene regelgevingsbepalingen van de algemene Verordening inzake de metrologische controle, goedgekeurd bij Verordening nr. 211/2022 van 23 augustus, en ook aan de bepalingen in de specifieke verordeningen van elk meetinstrument.</w:t>
      </w:r>
    </w:p>
    <w:p w14:paraId="0689E6B7" w14:textId="3B86FDFE" w:rsidR="00CB623B" w:rsidRDefault="00CB623B" w:rsidP="00B86C46">
      <w:pPr>
        <w:shd w:val="clear" w:color="auto" w:fill="FFFFFF" w:themeFill="background1"/>
        <w:spacing w:after="120" w:line="360" w:lineRule="auto"/>
        <w:jc w:val="both"/>
        <w:rPr>
          <w:rFonts w:ascii="Garamond" w:hAnsi="Garamond" w:cs="Arial"/>
          <w:sz w:val="24"/>
          <w:szCs w:val="24"/>
        </w:rPr>
      </w:pPr>
      <w:bookmarkStart w:id="0" w:name="_Hlk66124405"/>
      <w:r>
        <w:rPr>
          <w:rFonts w:ascii="Garamond" w:hAnsi="Garamond"/>
          <w:sz w:val="24"/>
        </w:rPr>
        <w:t>Met het oog op de bekendmaking van deze rechtspositie dient de specifieke verordening te worden vastgesteld waaraan de metrologische controle van opaciteitsmeters dient te voldoen, waarbij Verordening nr. 797/2009 van 1 december wordt ingetrokken.</w:t>
      </w:r>
    </w:p>
    <w:p w14:paraId="44CADCEE" w14:textId="5BD42CB3" w:rsidR="00473279" w:rsidRPr="00B86C46" w:rsidRDefault="00473279" w:rsidP="00B86C46">
      <w:pPr>
        <w:shd w:val="clear" w:color="auto" w:fill="FFFFFF" w:themeFill="background1"/>
        <w:spacing w:after="120" w:line="360" w:lineRule="auto"/>
        <w:jc w:val="both"/>
        <w:rPr>
          <w:rFonts w:ascii="Garamond" w:eastAsia="Times New Roman" w:hAnsi="Garamond" w:cs="Times New Roman"/>
          <w:bCs/>
          <w:sz w:val="24"/>
          <w:szCs w:val="24"/>
        </w:rPr>
      </w:pPr>
      <w:r>
        <w:rPr>
          <w:rFonts w:ascii="Garamond" w:hAnsi="Garamond"/>
          <w:sz w:val="24"/>
        </w:rPr>
        <w:t>Deze Verordening wordt onderworpen aan de informatieprocedure op het gebied van technische voorschriften en regels betreffende de diensten van de informatiemaatschappij als bedoeld in Richtlijn (EU) 2015/1535 van het Europees Parlement en de Raad van 9 september 2015.</w:t>
      </w:r>
    </w:p>
    <w:bookmarkEnd w:id="0"/>
    <w:p w14:paraId="03472A57" w14:textId="157F5F06" w:rsidR="00752C59" w:rsidRPr="003D5AFB" w:rsidRDefault="001E2713" w:rsidP="000E7B45">
      <w:pPr>
        <w:spacing w:after="120" w:line="360" w:lineRule="auto"/>
        <w:jc w:val="both"/>
        <w:rPr>
          <w:rFonts w:ascii="Garamond" w:hAnsi="Garamond" w:cs="Arial"/>
          <w:sz w:val="24"/>
          <w:szCs w:val="24"/>
        </w:rPr>
      </w:pPr>
      <w:r>
        <w:rPr>
          <w:rFonts w:ascii="Garamond" w:hAnsi="Garamond"/>
          <w:sz w:val="24"/>
        </w:rPr>
        <w:t>Derhalve:</w:t>
      </w:r>
    </w:p>
    <w:p w14:paraId="675622A4" w14:textId="215B8811" w:rsidR="00CB623B" w:rsidRPr="00CA3DB1" w:rsidRDefault="00CB623B" w:rsidP="00CB623B">
      <w:pPr>
        <w:spacing w:after="120" w:line="360" w:lineRule="auto"/>
        <w:jc w:val="both"/>
        <w:rPr>
          <w:rFonts w:ascii="Garamond" w:hAnsi="Garamond" w:cs="Arial"/>
          <w:sz w:val="24"/>
          <w:szCs w:val="24"/>
        </w:rPr>
      </w:pPr>
      <w:r>
        <w:rPr>
          <w:rFonts w:ascii="Garamond" w:hAnsi="Garamond"/>
          <w:sz w:val="24"/>
        </w:rPr>
        <w:t>Krachtens artikel 2, onder a), en artikel 25, lid 1, van wetsbesluit nr. 29/2022 van 7 april, in samenhang met de bepalingen van artikel 1, lid 4, van de Verordening gehecht aan Verordening nr. 211/2022 van 23 augustus, bepaalt de regering, bij de Staatssecretaris van Economische Zaken, het volgende:</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894A16">
      <w:pPr>
        <w:keepNext/>
        <w:spacing w:after="120" w:line="360" w:lineRule="auto"/>
        <w:jc w:val="center"/>
        <w:rPr>
          <w:rFonts w:ascii="Garamond" w:hAnsi="Garamond" w:cs="Arial"/>
          <w:b/>
          <w:bCs/>
          <w:sz w:val="24"/>
          <w:szCs w:val="24"/>
        </w:rPr>
      </w:pPr>
      <w:r>
        <w:rPr>
          <w:rFonts w:ascii="Garamond" w:hAnsi="Garamond"/>
          <w:sz w:val="24"/>
        </w:rPr>
        <w:lastRenderedPageBreak/>
        <w:t>Artikel 1</w:t>
      </w:r>
    </w:p>
    <w:p w14:paraId="1BA6C310" w14:textId="77777777" w:rsidR="00503EE6" w:rsidRPr="003D5AFB" w:rsidRDefault="00503EE6" w:rsidP="00894A16">
      <w:pPr>
        <w:keepNext/>
        <w:spacing w:after="120" w:line="360" w:lineRule="auto"/>
        <w:jc w:val="center"/>
        <w:rPr>
          <w:rFonts w:ascii="Garamond" w:hAnsi="Garamond" w:cs="Arial"/>
          <w:b/>
          <w:bCs/>
          <w:sz w:val="24"/>
          <w:szCs w:val="24"/>
        </w:rPr>
      </w:pPr>
      <w:r>
        <w:rPr>
          <w:rFonts w:ascii="Garamond" w:hAnsi="Garamond"/>
          <w:b/>
          <w:sz w:val="24"/>
        </w:rPr>
        <w:t>Onderwerp</w:t>
      </w:r>
    </w:p>
    <w:p w14:paraId="02F0580C" w14:textId="4858DA5D" w:rsidR="00572E2D" w:rsidRPr="003D5AFB" w:rsidRDefault="00503EE6" w:rsidP="00501FB0">
      <w:pPr>
        <w:spacing w:after="120" w:line="360" w:lineRule="auto"/>
        <w:jc w:val="both"/>
        <w:rPr>
          <w:rFonts w:ascii="Garamond" w:hAnsi="Garamond" w:cs="Arial"/>
          <w:sz w:val="24"/>
          <w:szCs w:val="24"/>
        </w:rPr>
      </w:pPr>
      <w:r>
        <w:rPr>
          <w:rFonts w:ascii="Garamond" w:hAnsi="Garamond"/>
          <w:sz w:val="24"/>
        </w:rPr>
        <w:t>De Verordening betreffende de wettelijke metrologische controle van opaciteitsmeters, gehecht aan deze Verordening waarvan zij een integrerend deel uitmaakt, wordt hierbij goedgekeurd.</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Artikel 2</w:t>
      </w:r>
    </w:p>
    <w:p w14:paraId="209921D8"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Intrekkingsclausule</w:t>
      </w:r>
    </w:p>
    <w:p w14:paraId="2DB40EAF" w14:textId="1318F5B8" w:rsidR="00503EE6" w:rsidRPr="003D5AFB" w:rsidRDefault="00503EE6" w:rsidP="00501FB0">
      <w:pPr>
        <w:spacing w:after="120" w:line="360" w:lineRule="auto"/>
        <w:jc w:val="both"/>
        <w:rPr>
          <w:rFonts w:ascii="Garamond" w:hAnsi="Garamond" w:cs="Arial"/>
          <w:sz w:val="24"/>
          <w:szCs w:val="24"/>
        </w:rPr>
      </w:pPr>
      <w:r>
        <w:rPr>
          <w:rFonts w:ascii="Garamond" w:hAnsi="Garamond"/>
          <w:sz w:val="24"/>
        </w:rPr>
        <w:t>Verordening nr. 797/2009 van 1 december wordt hierbij ingetrokken.</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Artikel 3</w:t>
      </w:r>
    </w:p>
    <w:p w14:paraId="05D48045"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Inwerkingtreding</w:t>
      </w:r>
    </w:p>
    <w:p w14:paraId="06329FD8" w14:textId="0217627E" w:rsidR="000D5C89" w:rsidRPr="000E7B45" w:rsidRDefault="000D5C89" w:rsidP="000D5C89">
      <w:pPr>
        <w:spacing w:after="120" w:line="360" w:lineRule="auto"/>
        <w:jc w:val="both"/>
        <w:rPr>
          <w:rFonts w:ascii="Garamond" w:hAnsi="Garamond" w:cs="Arial"/>
          <w:sz w:val="24"/>
          <w:szCs w:val="24"/>
        </w:rPr>
      </w:pPr>
      <w:r>
        <w:rPr>
          <w:rFonts w:ascii="Garamond" w:hAnsi="Garamond"/>
          <w:sz w:val="24"/>
        </w:rPr>
        <w:t>Deze Verordening treedt in werking op de dag na de bekendmaking ervan.</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rFonts w:ascii="Garamond" w:hAnsi="Garamond" w:cs="Arial"/>
          <w:sz w:val="24"/>
          <w:szCs w:val="24"/>
        </w:rPr>
      </w:pPr>
      <w:r>
        <w:rPr>
          <w:rFonts w:ascii="Garamond" w:hAnsi="Garamond"/>
          <w:sz w:val="24"/>
        </w:rPr>
        <w:t>xx xxxxxx 2023. – De staatssecretaris van Economische Zaken,</w:t>
      </w:r>
      <w:r>
        <w:rPr>
          <w:rFonts w:ascii="Garamond" w:hAnsi="Garamond"/>
          <w:i/>
          <w:sz w:val="24"/>
        </w:rPr>
        <w:t xml:space="preserve"> Pedro Cilínio</w:t>
      </w:r>
      <w:r>
        <w:rPr>
          <w:rFonts w:ascii="Garamond" w:hAnsi="Garamond"/>
          <w:sz w:val="24"/>
        </w:rPr>
        <w:t>.</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rFonts w:ascii="Garamond" w:hAnsi="Garamond" w:cs="Arial"/>
          <w:sz w:val="24"/>
          <w:szCs w:val="24"/>
        </w:rPr>
      </w:pPr>
      <w:r>
        <w:br w:type="page"/>
      </w:r>
    </w:p>
    <w:p w14:paraId="67F457C7" w14:textId="010A1BD5" w:rsidR="00503EE6" w:rsidRPr="003D5AFB" w:rsidRDefault="00503EE6" w:rsidP="00BF69F3">
      <w:pPr>
        <w:spacing w:after="120" w:line="360" w:lineRule="auto"/>
        <w:jc w:val="center"/>
        <w:rPr>
          <w:rFonts w:ascii="Garamond" w:hAnsi="Garamond" w:cs="Arial"/>
          <w:sz w:val="24"/>
          <w:szCs w:val="24"/>
        </w:rPr>
      </w:pPr>
      <w:r>
        <w:rPr>
          <w:rFonts w:ascii="Garamond" w:hAnsi="Garamond"/>
          <w:sz w:val="24"/>
        </w:rPr>
        <w:lastRenderedPageBreak/>
        <w:t>BIJLAGE</w:t>
      </w:r>
    </w:p>
    <w:p w14:paraId="7BBDD6D4" w14:textId="792EC905" w:rsidR="00B55531" w:rsidRPr="003D5AFB" w:rsidRDefault="00B55531" w:rsidP="000E7B45">
      <w:pPr>
        <w:spacing w:after="120" w:line="360" w:lineRule="auto"/>
        <w:jc w:val="center"/>
        <w:rPr>
          <w:rFonts w:ascii="Garamond" w:hAnsi="Garamond" w:cs="Arial"/>
          <w:b/>
          <w:bCs/>
          <w:sz w:val="24"/>
          <w:szCs w:val="24"/>
        </w:rPr>
      </w:pPr>
      <w:r>
        <w:rPr>
          <w:rFonts w:ascii="Garamond" w:hAnsi="Garamond"/>
          <w:b/>
          <w:sz w:val="24"/>
        </w:rPr>
        <w:t>VERORDENING VAN WETTELIJKE METROLOGISCHE CONTROLE VAN OPACITEITSMETERS</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Artikel 1</w:t>
      </w:r>
    </w:p>
    <w:p w14:paraId="67D520C6"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Toepassingsgebied</w:t>
      </w:r>
    </w:p>
    <w:p w14:paraId="4356A378" w14:textId="58CC8C8E" w:rsidR="00B55531" w:rsidRPr="003D5AFB" w:rsidRDefault="00B55531" w:rsidP="000E7B45">
      <w:pPr>
        <w:spacing w:after="120" w:line="360" w:lineRule="auto"/>
        <w:jc w:val="both"/>
        <w:rPr>
          <w:rFonts w:ascii="Garamond" w:hAnsi="Garamond" w:cs="Arial"/>
          <w:sz w:val="24"/>
          <w:szCs w:val="24"/>
        </w:rPr>
      </w:pPr>
      <w:r>
        <w:rPr>
          <w:rFonts w:ascii="Garamond" w:hAnsi="Garamond"/>
          <w:sz w:val="24"/>
        </w:rPr>
        <w:t>Deze Verordening is van toepassing op opaciteitsmeters die zijn bestemd voor het meten van de opaciteit van uitlaatemissies van dieselvoertuigen.</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Artikel 2</w:t>
      </w:r>
    </w:p>
    <w:p w14:paraId="5FB19F42" w14:textId="3A391A93"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 xml:space="preserve">Definitie </w:t>
      </w:r>
    </w:p>
    <w:p w14:paraId="216E5843" w14:textId="78AA9014" w:rsidR="00A57A1C" w:rsidRDefault="00E144AF" w:rsidP="000E7B45">
      <w:pPr>
        <w:spacing w:after="120" w:line="360" w:lineRule="auto"/>
        <w:jc w:val="both"/>
        <w:rPr>
          <w:rFonts w:ascii="Garamond" w:hAnsi="Garamond" w:cs="Arial"/>
          <w:sz w:val="24"/>
          <w:szCs w:val="24"/>
        </w:rPr>
      </w:pPr>
      <w:r>
        <w:rPr>
          <w:rFonts w:ascii="Garamond" w:hAnsi="Garamond"/>
          <w:sz w:val="24"/>
        </w:rPr>
        <w:t>Voor de toepassing van deze Verordening wordt onder opaciteitsmeter verstaan, instrumenten die zijn ontworpen voor het continu meten van de opaciteit van uitlaatgassen die door voertuigen worden uitgestoten.</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rFonts w:ascii="Garamond" w:hAnsi="Garamond" w:cs="Arial"/>
          <w:sz w:val="24"/>
          <w:szCs w:val="24"/>
        </w:rPr>
      </w:pPr>
      <w:bookmarkStart w:id="1" w:name="_Hlk63432496"/>
      <w:r>
        <w:rPr>
          <w:rFonts w:ascii="Garamond" w:hAnsi="Garamond"/>
          <w:sz w:val="24"/>
        </w:rPr>
        <w:t>Artikel 3</w:t>
      </w:r>
    </w:p>
    <w:bookmarkEnd w:id="1"/>
    <w:p w14:paraId="58D3E434" w14:textId="77777777"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In gebruik nemen</w:t>
      </w:r>
    </w:p>
    <w:p w14:paraId="53E67223" w14:textId="39B9CF21" w:rsidR="006D605C" w:rsidRPr="003D5AFB" w:rsidRDefault="006D605C" w:rsidP="006D605C">
      <w:pPr>
        <w:spacing w:after="120" w:line="360" w:lineRule="auto"/>
        <w:jc w:val="both"/>
        <w:rPr>
          <w:rFonts w:ascii="Garamond" w:hAnsi="Garamond" w:cs="Arial"/>
          <w:sz w:val="24"/>
          <w:szCs w:val="24"/>
        </w:rPr>
      </w:pPr>
      <w:r>
        <w:rPr>
          <w:rFonts w:ascii="Garamond" w:hAnsi="Garamond"/>
          <w:sz w:val="24"/>
        </w:rPr>
        <w:t xml:space="preserve">De opacimeters dienen te voldoen aan de gedefinieerde metrologische en technische voorschriften </w:t>
      </w:r>
      <w:bookmarkStart w:id="2" w:name="_Hlk63409046"/>
      <w:bookmarkStart w:id="3" w:name="_Hlk63674255"/>
      <w:r>
        <w:rPr>
          <w:rFonts w:ascii="Garamond" w:hAnsi="Garamond"/>
          <w:sz w:val="24"/>
        </w:rPr>
        <w:t xml:space="preserve">in de </w:t>
      </w:r>
      <w:bookmarkEnd w:id="2"/>
      <w:bookmarkEnd w:id="3"/>
      <w:r>
        <w:rPr>
          <w:rFonts w:ascii="Garamond" w:hAnsi="Garamond"/>
          <w:sz w:val="24"/>
        </w:rPr>
        <w:t>norm ISO 11614.</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rFonts w:ascii="Garamond" w:hAnsi="Garamond" w:cs="Arial"/>
          <w:sz w:val="24"/>
          <w:szCs w:val="24"/>
        </w:rPr>
      </w:pPr>
      <w:r>
        <w:rPr>
          <w:rFonts w:ascii="Garamond" w:hAnsi="Garamond"/>
          <w:sz w:val="24"/>
        </w:rPr>
        <w:t>Artikel 4</w:t>
      </w:r>
    </w:p>
    <w:p w14:paraId="75DB895D" w14:textId="58B82272" w:rsidR="00C75076" w:rsidRPr="003D5AFB" w:rsidRDefault="00597F39" w:rsidP="000E7B45">
      <w:pPr>
        <w:spacing w:after="120" w:line="360" w:lineRule="auto"/>
        <w:jc w:val="center"/>
        <w:rPr>
          <w:rFonts w:ascii="Garamond" w:hAnsi="Garamond" w:cs="Arial"/>
          <w:sz w:val="24"/>
          <w:szCs w:val="24"/>
        </w:rPr>
      </w:pPr>
      <w:r>
        <w:rPr>
          <w:rFonts w:ascii="Garamond" w:hAnsi="Garamond"/>
          <w:b/>
          <w:sz w:val="24"/>
        </w:rPr>
        <w:t>Aanduiding</w:t>
      </w:r>
    </w:p>
    <w:p w14:paraId="7F87933E" w14:textId="542F813F"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(1) De aanduiding van de opaciteitsmeters wordt uitgedrukt door middel van de lichtgevende absorptiecoëfficiënt, vertegenwoordigd door het symbool k, en in de eenheid m</w:t>
      </w:r>
      <w:r>
        <w:rPr>
          <w:rFonts w:ascii="Garamond" w:hAnsi="Garamond"/>
          <w:sz w:val="24"/>
          <w:vertAlign w:val="superscript"/>
        </w:rPr>
        <w:t>-1</w:t>
      </w:r>
      <w:r>
        <w:rPr>
          <w:rFonts w:ascii="Garamond" w:hAnsi="Garamond"/>
          <w:sz w:val="24"/>
        </w:rPr>
        <w:t>.</w:t>
      </w:r>
    </w:p>
    <w:p w14:paraId="0F28A0DF" w14:textId="3D7E2FD2"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(2) De opaciteitswaarden zijn percentages en worden uitgedrukt door het symbool N.</w:t>
      </w:r>
    </w:p>
    <w:p w14:paraId="7B029027" w14:textId="571AF0FE" w:rsidR="001B79B7" w:rsidRPr="003D5AFB" w:rsidRDefault="00197A36" w:rsidP="00197A36">
      <w:pPr>
        <w:spacing w:after="120" w:line="360" w:lineRule="auto"/>
        <w:jc w:val="both"/>
        <w:rPr>
          <w:rFonts w:ascii="Garamond" w:hAnsi="Garamond" w:cs="Arial"/>
          <w:sz w:val="24"/>
          <w:szCs w:val="24"/>
        </w:rPr>
      </w:pPr>
      <w:r>
        <w:rPr>
          <w:rFonts w:ascii="Garamond" w:hAnsi="Garamond"/>
          <w:sz w:val="24"/>
        </w:rPr>
        <w:t>(3) Wanneer de omrekeningsfactor naar behoren wordt uitgedrukt, kunnen andere equivalente eenheden worden aanvaard op basis van het Internationaal Stelsel van Eenheden (SI).</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5024E2">
      <w:pPr>
        <w:spacing w:after="120" w:line="360" w:lineRule="auto"/>
        <w:jc w:val="center"/>
        <w:rPr>
          <w:rFonts w:ascii="Garamond" w:hAnsi="Garamond" w:cs="Arial"/>
          <w:sz w:val="24"/>
          <w:szCs w:val="24"/>
        </w:rPr>
      </w:pPr>
      <w:r>
        <w:rPr>
          <w:rFonts w:ascii="Garamond" w:hAnsi="Garamond"/>
          <w:sz w:val="24"/>
        </w:rPr>
        <w:t>Artikel 5</w:t>
      </w:r>
    </w:p>
    <w:p w14:paraId="7A1BEF1E" w14:textId="77777777" w:rsidR="00503EE6" w:rsidRPr="003D5AFB" w:rsidRDefault="00503EE6" w:rsidP="005024E2">
      <w:pPr>
        <w:spacing w:after="120" w:line="360" w:lineRule="auto"/>
        <w:jc w:val="center"/>
        <w:rPr>
          <w:rFonts w:ascii="Garamond" w:hAnsi="Garamond" w:cs="Arial"/>
          <w:b/>
          <w:bCs/>
          <w:sz w:val="24"/>
          <w:szCs w:val="24"/>
        </w:rPr>
      </w:pPr>
      <w:r>
        <w:rPr>
          <w:rFonts w:ascii="Garamond" w:hAnsi="Garamond"/>
          <w:b/>
          <w:sz w:val="24"/>
        </w:rPr>
        <w:t>Wettelijke metrologische controle</w:t>
      </w:r>
    </w:p>
    <w:p w14:paraId="1A8C137B" w14:textId="3F9C24C1" w:rsidR="00A57A1C" w:rsidRPr="003D5AFB" w:rsidRDefault="00503EE6" w:rsidP="005024E2">
      <w:pPr>
        <w:spacing w:after="120" w:line="360" w:lineRule="auto"/>
        <w:jc w:val="both"/>
        <w:rPr>
          <w:rFonts w:ascii="Garamond" w:hAnsi="Garamond" w:cs="Arial"/>
          <w:sz w:val="24"/>
          <w:szCs w:val="24"/>
        </w:rPr>
      </w:pPr>
      <w:r>
        <w:rPr>
          <w:rFonts w:ascii="Garamond" w:hAnsi="Garamond"/>
          <w:sz w:val="24"/>
        </w:rPr>
        <w:t xml:space="preserve">De wettelijke metrologische controle van de </w:t>
      </w:r>
      <w:bookmarkStart w:id="4" w:name="_Hlk106875133"/>
      <w:r>
        <w:rPr>
          <w:rFonts w:ascii="Garamond" w:hAnsi="Garamond"/>
          <w:sz w:val="24"/>
        </w:rPr>
        <w:t xml:space="preserve">opaciteitsmeters </w:t>
      </w:r>
      <w:bookmarkEnd w:id="4"/>
      <w:r>
        <w:rPr>
          <w:rFonts w:ascii="Garamond" w:hAnsi="Garamond"/>
          <w:sz w:val="24"/>
        </w:rPr>
        <w:t>is de verantwoordelijkheid van het Portugese Kwaliteitsinstituut, I.P. (IPQ, I.P.) en omvat de bewerkingen van modelgoedkeuring, eerste verificatie, periodieke verificatie en buitengewone verificatie.</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rFonts w:ascii="Garamond" w:hAnsi="Garamond" w:cs="Arial"/>
          <w:sz w:val="24"/>
          <w:szCs w:val="24"/>
        </w:rPr>
      </w:pPr>
      <w:r>
        <w:rPr>
          <w:rFonts w:ascii="Garamond" w:hAnsi="Garamond"/>
          <w:sz w:val="24"/>
        </w:rPr>
        <w:t>Artikel 6</w:t>
      </w:r>
    </w:p>
    <w:p w14:paraId="2FD67190" w14:textId="19023FF4" w:rsidR="00503EE6" w:rsidRPr="003D5AFB" w:rsidRDefault="00727801" w:rsidP="00104E49">
      <w:pPr>
        <w:spacing w:after="120" w:line="360" w:lineRule="auto"/>
        <w:jc w:val="center"/>
        <w:rPr>
          <w:rFonts w:ascii="Garamond" w:hAnsi="Garamond" w:cs="Arial"/>
          <w:b/>
          <w:bCs/>
          <w:sz w:val="24"/>
          <w:szCs w:val="24"/>
        </w:rPr>
      </w:pPr>
      <w:r>
        <w:rPr>
          <w:rFonts w:ascii="Garamond" w:hAnsi="Garamond"/>
          <w:b/>
          <w:sz w:val="24"/>
        </w:rPr>
        <w:t>Modelgoedkeuring</w:t>
      </w:r>
    </w:p>
    <w:p w14:paraId="07DF1D43" w14:textId="149EC1C6" w:rsidR="00BF3396" w:rsidRDefault="00BF3396" w:rsidP="00BF3396">
      <w:pPr>
        <w:spacing w:after="120" w:line="360" w:lineRule="auto"/>
        <w:jc w:val="both"/>
        <w:rPr>
          <w:rFonts w:ascii="Garamond" w:hAnsi="Garamond"/>
          <w:sz w:val="24"/>
          <w:szCs w:val="24"/>
        </w:rPr>
      </w:pPr>
      <w:r>
        <w:rPr>
          <w:rFonts w:ascii="Garamond" w:hAnsi="Garamond"/>
          <w:sz w:val="24"/>
        </w:rPr>
        <w:t>(1) De modelgoedkeuring dient te voldoen aan de voorschriften van artikel 7 van wetsbesluit nr. 29/2022 van 7 april en artikel 2 van de Verordening gehecht aan Verordening nr. 211/2022 van 23 augustus.</w:t>
      </w:r>
    </w:p>
    <w:p w14:paraId="157246D2" w14:textId="297C8A92" w:rsidR="00BF3396" w:rsidRDefault="00BF3396" w:rsidP="00BF3396">
      <w:pPr>
        <w:spacing w:after="120" w:line="360" w:lineRule="auto"/>
        <w:jc w:val="both"/>
        <w:rPr>
          <w:rFonts w:ascii="Garamond" w:hAnsi="Garamond"/>
          <w:color w:val="000000"/>
          <w:sz w:val="24"/>
          <w:szCs w:val="24"/>
        </w:rPr>
      </w:pPr>
      <w:r>
        <w:rPr>
          <w:rFonts w:ascii="Garamond" w:hAnsi="Garamond"/>
          <w:sz w:val="24"/>
        </w:rPr>
        <w:t xml:space="preserve">(2) Tijdens de geldigheidsduur van de modelgoedkeuring hebben alle wijzigingen in het goedgekeurde model, door vervanging van onderdelen, door toevoeging van een aanvullend apparaat, wijziging in het geïnstalleerde </w:t>
      </w:r>
      <w:r>
        <w:rPr>
          <w:rFonts w:ascii="Garamond" w:hAnsi="Garamond"/>
          <w:color w:val="000000"/>
          <w:sz w:val="24"/>
        </w:rPr>
        <w:t xml:space="preserve">computerprogramma </w:t>
      </w:r>
      <w:r>
        <w:rPr>
          <w:rFonts w:ascii="Garamond" w:hAnsi="Garamond"/>
          <w:i/>
          <w:color w:val="000000"/>
          <w:sz w:val="24"/>
        </w:rPr>
        <w:t>(software)</w:t>
      </w:r>
      <w:r>
        <w:rPr>
          <w:rFonts w:ascii="Garamond" w:hAnsi="Garamond"/>
          <w:color w:val="000000"/>
          <w:sz w:val="24"/>
        </w:rPr>
        <w:t xml:space="preserve"> of door wijzigingen die de resultaten van metingen of de regelgevende gebruiksvoorwaarden kunnen beïnvloeden, een aanvullende modelgoedkeuring nodig.</w:t>
      </w:r>
    </w:p>
    <w:p w14:paraId="5C139199" w14:textId="0E76FCE2" w:rsidR="00BF3396" w:rsidRDefault="00BF3396" w:rsidP="00BF3396">
      <w:pPr>
        <w:spacing w:after="120" w:line="360" w:lineRule="auto"/>
        <w:jc w:val="both"/>
        <w:rPr>
          <w:rFonts w:ascii="Garamond" w:hAnsi="Garamond"/>
          <w:color w:val="000000"/>
          <w:sz w:val="24"/>
          <w:szCs w:val="24"/>
        </w:rPr>
      </w:pPr>
      <w:r>
        <w:rPr>
          <w:rFonts w:ascii="Garamond" w:hAnsi="Garamond"/>
          <w:color w:val="000000"/>
          <w:sz w:val="24"/>
        </w:rPr>
        <w:t xml:space="preserve">(3) De </w:t>
      </w:r>
      <w:r>
        <w:rPr>
          <w:rFonts w:ascii="Garamond" w:hAnsi="Garamond"/>
          <w:sz w:val="24"/>
        </w:rPr>
        <w:t>computer</w:t>
      </w:r>
      <w:r>
        <w:rPr>
          <w:rFonts w:ascii="Garamond" w:hAnsi="Garamond"/>
          <w:color w:val="000000"/>
          <w:sz w:val="24"/>
        </w:rPr>
        <w:t xml:space="preserve">programma’s die door de </w:t>
      </w:r>
      <w:bookmarkStart w:id="5" w:name="_Hlk126936097"/>
      <w:r>
        <w:rPr>
          <w:rFonts w:ascii="Garamond" w:hAnsi="Garamond"/>
          <w:sz w:val="24"/>
        </w:rPr>
        <w:t>opacimeters</w:t>
      </w:r>
      <w:r>
        <w:rPr>
          <w:rFonts w:ascii="Garamond" w:hAnsi="Garamond"/>
          <w:color w:val="000000"/>
          <w:sz w:val="24"/>
        </w:rPr>
        <w:t xml:space="preserve"> </w:t>
      </w:r>
      <w:bookmarkEnd w:id="5"/>
      <w:r>
        <w:rPr>
          <w:rFonts w:ascii="Garamond" w:hAnsi="Garamond"/>
          <w:color w:val="000000"/>
          <w:sz w:val="24"/>
        </w:rPr>
        <w:t>worden gebruikt, dienen de integriteit en vertrouwelijkheid van de verkregen en gepresenteerde gegevens te waarborgen, en dienen tevens te worden onderworpen aan een unieke en ondubbelzinnige identificatie.</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rFonts w:ascii="Garamond" w:hAnsi="Garamond" w:cs="Arial"/>
          <w:sz w:val="24"/>
          <w:szCs w:val="24"/>
        </w:rPr>
      </w:pPr>
      <w:r>
        <w:rPr>
          <w:rFonts w:ascii="Garamond" w:hAnsi="Garamond"/>
          <w:sz w:val="24"/>
        </w:rPr>
        <w:t>Artikel 7</w:t>
      </w:r>
    </w:p>
    <w:p w14:paraId="34626D98" w14:textId="7B508073" w:rsidR="00F97B29" w:rsidRPr="003D5AFB" w:rsidRDefault="00570BD9" w:rsidP="002C68EA">
      <w:pPr>
        <w:spacing w:after="120" w:line="360" w:lineRule="auto"/>
        <w:jc w:val="center"/>
        <w:rPr>
          <w:rFonts w:ascii="Garamond" w:hAnsi="Garamond" w:cs="Arial"/>
          <w:b/>
          <w:bCs/>
          <w:sz w:val="24"/>
          <w:szCs w:val="24"/>
        </w:rPr>
      </w:pPr>
      <w:r>
        <w:rPr>
          <w:rFonts w:ascii="Garamond" w:hAnsi="Garamond"/>
          <w:b/>
          <w:sz w:val="24"/>
        </w:rPr>
        <w:t>Eerste verificatie</w:t>
      </w:r>
    </w:p>
    <w:p w14:paraId="43E5DF15" w14:textId="05439965" w:rsidR="0087542F" w:rsidRPr="003D5AFB" w:rsidRDefault="0087542F" w:rsidP="002C68EA">
      <w:pPr>
        <w:spacing w:after="120" w:line="360" w:lineRule="auto"/>
        <w:jc w:val="both"/>
        <w:rPr>
          <w:rFonts w:ascii="Garamond" w:hAnsi="Garamond" w:cs="Arial"/>
          <w:sz w:val="24"/>
          <w:szCs w:val="24"/>
        </w:rPr>
      </w:pPr>
      <w:r>
        <w:rPr>
          <w:rFonts w:ascii="Garamond" w:hAnsi="Garamond"/>
          <w:sz w:val="24"/>
        </w:rPr>
        <w:t>(1) De eerste verificatie wordt uitgevoerd voordat het instrument in de handel wordt gebracht, of na de reparatie ervan, en telkens wanneer er sprake is van een inbreuk op het verzegelingssysteem, zonder periodieke verificatie in dat jaar, met dezelfde geldigheidsduur.</w:t>
      </w:r>
    </w:p>
    <w:p w14:paraId="5A2368F9" w14:textId="167DAACC" w:rsidR="003842F2" w:rsidRPr="003D5AFB" w:rsidRDefault="003842F2" w:rsidP="002C68EA">
      <w:pPr>
        <w:spacing w:after="120" w:line="360" w:lineRule="auto"/>
        <w:jc w:val="both"/>
        <w:rPr>
          <w:rFonts w:ascii="Garamond" w:hAnsi="Garamond" w:cs="Arial"/>
          <w:sz w:val="24"/>
          <w:szCs w:val="24"/>
        </w:rPr>
      </w:pPr>
      <w:r>
        <w:rPr>
          <w:rFonts w:ascii="Garamond" w:hAnsi="Garamond"/>
          <w:sz w:val="24"/>
        </w:rPr>
        <w:t>(2) De eerste verificatietests worden uitgevoerd overeenkomstig de metrologische en technische voorschriften van artikel 3 van deze Verordening.</w:t>
      </w:r>
    </w:p>
    <w:p w14:paraId="320CE689" w14:textId="6E0E1DB0" w:rsidR="00A17F17" w:rsidRDefault="003842F2" w:rsidP="00A17F17">
      <w:pPr>
        <w:jc w:val="both"/>
        <w:rPr>
          <w:rFonts w:ascii="Garamond" w:hAnsi="Garamond" w:cs="Arial"/>
          <w:sz w:val="24"/>
          <w:szCs w:val="24"/>
        </w:rPr>
      </w:pPr>
      <w:bookmarkStart w:id="6" w:name="_Hlk63414812"/>
      <w:r>
        <w:rPr>
          <w:rFonts w:ascii="Garamond" w:hAnsi="Garamond"/>
          <w:sz w:val="24"/>
        </w:rPr>
        <w:t>(3)</w:t>
      </w:r>
      <w:bookmarkEnd w:id="6"/>
      <w:r>
        <w:rPr>
          <w:rFonts w:ascii="Garamond" w:hAnsi="Garamond"/>
          <w:sz w:val="24"/>
        </w:rPr>
        <w:t xml:space="preserve"> De maximaal toelaatbare foutwaarden voor de eerste verificatie zijn gelijk aan ± 2 % opaciteit, N.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t>Artikel 8</w:t>
      </w:r>
    </w:p>
    <w:p w14:paraId="177F56D3"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Periodieke verificatie</w:t>
      </w:r>
    </w:p>
    <w:p w14:paraId="62D7103A" w14:textId="3D028C7A" w:rsidR="005E797A" w:rsidRDefault="005E797A" w:rsidP="005E797A">
      <w:pPr>
        <w:spacing w:after="120" w:line="360" w:lineRule="auto"/>
        <w:jc w:val="both"/>
        <w:rPr>
          <w:rFonts w:ascii="Garamond" w:hAnsi="Garamond" w:cs="Arial"/>
          <w:sz w:val="24"/>
          <w:szCs w:val="24"/>
        </w:rPr>
      </w:pPr>
      <w:bookmarkStart w:id="7" w:name="_Hlk107869984"/>
      <w:bookmarkStart w:id="8" w:name="_Hlk107936171"/>
      <w:r>
        <w:rPr>
          <w:rFonts w:ascii="Garamond" w:hAnsi="Garamond"/>
          <w:sz w:val="24"/>
        </w:rPr>
        <w:t>(1) Periodieke verificatie heeft een jaarlijkse frequentie en is geldig gedurende een jaar na de voltooiing ervan.</w:t>
      </w:r>
    </w:p>
    <w:bookmarkEnd w:id="7"/>
    <w:bookmarkEnd w:id="8"/>
    <w:p w14:paraId="583B7830" w14:textId="4D5C067E" w:rsidR="002B5F8C" w:rsidRPr="003D5AFB" w:rsidRDefault="002B5F8C" w:rsidP="002B5F8C">
      <w:pPr>
        <w:spacing w:after="120" w:line="360" w:lineRule="auto"/>
        <w:jc w:val="both"/>
        <w:rPr>
          <w:rFonts w:ascii="Garamond" w:hAnsi="Garamond" w:cs="Arial"/>
          <w:sz w:val="24"/>
          <w:szCs w:val="24"/>
        </w:rPr>
      </w:pPr>
      <w:r>
        <w:rPr>
          <w:rFonts w:ascii="Garamond" w:hAnsi="Garamond"/>
          <w:sz w:val="24"/>
        </w:rPr>
        <w:t>(2) Periodieke verificatietests zijn dezelfde als die welke zijn vastgesteld voor de eerste verificatie.</w:t>
      </w:r>
    </w:p>
    <w:p w14:paraId="6E7C93C7" w14:textId="5E71EEB5" w:rsidR="0073637C" w:rsidRPr="003D5AFB" w:rsidRDefault="002B5F8C">
      <w:pPr>
        <w:spacing w:after="120" w:line="360" w:lineRule="auto"/>
        <w:jc w:val="both"/>
        <w:rPr>
          <w:rFonts w:ascii="Garamond" w:hAnsi="Garamond" w:cs="Arial"/>
          <w:sz w:val="24"/>
          <w:szCs w:val="24"/>
        </w:rPr>
      </w:pPr>
      <w:r>
        <w:rPr>
          <w:rFonts w:ascii="Garamond" w:hAnsi="Garamond"/>
          <w:sz w:val="24"/>
        </w:rPr>
        <w:t>(3) De waarden van de maximaal toelaatbare fouten bij de periodieke verificatie zijn gelijk aan de waarden van de maximaal toelaatbare fouten die voor de eerste verificatie zijn vastgesteld.</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t>Artikel 9</w:t>
      </w:r>
    </w:p>
    <w:p w14:paraId="62B7028E"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Buitengewone verificatie</w:t>
      </w:r>
    </w:p>
    <w:p w14:paraId="21E9EEE9" w14:textId="5CC7507F" w:rsidR="00503EE6" w:rsidRPr="003D5AFB" w:rsidRDefault="00944E05" w:rsidP="002C68EA">
      <w:pPr>
        <w:spacing w:after="120" w:line="360" w:lineRule="auto"/>
        <w:jc w:val="both"/>
        <w:rPr>
          <w:rFonts w:ascii="Garamond" w:hAnsi="Garamond" w:cs="Arial"/>
          <w:sz w:val="24"/>
          <w:szCs w:val="24"/>
        </w:rPr>
      </w:pPr>
      <w:r>
        <w:rPr>
          <w:rFonts w:ascii="Garamond" w:hAnsi="Garamond"/>
          <w:sz w:val="24"/>
        </w:rPr>
        <w:t>(1) Buitengewone verificatie omvat de periodieke verificatietests.</w:t>
      </w:r>
    </w:p>
    <w:p w14:paraId="7447DA07" w14:textId="6567F499" w:rsidR="00503EE6" w:rsidRPr="003D5AFB" w:rsidRDefault="00503EE6">
      <w:pPr>
        <w:spacing w:after="120" w:line="360" w:lineRule="auto"/>
        <w:jc w:val="both"/>
        <w:rPr>
          <w:rFonts w:ascii="Garamond" w:hAnsi="Garamond" w:cs="Arial"/>
          <w:sz w:val="24"/>
          <w:szCs w:val="24"/>
        </w:rPr>
      </w:pPr>
      <w:r>
        <w:rPr>
          <w:rFonts w:ascii="Garamond" w:hAnsi="Garamond"/>
          <w:sz w:val="24"/>
        </w:rPr>
        <w:t>(2) Bij de buitengewone verificatie zijn de waarden van de maximaal toelaatbare fouten gelijk aan de waarden van de maximaal toelaatbare fouten die voor de periodieke controle zijn vastgesteld.</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rFonts w:ascii="Garamond" w:hAnsi="Garamond" w:cs="Arial"/>
          <w:sz w:val="24"/>
          <w:szCs w:val="24"/>
        </w:rPr>
      </w:pPr>
      <w:r>
        <w:rPr>
          <w:rFonts w:ascii="Garamond" w:hAnsi="Garamond"/>
          <w:sz w:val="24"/>
        </w:rPr>
        <w:t>Artikel 10</w:t>
      </w:r>
    </w:p>
    <w:p w14:paraId="39298155" w14:textId="53987728" w:rsidR="000A231E" w:rsidRPr="003D5AFB" w:rsidRDefault="000A231E" w:rsidP="007366C9">
      <w:pPr>
        <w:spacing w:after="120" w:line="360" w:lineRule="auto"/>
        <w:jc w:val="center"/>
        <w:rPr>
          <w:rFonts w:ascii="Garamond" w:hAnsi="Garamond" w:cs="Arial"/>
          <w:b/>
          <w:bCs/>
          <w:sz w:val="24"/>
          <w:szCs w:val="24"/>
        </w:rPr>
      </w:pPr>
      <w:r>
        <w:rPr>
          <w:rFonts w:ascii="Garamond" w:hAnsi="Garamond"/>
          <w:b/>
          <w:sz w:val="24"/>
        </w:rPr>
        <w:t>Opschriften en markeringen</w:t>
      </w:r>
    </w:p>
    <w:p w14:paraId="7A96B35F" w14:textId="514B3BE3" w:rsidR="004A5897" w:rsidRPr="003D5AFB" w:rsidRDefault="004A5897" w:rsidP="00BF69F3">
      <w:pPr>
        <w:spacing w:after="120" w:line="360" w:lineRule="auto"/>
        <w:jc w:val="both"/>
        <w:rPr>
          <w:rFonts w:ascii="Garamond" w:hAnsi="Garamond" w:cs="Arial"/>
          <w:sz w:val="24"/>
          <w:szCs w:val="24"/>
        </w:rPr>
      </w:pPr>
      <w:bookmarkStart w:id="9" w:name="_Hlk82391725"/>
      <w:bookmarkStart w:id="10" w:name="_Hlk82391591"/>
      <w:r>
        <w:rPr>
          <w:rFonts w:ascii="Garamond" w:hAnsi="Garamond"/>
          <w:sz w:val="24"/>
        </w:rPr>
        <w:t>(1) Op opaciteitsmeters dienen zichtbare en leesbare opschriften en markeringen te worden aangebracht in overeenstemming met de metrologische voorschriften van artikel 3 van deze Verordening.</w:t>
      </w:r>
    </w:p>
    <w:p w14:paraId="28620774" w14:textId="7685BCFA" w:rsidR="004A5897" w:rsidRPr="003D5AFB" w:rsidRDefault="004A5897" w:rsidP="00BF69F3">
      <w:pPr>
        <w:spacing w:after="120" w:line="360" w:lineRule="auto"/>
        <w:jc w:val="both"/>
        <w:rPr>
          <w:rFonts w:ascii="Garamond" w:hAnsi="Garamond" w:cs="Arial"/>
          <w:sz w:val="24"/>
          <w:szCs w:val="24"/>
        </w:rPr>
      </w:pPr>
      <w:r>
        <w:rPr>
          <w:rFonts w:ascii="Garamond" w:hAnsi="Garamond"/>
          <w:sz w:val="24"/>
        </w:rPr>
        <w:t>(2)</w:t>
      </w:r>
      <w:bookmarkEnd w:id="9"/>
      <w:r>
        <w:rPr>
          <w:rFonts w:ascii="Garamond" w:hAnsi="Garamond"/>
          <w:sz w:val="24"/>
        </w:rPr>
        <w:t xml:space="preserve"> Opaciteitsmeters dienen ook te zijn voorzien van het modelgoedkeuringssymbool en andere symbolen of referenties die voordelig zijn voor het gebruik ervan.</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894A16">
      <w:pPr>
        <w:keepNext/>
        <w:spacing w:after="120" w:line="360" w:lineRule="auto"/>
        <w:jc w:val="center"/>
        <w:rPr>
          <w:rFonts w:ascii="Garamond" w:hAnsi="Garamond" w:cs="Arial"/>
          <w:sz w:val="24"/>
          <w:szCs w:val="24"/>
        </w:rPr>
      </w:pPr>
      <w:bookmarkStart w:id="11" w:name="_Hlk63417111"/>
      <w:r>
        <w:rPr>
          <w:rFonts w:ascii="Garamond" w:hAnsi="Garamond"/>
          <w:sz w:val="24"/>
        </w:rPr>
        <w:lastRenderedPageBreak/>
        <w:t>Artikel 11</w:t>
      </w:r>
    </w:p>
    <w:p w14:paraId="7F04099F" w14:textId="77777777" w:rsidR="00503EE6" w:rsidRPr="003D5AFB" w:rsidRDefault="00503EE6" w:rsidP="00894A16">
      <w:pPr>
        <w:keepNext/>
        <w:spacing w:after="120" w:line="360" w:lineRule="auto"/>
        <w:jc w:val="center"/>
        <w:rPr>
          <w:rFonts w:ascii="Garamond" w:hAnsi="Garamond" w:cs="Arial"/>
          <w:b/>
          <w:bCs/>
          <w:sz w:val="24"/>
          <w:szCs w:val="24"/>
        </w:rPr>
      </w:pPr>
      <w:r>
        <w:rPr>
          <w:rFonts w:ascii="Garamond" w:hAnsi="Garamond"/>
          <w:b/>
          <w:sz w:val="24"/>
        </w:rPr>
        <w:t>Overgangsbepaling</w:t>
      </w:r>
    </w:p>
    <w:bookmarkEnd w:id="11"/>
    <w:p w14:paraId="441DDFF2" w14:textId="48C08D7A" w:rsidR="00D24055" w:rsidRPr="003D5AFB" w:rsidRDefault="00D24055" w:rsidP="00BF69F3">
      <w:pPr>
        <w:spacing w:after="120" w:line="360" w:lineRule="auto"/>
        <w:jc w:val="both"/>
        <w:rPr>
          <w:rFonts w:ascii="Garamond" w:hAnsi="Garamond" w:cs="Arial"/>
          <w:sz w:val="24"/>
          <w:szCs w:val="24"/>
        </w:rPr>
      </w:pPr>
      <w:r>
        <w:rPr>
          <w:rFonts w:ascii="Garamond" w:hAnsi="Garamond"/>
          <w:sz w:val="24"/>
        </w:rPr>
        <w:t>De instrumenten die al in gebruik zijn, mogen in goede staat in gebruik blijven en als zich fouten voordoen in de metrologische verificatietests, mogen die fouten de maximaal toelaatbare fouten niet overschrijden.</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BF69F3">
      <w:pPr>
        <w:spacing w:after="120" w:line="360" w:lineRule="auto"/>
        <w:jc w:val="center"/>
        <w:rPr>
          <w:rFonts w:ascii="Garamond" w:hAnsi="Garamond" w:cs="Arial"/>
          <w:sz w:val="24"/>
          <w:szCs w:val="24"/>
        </w:rPr>
      </w:pPr>
      <w:r>
        <w:rPr>
          <w:rFonts w:ascii="Garamond" w:hAnsi="Garamond"/>
          <w:sz w:val="24"/>
        </w:rPr>
        <w:t>Artikel 12</w:t>
      </w:r>
    </w:p>
    <w:p w14:paraId="00AFCFB4" w14:textId="2D0E9E49" w:rsidR="0014394D" w:rsidRPr="003D5AFB" w:rsidRDefault="00336A88" w:rsidP="00BF69F3">
      <w:pPr>
        <w:spacing w:after="120" w:line="360" w:lineRule="auto"/>
        <w:jc w:val="center"/>
        <w:rPr>
          <w:rFonts w:ascii="Garamond" w:hAnsi="Garamond" w:cs="Arial"/>
          <w:b/>
          <w:bCs/>
          <w:sz w:val="24"/>
          <w:szCs w:val="24"/>
        </w:rPr>
      </w:pPr>
      <w:r>
        <w:rPr>
          <w:rFonts w:ascii="Garamond" w:hAnsi="Garamond"/>
          <w:b/>
          <w:sz w:val="24"/>
        </w:rPr>
        <w:t xml:space="preserve">Definitieve beschikking </w:t>
      </w:r>
    </w:p>
    <w:p w14:paraId="745D5232" w14:textId="79E15894" w:rsidR="00181C8E" w:rsidRPr="003D5AFB" w:rsidRDefault="00181C8E" w:rsidP="00BF69F3">
      <w:pPr>
        <w:spacing w:after="120" w:line="360" w:lineRule="auto"/>
        <w:jc w:val="both"/>
        <w:rPr>
          <w:rFonts w:ascii="Garamond" w:hAnsi="Garamond" w:cs="Arial"/>
          <w:sz w:val="24"/>
          <w:szCs w:val="24"/>
        </w:rPr>
      </w:pPr>
      <w:r>
        <w:rPr>
          <w:rFonts w:ascii="Garamond" w:hAnsi="Garamond"/>
          <w:sz w:val="24"/>
        </w:rPr>
        <w:t>De bepalingen van de voorgaande artikelen vormen geen beletsel voor het in de handel brengen of verdere gebruik van opaciteitsmeters, vergezeld van conformiteitsbeoordelingscertificaten die zijn afgegeven door krachtens de toepasselijke wetgeving van de Europese Unie erkende instanties, in het kader van de wettelijke metrologische activiteit, op basis van specificaties en procedures die een metrologische kwaliteit waarborgen ten opzichte van de in deze Verordening bedoelde instanties, waarbij de gelijkwaardigheid wordt beoordeeld door IPQ, I.P.</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7FC3"/>
    <w:rsid w:val="00172C89"/>
    <w:rsid w:val="00181C8E"/>
    <w:rsid w:val="00187C7C"/>
    <w:rsid w:val="00191916"/>
    <w:rsid w:val="00197A36"/>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5AFB"/>
    <w:rsid w:val="003E427B"/>
    <w:rsid w:val="003E6488"/>
    <w:rsid w:val="003F0878"/>
    <w:rsid w:val="0043441C"/>
    <w:rsid w:val="00437F7F"/>
    <w:rsid w:val="004629AB"/>
    <w:rsid w:val="0047061A"/>
    <w:rsid w:val="00473279"/>
    <w:rsid w:val="004A5897"/>
    <w:rsid w:val="004D2E9B"/>
    <w:rsid w:val="004D6DB6"/>
    <w:rsid w:val="004E5050"/>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94A16"/>
    <w:rsid w:val="00897C78"/>
    <w:rsid w:val="008A7813"/>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Props1.xml><?xml version="1.0" encoding="utf-8"?>
<ds:datastoreItem xmlns:ds="http://schemas.openxmlformats.org/officeDocument/2006/customXml" ds:itemID="{3D0F512B-875A-4B06-8BC4-34DF7F15D44F}">
  <ds:schemaRefs>
    <ds:schemaRef ds:uri="http://schemas.microsoft.com/sharepoint/v3/contenttype/forms"/>
  </ds:schemaRefs>
</ds:datastoreItem>
</file>

<file path=customXml/itemProps2.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3.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1006</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Liana Brili</cp:lastModifiedBy>
  <cp:revision>4</cp:revision>
  <dcterms:created xsi:type="dcterms:W3CDTF">2023-04-03T15:23:00Z</dcterms:created>
  <dcterms:modified xsi:type="dcterms:W3CDTF">2023-04-19T13:39:00Z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