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A5A5" w14:textId="602FEEEB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GOSPODARSTVO IN POMORSKE ZADEVE</w:t>
      </w:r>
    </w:p>
    <w:p w14:paraId="4BE6550D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Urad državnega sekretarja za gospodarstvo</w:t>
      </w:r>
    </w:p>
    <w:p w14:paraId="5E59B0B5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31DCF98E" w14:textId="51AB327C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Odlok št. XXX/2023</w:t>
      </w:r>
    </w:p>
    <w:p w14:paraId="055E8259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15BB47EF" w14:textId="51345528" w:rsidR="00CD6108" w:rsidRDefault="00CD6108" w:rsidP="00CD6108">
      <w:pPr>
        <w:shd w:val="clear" w:color="auto" w:fill="FFFFFF" w:themeFill="background1"/>
        <w:spacing w:after="225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Povzetek: Odlok o uredbi o pravnem meroslovnem nadzoru merilnikov motnosti.</w:t>
      </w:r>
    </w:p>
    <w:p w14:paraId="4AE88BD5" w14:textId="0D92811E" w:rsidR="00501FB0" w:rsidRDefault="00752C59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Meroslovni nadzor merilnih metod in instrumentov na Portugalskem je v skladu s splošno shemo, odobreno z Uredbo z zakonsko močjo št. 29/2022 z dne 7. aprila 2022, splošnimi predpisi iz Splošne uredbe o meroslovnem nadzoru, ki je bila odobrena z odlokom št. 211/2022 z dne 23. avgusta 2022, in določbami iz posebnih odlokov za vsak merilni instrument.</w:t>
      </w:r>
    </w:p>
    <w:p w14:paraId="0689E6B7" w14:textId="3B86FDFE" w:rsidR="00CB623B" w:rsidRDefault="00CB623B" w:rsidP="00B86C46">
      <w:pPr>
        <w:shd w:val="clear" w:color="auto" w:fill="FFFFFF" w:themeFill="background1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0" w:name="_Hlk66124405"/>
      <w:r>
        <w:rPr>
          <w:rFonts w:ascii="Garamond" w:hAnsi="Garamond"/>
          <w:sz w:val="24"/>
        </w:rPr>
        <w:t>V zvezi z objavo te pravne sheme je treba sprejeti posebne predpise, ki jih je treba spoštovati pri meroslovnem nadzoru merilnikov motnosti, s čimer se razveljavi Odlok št. 797/2009 z dne 1. decembra 2009.</w:t>
      </w:r>
    </w:p>
    <w:p w14:paraId="44CADCEE" w14:textId="5BD42CB3" w:rsidR="00473279" w:rsidRPr="00B86C46" w:rsidRDefault="00473279" w:rsidP="00B86C46">
      <w:pPr>
        <w:shd w:val="clear" w:color="auto" w:fill="FFFFFF" w:themeFill="background1"/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Ta odlok je bil predmet postopka obveščanja na področju tehničnih predpisov in pravil o storitvah informacijske družbe iz Direktive (EU) 2015/1535 Evropskega parlamenta in Sveta z dne 9. septembra 2015.</w:t>
      </w:r>
    </w:p>
    <w:bookmarkEnd w:id="0"/>
    <w:p w14:paraId="03472A57" w14:textId="157F5F06" w:rsidR="00752C59" w:rsidRPr="003D5AFB" w:rsidRDefault="001E2713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Zato:</w:t>
      </w:r>
    </w:p>
    <w:p w14:paraId="675622A4" w14:textId="215B8811" w:rsidR="00CB623B" w:rsidRPr="00CA3DB1" w:rsidRDefault="00CB623B" w:rsidP="00CB623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v skladu s členom 2(a) in členom 25(1) Uredbe z zakonsko močjo št. 29/2022 z dne 7. aprila 2022 v povezavi z določbami člena 1(4) predpisov, priloženih Odloku št. 211/2022 z dne 23. avgusta 2022, vlada prek državnega sekretarja za gospodarstvo določa:</w:t>
      </w:r>
    </w:p>
    <w:p w14:paraId="222F76DE" w14:textId="77777777" w:rsidR="00DB3A4E" w:rsidRPr="003D5AFB" w:rsidRDefault="00DB3A4E" w:rsidP="000E7B45">
      <w:pPr>
        <w:spacing w:after="120" w:line="360" w:lineRule="auto"/>
        <w:jc w:val="center"/>
        <w:rPr>
          <w:rFonts w:ascii="Garamond" w:hAnsi="Garamond"/>
          <w:sz w:val="24"/>
          <w:szCs w:val="24"/>
        </w:rPr>
      </w:pPr>
    </w:p>
    <w:p w14:paraId="1AA088A4" w14:textId="127C5176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sz w:val="24"/>
        </w:rPr>
        <w:t>Člen 1</w:t>
      </w:r>
    </w:p>
    <w:p w14:paraId="1BA6C310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Predmet</w:t>
      </w:r>
    </w:p>
    <w:p w14:paraId="02F0580C" w14:textId="4858DA5D" w:rsidR="00572E2D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Odobrijo se predpisi o zakonskem meroslovnem nadzoru merilnikov motnosti, ki so priloga k temu odloku in njegov sestavni del.</w:t>
      </w:r>
    </w:p>
    <w:p w14:paraId="3265F547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98BBB32" w14:textId="65BF9CD4" w:rsidR="00503EE6" w:rsidRPr="003D5AFB" w:rsidRDefault="00503EE6" w:rsidP="003D7A83">
      <w:pPr>
        <w:keepNext/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Člen 2</w:t>
      </w:r>
    </w:p>
    <w:p w14:paraId="209921D8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Klavzula o razveljavitvi</w:t>
      </w:r>
    </w:p>
    <w:p w14:paraId="2DB40EAF" w14:textId="1318F5B8" w:rsidR="00503EE6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Odlok št. 797/2009 z dne 1. decembra 2009 se razveljavi.</w:t>
      </w:r>
    </w:p>
    <w:p w14:paraId="0F60FE99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6FA41C09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Člen 3</w:t>
      </w:r>
    </w:p>
    <w:p w14:paraId="05D48045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Začetek veljavnosti</w:t>
      </w:r>
    </w:p>
    <w:p w14:paraId="06329FD8" w14:textId="0217627E" w:rsidR="000D5C89" w:rsidRPr="000E7B45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Ta odlok začne veljati dan po objavi.</w:t>
      </w:r>
    </w:p>
    <w:p w14:paraId="5F2AE5CD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BBEDC7E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1D7A48" w14:textId="652BB506" w:rsidR="000D5C89" w:rsidRPr="00BF69F3" w:rsidRDefault="000D5C89" w:rsidP="000D5C89">
      <w:pPr>
        <w:spacing w:after="12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xx xxxxxx 2023. – Državni sekretar za gospodarstvo,</w:t>
      </w:r>
      <w:r>
        <w:rPr>
          <w:rFonts w:ascii="Garamond" w:hAnsi="Garamond"/>
          <w:i/>
          <w:sz w:val="24"/>
        </w:rPr>
        <w:t xml:space="preserve"> Pedro Cilínio</w:t>
      </w:r>
      <w:r>
        <w:rPr>
          <w:rFonts w:ascii="Garamond" w:hAnsi="Garamond"/>
          <w:sz w:val="24"/>
        </w:rPr>
        <w:t>.</w:t>
      </w:r>
    </w:p>
    <w:p w14:paraId="2FABC214" w14:textId="77777777" w:rsidR="00FC7BA5" w:rsidRPr="003D5AFB" w:rsidRDefault="00FC7BA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DA659C" w14:textId="77777777" w:rsidR="00327929" w:rsidRPr="003D5AFB" w:rsidRDefault="00327929">
      <w:pPr>
        <w:rPr>
          <w:rFonts w:ascii="Garamond" w:hAnsi="Garamond" w:cs="Arial"/>
          <w:sz w:val="24"/>
          <w:szCs w:val="24"/>
        </w:rPr>
      </w:pPr>
      <w:r>
        <w:br w:type="page"/>
      </w:r>
    </w:p>
    <w:p w14:paraId="67F457C7" w14:textId="010A1BD5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PRILOGA</w:t>
      </w:r>
    </w:p>
    <w:p w14:paraId="7BBDD6D4" w14:textId="792EC905" w:rsidR="00B55531" w:rsidRPr="003D5AFB" w:rsidRDefault="00B55531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UREDBA O PRAVNEM MEROSLOVNEM NADZORU MERILNIKOV MOTNOSTI</w:t>
      </w:r>
    </w:p>
    <w:p w14:paraId="1024B4FA" w14:textId="77777777" w:rsidR="00FC7BA5" w:rsidRPr="003D5AFB" w:rsidRDefault="00FC7BA5" w:rsidP="00501FB0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0E18C89E" w14:textId="0E3486D1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Člen 1</w:t>
      </w:r>
    </w:p>
    <w:p w14:paraId="67D520C6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Področje uporabe</w:t>
      </w:r>
    </w:p>
    <w:p w14:paraId="4356A378" w14:textId="58CC8C8E" w:rsidR="00B55531" w:rsidRPr="003D5AFB" w:rsidRDefault="00B55531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Ti predpisi se uporabljajo za zakonski meroslovni nadzor merilnikov motnosti, namenjenih merjenju motnosti emisij izpušnih plinov iz vozil na dizelski pogon.</w:t>
      </w:r>
    </w:p>
    <w:p w14:paraId="7531927A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8FD58A9" w14:textId="0558B44D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Člen 2</w:t>
      </w:r>
    </w:p>
    <w:p w14:paraId="5FB19F42" w14:textId="3A391A93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Opredelitev </w:t>
      </w:r>
    </w:p>
    <w:p w14:paraId="216E5843" w14:textId="78AA9014" w:rsidR="00A57A1C" w:rsidRDefault="00E144AF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V teh predpisih merilniki motnosti pomenijo instrumente, zasnovane za stalno merjenje motnosti emisij izpušnih plinov iz vozil.</w:t>
      </w:r>
    </w:p>
    <w:p w14:paraId="0EC431E1" w14:textId="77777777" w:rsidR="00C97828" w:rsidRPr="003D5AFB" w:rsidRDefault="00C97828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C24B2CF" w14:textId="6538648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" w:name="_Hlk63432496"/>
      <w:r>
        <w:rPr>
          <w:rFonts w:ascii="Garamond" w:hAnsi="Garamond"/>
          <w:sz w:val="24"/>
        </w:rPr>
        <w:t>Člen 3</w:t>
      </w:r>
    </w:p>
    <w:bookmarkEnd w:id="1"/>
    <w:p w14:paraId="58D3E434" w14:textId="77777777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Dajanje v uporabo</w:t>
      </w:r>
    </w:p>
    <w:p w14:paraId="53E67223" w14:textId="39B9CF21" w:rsidR="006D605C" w:rsidRPr="003D5AFB" w:rsidRDefault="006D605C" w:rsidP="006D605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Merilniki motnosti morajo izpolnjevati opredeljene meroslovne in tehnične zahteve </w:t>
      </w:r>
      <w:bookmarkStart w:id="2" w:name="_Hlk63409046"/>
      <w:bookmarkStart w:id="3" w:name="_Hlk63674255"/>
      <w:r>
        <w:rPr>
          <w:rFonts w:ascii="Garamond" w:hAnsi="Garamond"/>
          <w:sz w:val="24"/>
        </w:rPr>
        <w:t xml:space="preserve">iz </w:t>
      </w:r>
      <w:bookmarkEnd w:id="2"/>
      <w:bookmarkEnd w:id="3"/>
      <w:r>
        <w:rPr>
          <w:rFonts w:ascii="Garamond" w:hAnsi="Garamond"/>
          <w:sz w:val="24"/>
        </w:rPr>
        <w:t>standarda ISO 11614.</w:t>
      </w:r>
    </w:p>
    <w:p w14:paraId="329073A8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10D83CD" w14:textId="43F70083" w:rsidR="00533F9E" w:rsidRPr="003D5AFB" w:rsidRDefault="00533F9E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Člen 4</w:t>
      </w:r>
    </w:p>
    <w:p w14:paraId="75DB895D" w14:textId="58B82272" w:rsidR="00C75076" w:rsidRPr="003D5AFB" w:rsidRDefault="00597F39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Indikacije</w:t>
      </w:r>
    </w:p>
    <w:p w14:paraId="7F87933E" w14:textId="542F813F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Indikacije merilnikov motnosti se izrazijo s koeficientom absorpcije svetlobe, ki ga predstavlja simbol k, in v enoti m</w:t>
      </w:r>
      <w:r>
        <w:rPr>
          <w:rFonts w:ascii="Garamond" w:hAnsi="Garamond"/>
          <w:sz w:val="24"/>
          <w:vertAlign w:val="superscript"/>
        </w:rPr>
        <w:t>-1</w:t>
      </w:r>
      <w:r>
        <w:rPr>
          <w:rFonts w:ascii="Garamond" w:hAnsi="Garamond"/>
          <w:sz w:val="24"/>
        </w:rPr>
        <w:t>.</w:t>
      </w:r>
    </w:p>
    <w:p w14:paraId="0F28A0DF" w14:textId="3D7E2FD2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Vrednosti motnosti so odstotki in izražene s simbolom N.</w:t>
      </w:r>
    </w:p>
    <w:p w14:paraId="7B029027" w14:textId="571AF0FE" w:rsidR="001B79B7" w:rsidRPr="003D5AFB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(3) Če je pretvorbeni faktor ustrezno izražen, se lahko sprejmejo druge enakovredne enote, ki temeljijo na enotah mednarodnega sistema enot (SI).</w:t>
      </w:r>
    </w:p>
    <w:p w14:paraId="6978003C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88AB2F" w14:textId="3E4CF1F1" w:rsidR="00503EE6" w:rsidRPr="003D5AFB" w:rsidRDefault="00503EE6" w:rsidP="003D7A83">
      <w:pPr>
        <w:keepNext/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Člen 5</w:t>
      </w:r>
    </w:p>
    <w:p w14:paraId="7A1BEF1E" w14:textId="77777777" w:rsidR="00503EE6" w:rsidRPr="003D5AFB" w:rsidRDefault="00503EE6" w:rsidP="005024E2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Zakonski meroslovni nadzor</w:t>
      </w:r>
    </w:p>
    <w:p w14:paraId="1A8C137B" w14:textId="3F9C24C1" w:rsidR="00A57A1C" w:rsidRPr="003D5AFB" w:rsidRDefault="00503EE6" w:rsidP="005024E2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Zakonski meroslovni nadzor </w:t>
      </w:r>
      <w:bookmarkStart w:id="4" w:name="_Hlk106875133"/>
      <w:r>
        <w:rPr>
          <w:rFonts w:ascii="Garamond" w:hAnsi="Garamond"/>
          <w:sz w:val="24"/>
        </w:rPr>
        <w:t xml:space="preserve">merilnikov motnosti </w:t>
      </w:r>
      <w:bookmarkEnd w:id="4"/>
      <w:r>
        <w:rPr>
          <w:rFonts w:ascii="Garamond" w:hAnsi="Garamond"/>
          <w:sz w:val="24"/>
        </w:rPr>
        <w:t>je v pristojnosti portugalskega inštituta za kakovost I. P. (IPQ, I. P.) in zajema postopke odobritve modela, prvega preverjanja, rednega preverjanja in izrednega preverjanja.</w:t>
      </w:r>
    </w:p>
    <w:p w14:paraId="70D6A65A" w14:textId="77777777" w:rsidR="00FC7BA5" w:rsidRPr="003D5AFB" w:rsidRDefault="00FC7BA5" w:rsidP="00093EA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45623B" w14:textId="732021EA" w:rsidR="00503EE6" w:rsidRPr="003D5AFB" w:rsidRDefault="00503EE6" w:rsidP="00104E4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Člen 6</w:t>
      </w:r>
    </w:p>
    <w:p w14:paraId="2FD67190" w14:textId="19023FF4" w:rsidR="00503EE6" w:rsidRPr="003D5AFB" w:rsidRDefault="00727801" w:rsidP="00104E4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Odobritev tipa</w:t>
      </w:r>
    </w:p>
    <w:p w14:paraId="07DF1D43" w14:textId="149EC1C6" w:rsidR="00BF3396" w:rsidRDefault="00BF3396" w:rsidP="00BF3396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(1) Odobritev modela mora biti v skladu z zahtevami iz člena 7 Uredbe z zakonsko močjo št. 29/2022 z dne 7. aprila 2022 in člena 2 predpisov, priloženih Odloku št. 211/2022 z dne 23. avgusta 2022.</w:t>
      </w:r>
    </w:p>
    <w:p w14:paraId="157246D2" w14:textId="297C8A9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</w:rPr>
        <w:t xml:space="preserve">(2) V obdobju veljavnosti odobritve modela se v primeru katere koli ali vseh sprememb odobrenega modela, vključno z zamenjavo sestavnih delov, dodajanjem dodatne naprave, </w:t>
      </w:r>
      <w:r>
        <w:rPr>
          <w:rFonts w:ascii="Garamond" w:hAnsi="Garamond"/>
          <w:color w:val="000000"/>
          <w:sz w:val="24"/>
        </w:rPr>
        <w:t xml:space="preserve">spremembo nameščenega računalniškega programa </w:t>
      </w:r>
      <w:r>
        <w:rPr>
          <w:rFonts w:ascii="Garamond" w:hAnsi="Garamond"/>
          <w:i/>
          <w:color w:val="000000"/>
          <w:sz w:val="24"/>
        </w:rPr>
        <w:t>(programske opreme)</w:t>
      </w:r>
      <w:r>
        <w:rPr>
          <w:rFonts w:ascii="Garamond" w:hAnsi="Garamond"/>
          <w:color w:val="000000"/>
          <w:sz w:val="24"/>
        </w:rPr>
        <w:t xml:space="preserve"> ali spremembami, ki lahko vplivajo na rezultate meritev ali predpisane pogoje uporabe, zahteva dodatna odobritev modela.</w:t>
      </w:r>
    </w:p>
    <w:p w14:paraId="5C139199" w14:textId="0E76FCE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</w:rPr>
        <w:t xml:space="preserve">(3) </w:t>
      </w:r>
      <w:r>
        <w:rPr>
          <w:rFonts w:ascii="Garamond" w:hAnsi="Garamond"/>
          <w:sz w:val="24"/>
        </w:rPr>
        <w:t xml:space="preserve">Računalniški </w:t>
      </w:r>
      <w:r>
        <w:rPr>
          <w:rFonts w:ascii="Garamond" w:hAnsi="Garamond"/>
          <w:color w:val="000000"/>
          <w:sz w:val="24"/>
        </w:rPr>
        <w:t xml:space="preserve">programi, ki jih uporabljajo </w:t>
      </w:r>
      <w:bookmarkStart w:id="5" w:name="_Hlk126936097"/>
      <w:r>
        <w:rPr>
          <w:rFonts w:ascii="Garamond" w:hAnsi="Garamond"/>
          <w:sz w:val="24"/>
        </w:rPr>
        <w:t>merilniki motnosti</w:t>
      </w:r>
      <w:r>
        <w:rPr>
          <w:rFonts w:ascii="Garamond" w:hAnsi="Garamond"/>
          <w:color w:val="000000"/>
          <w:sz w:val="24"/>
        </w:rPr>
        <w:t xml:space="preserve"> </w:t>
      </w:r>
      <w:bookmarkEnd w:id="5"/>
      <w:r>
        <w:rPr>
          <w:rFonts w:ascii="Garamond" w:hAnsi="Garamond"/>
          <w:color w:val="000000"/>
          <w:sz w:val="24"/>
        </w:rPr>
        <w:t>, morajo zagotavljati celovitost in zaupnost pridobljenih in predstavljenih podatkov ter biti predmet edinstvene in nedvoumne identifikacije.</w:t>
      </w:r>
    </w:p>
    <w:p w14:paraId="2FCFDA57" w14:textId="59631F94" w:rsidR="007204A7" w:rsidRPr="003D5AFB" w:rsidRDefault="007204A7" w:rsidP="002C68EA">
      <w:pPr>
        <w:pStyle w:val="ListParagraph"/>
        <w:spacing w:after="120" w:line="360" w:lineRule="auto"/>
        <w:ind w:left="0"/>
        <w:contextualSpacing w:val="0"/>
        <w:jc w:val="both"/>
        <w:rPr>
          <w:rFonts w:ascii="Garamond" w:hAnsi="Garamond" w:cs="Arial"/>
          <w:sz w:val="24"/>
          <w:szCs w:val="24"/>
        </w:rPr>
      </w:pPr>
    </w:p>
    <w:p w14:paraId="7C0C899C" w14:textId="006A9304" w:rsidR="00F60431" w:rsidRPr="003D5AFB" w:rsidRDefault="00F60431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Člen 7</w:t>
      </w:r>
    </w:p>
    <w:p w14:paraId="34626D98" w14:textId="7B508073" w:rsidR="00F97B29" w:rsidRPr="003D5AFB" w:rsidRDefault="00570BD9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Prvo preverjanje</w:t>
      </w:r>
    </w:p>
    <w:p w14:paraId="43E5DF15" w14:textId="05439965" w:rsidR="0087542F" w:rsidRPr="003D5AFB" w:rsidRDefault="0087542F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Prvo preverjanje se opravi pred dajanjem instrumenta na trg ali po njegovem popravilu in kadar pride do posega v sistem zapečatenja, ne da bi bilo treba izvesti redno preverjanje v navedenem letu, z enakim obdobjem veljavnosti.</w:t>
      </w:r>
    </w:p>
    <w:p w14:paraId="5A2368F9" w14:textId="167DAACC" w:rsidR="003842F2" w:rsidRPr="003D5AFB" w:rsidRDefault="003842F2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Preskusi v okviru prvega preverjanja se izvedejo v skladu z meroslovnimi in tehničnimi zahtevami iz člena 3 teh predpisov.</w:t>
      </w:r>
    </w:p>
    <w:p w14:paraId="320CE689" w14:textId="6E0E1DB0" w:rsidR="00A17F17" w:rsidRDefault="003842F2" w:rsidP="00A17F17">
      <w:pPr>
        <w:jc w:val="both"/>
        <w:rPr>
          <w:rFonts w:ascii="Garamond" w:hAnsi="Garamond" w:cs="Arial"/>
          <w:sz w:val="24"/>
          <w:szCs w:val="24"/>
        </w:rPr>
      </w:pPr>
      <w:bookmarkStart w:id="6" w:name="_Hlk63414812"/>
      <w:r>
        <w:rPr>
          <w:rFonts w:ascii="Garamond" w:hAnsi="Garamond"/>
          <w:sz w:val="24"/>
        </w:rPr>
        <w:t>(3)</w:t>
      </w:r>
      <w:bookmarkEnd w:id="6"/>
      <w:r>
        <w:rPr>
          <w:rFonts w:ascii="Garamond" w:hAnsi="Garamond"/>
          <w:sz w:val="24"/>
        </w:rPr>
        <w:t xml:space="preserve"> Vrednosti največjih dovoljenih pogreškov za prvo preverjanje so enake ±2 % motnosti, N.  </w:t>
      </w:r>
    </w:p>
    <w:p w14:paraId="03EBD602" w14:textId="77777777" w:rsidR="00A57A1C" w:rsidRPr="003D5AFB" w:rsidRDefault="00A57A1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6FC48BE" w14:textId="1622D2EA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Člen 8</w:t>
      </w:r>
    </w:p>
    <w:p w14:paraId="177F56D3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Redno preverjanje</w:t>
      </w:r>
    </w:p>
    <w:p w14:paraId="62D7103A" w14:textId="3D028C7A" w:rsidR="005E797A" w:rsidRDefault="005E797A" w:rsidP="005E797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7" w:name="_Hlk107869984"/>
      <w:bookmarkStart w:id="8" w:name="_Hlk107936171"/>
      <w:r>
        <w:rPr>
          <w:rFonts w:ascii="Garamond" w:hAnsi="Garamond"/>
          <w:sz w:val="24"/>
        </w:rPr>
        <w:t>(1) Redno preverjanje se izvaja letno in velja eno leto po zaključku.</w:t>
      </w:r>
    </w:p>
    <w:bookmarkEnd w:id="7"/>
    <w:bookmarkEnd w:id="8"/>
    <w:p w14:paraId="583B7830" w14:textId="4D5C067E" w:rsidR="002B5F8C" w:rsidRPr="003D5AFB" w:rsidRDefault="002B5F8C" w:rsidP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Preskusi v okviru rednega preverjanja so enaki tistim, ki so bili določeni za prvo preverjanje.</w:t>
      </w:r>
    </w:p>
    <w:p w14:paraId="6E7C93C7" w14:textId="5E71EEB5" w:rsidR="0073637C" w:rsidRPr="003D5AFB" w:rsidRDefault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(3) Vrednosti največjih dopustnih pogreškov pri rednem preverjanju so enaki vrednostim največjih dopustnih pogreškov, ugotovljenih med prvim preverjanjem.</w:t>
      </w:r>
    </w:p>
    <w:p w14:paraId="3A15EA1F" w14:textId="77777777" w:rsidR="00A57A1C" w:rsidRPr="003D5AFB" w:rsidRDefault="00A57A1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484A3A9A" w14:textId="243DF155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Člen 9</w:t>
      </w:r>
    </w:p>
    <w:p w14:paraId="62B7028E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Izredno preverjanje</w:t>
      </w:r>
    </w:p>
    <w:p w14:paraId="21E9EEE9" w14:textId="5CC7507F" w:rsidR="00503EE6" w:rsidRPr="003D5AFB" w:rsidRDefault="00944E05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Izredno preverjanje vključuje preskuse rednega preverjanja.</w:t>
      </w:r>
    </w:p>
    <w:p w14:paraId="7447DA07" w14:textId="6567F499" w:rsidR="00503EE6" w:rsidRPr="003D5AFB" w:rsidRDefault="00503EE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Pri izrednem preverjanju so vrednosti največjih dopustnih pogreškov enake vrednostim največjih dopustnih pogreškov, določenih za redno preverjanje.</w:t>
      </w:r>
    </w:p>
    <w:p w14:paraId="0BE4205E" w14:textId="77777777" w:rsidR="0073637C" w:rsidRPr="003D5AFB" w:rsidRDefault="0073637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C617DDA" w14:textId="72BADA5C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Člen 10</w:t>
      </w:r>
    </w:p>
    <w:p w14:paraId="39298155" w14:textId="53987728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Napisi in oznake</w:t>
      </w:r>
    </w:p>
    <w:p w14:paraId="7A96B35F" w14:textId="514B3BE3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9" w:name="_Hlk82391725"/>
      <w:bookmarkStart w:id="10" w:name="_Hlk82391591"/>
      <w:r>
        <w:rPr>
          <w:rFonts w:ascii="Garamond" w:hAnsi="Garamond"/>
          <w:sz w:val="24"/>
        </w:rPr>
        <w:t>(1) Merilniki motnosti imajo v vidni in čitljivi obliki napise in oznake, ki so v skladu z meroslovnimi zahtevami, določenimi v členu 3 teh predpisov.</w:t>
      </w:r>
    </w:p>
    <w:p w14:paraId="28620774" w14:textId="7685BCFA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</w:t>
      </w:r>
      <w:bookmarkEnd w:id="9"/>
      <w:r>
        <w:rPr>
          <w:rFonts w:ascii="Garamond" w:hAnsi="Garamond"/>
          <w:sz w:val="24"/>
        </w:rPr>
        <w:t xml:space="preserve"> Merilniki motnosti so opremljeni tudi s simbolom odobritve modela in drugimi simboli ali sklici, povezanimi z njihovo uporabo.</w:t>
      </w:r>
    </w:p>
    <w:bookmarkEnd w:id="10"/>
    <w:p w14:paraId="7ACAD7AE" w14:textId="6B227A09" w:rsidR="00FC57F5" w:rsidRPr="003D5AFB" w:rsidRDefault="00FC57F5" w:rsidP="00BF69F3">
      <w:pPr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3842174" w14:textId="79CCA1CF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1" w:name="_Hlk63417111"/>
      <w:r>
        <w:rPr>
          <w:rFonts w:ascii="Garamond" w:hAnsi="Garamond"/>
          <w:sz w:val="24"/>
        </w:rPr>
        <w:t>Člen 11</w:t>
      </w:r>
    </w:p>
    <w:p w14:paraId="7F04099F" w14:textId="77777777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Prehodna določba</w:t>
      </w:r>
    </w:p>
    <w:bookmarkEnd w:id="11"/>
    <w:p w14:paraId="441DDFF2" w14:textId="48C08D7A" w:rsidR="00D24055" w:rsidRPr="003D5AFB" w:rsidRDefault="00D2405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Instrumenti, ki so v uporabi, lahko ostanejo v uporabi, dokler so v dobrem stanju in če se pri meroslovnih preskusih za preverjanje pojavijo samo napake, ki ne presegajo največjih dopustnih pogreškov.</w:t>
      </w:r>
    </w:p>
    <w:p w14:paraId="12DE1FBE" w14:textId="77777777" w:rsidR="00BF69F3" w:rsidRPr="003D5AFB" w:rsidRDefault="00BF69F3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1F4559B5" w14:textId="100C162E" w:rsidR="00336A88" w:rsidRPr="003D5AFB" w:rsidRDefault="00336A88" w:rsidP="003D7A83">
      <w:pPr>
        <w:keepNext/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Člen 12</w:t>
      </w:r>
    </w:p>
    <w:p w14:paraId="00AFCFB4" w14:textId="2D0E9E49" w:rsidR="0014394D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Končna utemeljitev </w:t>
      </w:r>
    </w:p>
    <w:p w14:paraId="745D5232" w14:textId="79E15894" w:rsidR="00181C8E" w:rsidRPr="003D5AFB" w:rsidRDefault="00181C8E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Določbe prejšnjih členov ne preprečujejo trženja ali nadaljnje uporabe merilnikov motnosti, ki so jim priložena potrdila o ugotavljanju skladnosti, ki jih izdajo organi, priznani po veljavni zakonodaji Evropske unije, v okviru zakonskega meroslovnega nadzora na podlagi specifikacij in postopkov, ki zagotavljajo meroslovno kakovost, kot je predvidena v teh predpisih, pri čemer enakovrednost ocenjuje IPQ, I.P.</w:t>
      </w:r>
    </w:p>
    <w:sectPr w:rsidR="00181C8E" w:rsidRPr="003D5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B060" w14:textId="77777777" w:rsidR="008A7813" w:rsidRDefault="008A7813" w:rsidP="00344923">
      <w:pPr>
        <w:spacing w:after="0" w:line="240" w:lineRule="auto"/>
      </w:pPr>
      <w:r>
        <w:separator/>
      </w:r>
    </w:p>
  </w:endnote>
  <w:endnote w:type="continuationSeparator" w:id="0">
    <w:p w14:paraId="1FBDF394" w14:textId="77777777" w:rsidR="008A7813" w:rsidRDefault="008A7813" w:rsidP="0034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418B" w14:textId="77777777" w:rsidR="008A7813" w:rsidRDefault="008A7813" w:rsidP="00344923">
      <w:pPr>
        <w:spacing w:after="0" w:line="240" w:lineRule="auto"/>
      </w:pPr>
      <w:r>
        <w:separator/>
      </w:r>
    </w:p>
  </w:footnote>
  <w:footnote w:type="continuationSeparator" w:id="0">
    <w:p w14:paraId="5E8F1505" w14:textId="77777777" w:rsidR="008A7813" w:rsidRDefault="008A7813" w:rsidP="0034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F1B24"/>
    <w:multiLevelType w:val="hybridMultilevel"/>
    <w:tmpl w:val="EC52C694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19704B"/>
    <w:multiLevelType w:val="hybridMultilevel"/>
    <w:tmpl w:val="600AF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2209D"/>
    <w:multiLevelType w:val="hybridMultilevel"/>
    <w:tmpl w:val="DC60F1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30405"/>
    <w:multiLevelType w:val="hybridMultilevel"/>
    <w:tmpl w:val="CAEC66F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18954">
    <w:abstractNumId w:val="0"/>
  </w:num>
  <w:num w:numId="2" w16cid:durableId="2119715062">
    <w:abstractNumId w:val="2"/>
  </w:num>
  <w:num w:numId="3" w16cid:durableId="1937520543">
    <w:abstractNumId w:val="3"/>
  </w:num>
  <w:num w:numId="4" w16cid:durableId="277494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1D"/>
    <w:rsid w:val="00000BDE"/>
    <w:rsid w:val="0001190B"/>
    <w:rsid w:val="00013DAB"/>
    <w:rsid w:val="00032B15"/>
    <w:rsid w:val="00073EEC"/>
    <w:rsid w:val="0008627E"/>
    <w:rsid w:val="00093EAB"/>
    <w:rsid w:val="000A115E"/>
    <w:rsid w:val="000A231E"/>
    <w:rsid w:val="000D5C89"/>
    <w:rsid w:val="000E0638"/>
    <w:rsid w:val="000E597C"/>
    <w:rsid w:val="000E7B45"/>
    <w:rsid w:val="00104E49"/>
    <w:rsid w:val="00120B97"/>
    <w:rsid w:val="001248EE"/>
    <w:rsid w:val="0014090F"/>
    <w:rsid w:val="0014394D"/>
    <w:rsid w:val="00150079"/>
    <w:rsid w:val="00157B9F"/>
    <w:rsid w:val="00167FC3"/>
    <w:rsid w:val="00172C89"/>
    <w:rsid w:val="00181C8E"/>
    <w:rsid w:val="00187C7C"/>
    <w:rsid w:val="00191916"/>
    <w:rsid w:val="00197A36"/>
    <w:rsid w:val="001B79B7"/>
    <w:rsid w:val="001D20BF"/>
    <w:rsid w:val="001D7B24"/>
    <w:rsid w:val="001E2713"/>
    <w:rsid w:val="002008BE"/>
    <w:rsid w:val="00206996"/>
    <w:rsid w:val="002129E8"/>
    <w:rsid w:val="00213547"/>
    <w:rsid w:val="002207D6"/>
    <w:rsid w:val="002208C1"/>
    <w:rsid w:val="00221DEC"/>
    <w:rsid w:val="002261C4"/>
    <w:rsid w:val="00233473"/>
    <w:rsid w:val="00257208"/>
    <w:rsid w:val="002635B9"/>
    <w:rsid w:val="00272BB1"/>
    <w:rsid w:val="00291C0B"/>
    <w:rsid w:val="002A55E9"/>
    <w:rsid w:val="002B4130"/>
    <w:rsid w:val="002B5F8C"/>
    <w:rsid w:val="002C3FD8"/>
    <w:rsid w:val="002C51F6"/>
    <w:rsid w:val="002C68EA"/>
    <w:rsid w:val="002F11E4"/>
    <w:rsid w:val="003027CF"/>
    <w:rsid w:val="0031578E"/>
    <w:rsid w:val="0032043E"/>
    <w:rsid w:val="00327929"/>
    <w:rsid w:val="00336A88"/>
    <w:rsid w:val="00344923"/>
    <w:rsid w:val="00355D97"/>
    <w:rsid w:val="003602EC"/>
    <w:rsid w:val="00383640"/>
    <w:rsid w:val="003842F2"/>
    <w:rsid w:val="00392067"/>
    <w:rsid w:val="00394E9F"/>
    <w:rsid w:val="003D5AFB"/>
    <w:rsid w:val="003D7A83"/>
    <w:rsid w:val="003E427B"/>
    <w:rsid w:val="003E6488"/>
    <w:rsid w:val="003F0878"/>
    <w:rsid w:val="0043441C"/>
    <w:rsid w:val="00437F7F"/>
    <w:rsid w:val="004629AB"/>
    <w:rsid w:val="0047061A"/>
    <w:rsid w:val="00473279"/>
    <w:rsid w:val="004A5897"/>
    <w:rsid w:val="004D2E9B"/>
    <w:rsid w:val="004D6DB6"/>
    <w:rsid w:val="004E5050"/>
    <w:rsid w:val="004F3F34"/>
    <w:rsid w:val="004F6C7F"/>
    <w:rsid w:val="004F7424"/>
    <w:rsid w:val="00501FB0"/>
    <w:rsid w:val="005024E2"/>
    <w:rsid w:val="00503EE6"/>
    <w:rsid w:val="0050525F"/>
    <w:rsid w:val="00525093"/>
    <w:rsid w:val="00533F9E"/>
    <w:rsid w:val="00550D71"/>
    <w:rsid w:val="00552B46"/>
    <w:rsid w:val="00556EE6"/>
    <w:rsid w:val="00561A2D"/>
    <w:rsid w:val="0056458D"/>
    <w:rsid w:val="00570BD9"/>
    <w:rsid w:val="00572E2D"/>
    <w:rsid w:val="00584418"/>
    <w:rsid w:val="00584675"/>
    <w:rsid w:val="0058561B"/>
    <w:rsid w:val="005935A3"/>
    <w:rsid w:val="00593E38"/>
    <w:rsid w:val="0059504B"/>
    <w:rsid w:val="00597F39"/>
    <w:rsid w:val="005B3B89"/>
    <w:rsid w:val="005D6074"/>
    <w:rsid w:val="005E017D"/>
    <w:rsid w:val="005E797A"/>
    <w:rsid w:val="005F1A28"/>
    <w:rsid w:val="006116CE"/>
    <w:rsid w:val="00617915"/>
    <w:rsid w:val="00624047"/>
    <w:rsid w:val="006246CC"/>
    <w:rsid w:val="00624B50"/>
    <w:rsid w:val="00643D18"/>
    <w:rsid w:val="00644DCE"/>
    <w:rsid w:val="00645700"/>
    <w:rsid w:val="0064792A"/>
    <w:rsid w:val="00664687"/>
    <w:rsid w:val="00664E24"/>
    <w:rsid w:val="00676C90"/>
    <w:rsid w:val="00690D4A"/>
    <w:rsid w:val="00694D01"/>
    <w:rsid w:val="00695633"/>
    <w:rsid w:val="006D605C"/>
    <w:rsid w:val="006E2787"/>
    <w:rsid w:val="00713821"/>
    <w:rsid w:val="007204A7"/>
    <w:rsid w:val="00727801"/>
    <w:rsid w:val="00727A58"/>
    <w:rsid w:val="0073637C"/>
    <w:rsid w:val="007366C9"/>
    <w:rsid w:val="00752C59"/>
    <w:rsid w:val="00754149"/>
    <w:rsid w:val="007600B5"/>
    <w:rsid w:val="007728C9"/>
    <w:rsid w:val="0078610F"/>
    <w:rsid w:val="007A512B"/>
    <w:rsid w:val="007C0464"/>
    <w:rsid w:val="007C6DD2"/>
    <w:rsid w:val="007E5832"/>
    <w:rsid w:val="007E5C60"/>
    <w:rsid w:val="008100B7"/>
    <w:rsid w:val="00814D47"/>
    <w:rsid w:val="0081718A"/>
    <w:rsid w:val="008218A2"/>
    <w:rsid w:val="00826185"/>
    <w:rsid w:val="00826762"/>
    <w:rsid w:val="008317C9"/>
    <w:rsid w:val="00834A86"/>
    <w:rsid w:val="0084050B"/>
    <w:rsid w:val="00841515"/>
    <w:rsid w:val="008552E9"/>
    <w:rsid w:val="00862940"/>
    <w:rsid w:val="0087542F"/>
    <w:rsid w:val="00897C78"/>
    <w:rsid w:val="008A7813"/>
    <w:rsid w:val="008D118F"/>
    <w:rsid w:val="008D4310"/>
    <w:rsid w:val="008E740B"/>
    <w:rsid w:val="008E76A4"/>
    <w:rsid w:val="00921B47"/>
    <w:rsid w:val="00921FB3"/>
    <w:rsid w:val="00933FA6"/>
    <w:rsid w:val="0093713E"/>
    <w:rsid w:val="00944E05"/>
    <w:rsid w:val="0095516A"/>
    <w:rsid w:val="00956E26"/>
    <w:rsid w:val="00960D0F"/>
    <w:rsid w:val="0096781D"/>
    <w:rsid w:val="00974B6D"/>
    <w:rsid w:val="00991E2E"/>
    <w:rsid w:val="009A06F9"/>
    <w:rsid w:val="009B2CD5"/>
    <w:rsid w:val="009B3585"/>
    <w:rsid w:val="009C3031"/>
    <w:rsid w:val="009E4A31"/>
    <w:rsid w:val="00A06037"/>
    <w:rsid w:val="00A11D7E"/>
    <w:rsid w:val="00A137F1"/>
    <w:rsid w:val="00A17F17"/>
    <w:rsid w:val="00A264B0"/>
    <w:rsid w:val="00A271F7"/>
    <w:rsid w:val="00A31292"/>
    <w:rsid w:val="00A36AE0"/>
    <w:rsid w:val="00A55ED6"/>
    <w:rsid w:val="00A57A1C"/>
    <w:rsid w:val="00A653AF"/>
    <w:rsid w:val="00A67E46"/>
    <w:rsid w:val="00A77330"/>
    <w:rsid w:val="00A86454"/>
    <w:rsid w:val="00A87329"/>
    <w:rsid w:val="00A94101"/>
    <w:rsid w:val="00AD15A5"/>
    <w:rsid w:val="00AE1812"/>
    <w:rsid w:val="00AE5805"/>
    <w:rsid w:val="00AF2A91"/>
    <w:rsid w:val="00B42A12"/>
    <w:rsid w:val="00B438A7"/>
    <w:rsid w:val="00B45C40"/>
    <w:rsid w:val="00B55531"/>
    <w:rsid w:val="00B85EFB"/>
    <w:rsid w:val="00B86C46"/>
    <w:rsid w:val="00BB424A"/>
    <w:rsid w:val="00BC41EE"/>
    <w:rsid w:val="00BE0BC3"/>
    <w:rsid w:val="00BF3396"/>
    <w:rsid w:val="00BF69F3"/>
    <w:rsid w:val="00BF701A"/>
    <w:rsid w:val="00BF7C4A"/>
    <w:rsid w:val="00C01D7B"/>
    <w:rsid w:val="00C110C9"/>
    <w:rsid w:val="00C116B9"/>
    <w:rsid w:val="00C32240"/>
    <w:rsid w:val="00C342DF"/>
    <w:rsid w:val="00C37AFB"/>
    <w:rsid w:val="00C40024"/>
    <w:rsid w:val="00C62C54"/>
    <w:rsid w:val="00C65889"/>
    <w:rsid w:val="00C75076"/>
    <w:rsid w:val="00C87710"/>
    <w:rsid w:val="00C96A98"/>
    <w:rsid w:val="00C97828"/>
    <w:rsid w:val="00CA3DB1"/>
    <w:rsid w:val="00CB4532"/>
    <w:rsid w:val="00CB479D"/>
    <w:rsid w:val="00CB623B"/>
    <w:rsid w:val="00CC6BCA"/>
    <w:rsid w:val="00CD6108"/>
    <w:rsid w:val="00CD6DFD"/>
    <w:rsid w:val="00CE4CC9"/>
    <w:rsid w:val="00CF41B0"/>
    <w:rsid w:val="00CF57EB"/>
    <w:rsid w:val="00D10CD1"/>
    <w:rsid w:val="00D24055"/>
    <w:rsid w:val="00D25AFC"/>
    <w:rsid w:val="00D32597"/>
    <w:rsid w:val="00D3733D"/>
    <w:rsid w:val="00D44515"/>
    <w:rsid w:val="00D4592B"/>
    <w:rsid w:val="00D61662"/>
    <w:rsid w:val="00D62496"/>
    <w:rsid w:val="00D629C3"/>
    <w:rsid w:val="00D749D5"/>
    <w:rsid w:val="00D7502D"/>
    <w:rsid w:val="00D82562"/>
    <w:rsid w:val="00DA1DE2"/>
    <w:rsid w:val="00DA4432"/>
    <w:rsid w:val="00DB0ED2"/>
    <w:rsid w:val="00DB3A4E"/>
    <w:rsid w:val="00DB5B5F"/>
    <w:rsid w:val="00DB710D"/>
    <w:rsid w:val="00DC17F8"/>
    <w:rsid w:val="00DD5624"/>
    <w:rsid w:val="00DE6AEC"/>
    <w:rsid w:val="00DE7ABD"/>
    <w:rsid w:val="00E0501D"/>
    <w:rsid w:val="00E0652D"/>
    <w:rsid w:val="00E144AF"/>
    <w:rsid w:val="00E257B2"/>
    <w:rsid w:val="00E37926"/>
    <w:rsid w:val="00E51F0B"/>
    <w:rsid w:val="00E60B65"/>
    <w:rsid w:val="00E73797"/>
    <w:rsid w:val="00E77C9F"/>
    <w:rsid w:val="00E9606F"/>
    <w:rsid w:val="00EA7E19"/>
    <w:rsid w:val="00EB3C2E"/>
    <w:rsid w:val="00EC1B91"/>
    <w:rsid w:val="00EF7D48"/>
    <w:rsid w:val="00F02FF6"/>
    <w:rsid w:val="00F071F7"/>
    <w:rsid w:val="00F220CE"/>
    <w:rsid w:val="00F31C27"/>
    <w:rsid w:val="00F359E3"/>
    <w:rsid w:val="00F376A5"/>
    <w:rsid w:val="00F5051C"/>
    <w:rsid w:val="00F60431"/>
    <w:rsid w:val="00F721C3"/>
    <w:rsid w:val="00F97B29"/>
    <w:rsid w:val="00FC57F5"/>
    <w:rsid w:val="00FC7BA5"/>
    <w:rsid w:val="00FD3C18"/>
    <w:rsid w:val="00FD5141"/>
    <w:rsid w:val="00FE18CA"/>
    <w:rsid w:val="00FE2F77"/>
    <w:rsid w:val="00FE5AA9"/>
    <w:rsid w:val="00FF0061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A2D4C"/>
  <w15:chartTrackingRefBased/>
  <w15:docId w15:val="{209064F1-3177-49F8-BAE4-0A4F8AC6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23"/>
  </w:style>
  <w:style w:type="paragraph" w:styleId="Footer">
    <w:name w:val="footer"/>
    <w:basedOn w:val="Normal"/>
    <w:link w:val="Foot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23"/>
  </w:style>
  <w:style w:type="paragraph" w:styleId="ListParagraph">
    <w:name w:val="List Paragraph"/>
    <w:basedOn w:val="Normal"/>
    <w:uiPriority w:val="34"/>
    <w:qFormat/>
    <w:rsid w:val="00355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3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F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9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17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068D4DB638D4D83CFEF74C12CB670" ma:contentTypeVersion="4" ma:contentTypeDescription="Create a new document." ma:contentTypeScope="" ma:versionID="29f85d568f2483290e2dfc2f2d882393">
  <xsd:schema xmlns:xsd="http://www.w3.org/2001/XMLSchema" xmlns:xs="http://www.w3.org/2001/XMLSchema" xmlns:p="http://schemas.microsoft.com/office/2006/metadata/properties" xmlns:ns2="716b16a7-de2f-47cc-9eaa-991bdb9199e1" targetNamespace="http://schemas.microsoft.com/office/2006/metadata/properties" ma:root="true" ma:fieldsID="8e9f0b2ccab4fb9ae99fd794bcfb2110" ns2:_="">
    <xsd:import namespace="716b16a7-de2f-47cc-9eaa-991bdb9199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6a7-de2f-47cc-9eaa-991bdb9199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6b16a7-de2f-47cc-9eaa-991bdb9199e1">IPQDOC-224-38341</_dlc_DocId>
    <_dlc_DocIdUrl xmlns="716b16a7-de2f-47cc-9eaa-991bdb9199e1">
      <Url>http://ipq1sapp01:9999/DMET/_layouts/DocIdRedir.aspx?ID=IPQDOC-224-38341</Url>
      <Description>IPQDOC-224-38341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6EA6A-55BD-4596-87D2-826D3BE138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014FB8-1673-4D40-ADD5-EBE585697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b16a7-de2f-47cc-9eaa-991bdb919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54567-45D1-4A3C-88CC-5B9388739A6A}">
  <ds:schemaRefs>
    <ds:schemaRef ds:uri="http://schemas.microsoft.com/office/2006/metadata/properties"/>
    <ds:schemaRef ds:uri="http://schemas.microsoft.com/office/infopath/2007/PartnerControls"/>
    <ds:schemaRef ds:uri="716b16a7-de2f-47cc-9eaa-991bdb9199e1"/>
  </ds:schemaRefs>
</ds:datastoreItem>
</file>

<file path=customXml/itemProps4.xml><?xml version="1.0" encoding="utf-8"?>
<ds:datastoreItem xmlns:ds="http://schemas.openxmlformats.org/officeDocument/2006/customXml" ds:itemID="{3D0F512B-875A-4B06-8BC4-34DF7F15D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MCFerreira@ipq.pt</dc:creator>
  <cp:keywords/>
  <dc:description/>
  <cp:lastModifiedBy>Liana Brili</cp:lastModifiedBy>
  <cp:revision>4</cp:revision>
  <dcterms:created xsi:type="dcterms:W3CDTF">2023-04-03T15:23:00Z</dcterms:created>
  <dcterms:modified xsi:type="dcterms:W3CDTF">2023-04-19T13:40:00Z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4600ee9b-d3c1-4d72-9efa-04b38c3a2de3</vt:lpwstr>
  </property>
  <property fmtid="{D5CDD505-2E9C-101B-9397-08002B2CF9AE}" pid="3" name="ContentTypeId">
    <vt:lpwstr>0x01010090B068D4DB638D4D83CFEF74C12CB670</vt:lpwstr>
  </property>
</Properties>
</file>