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9DC9D" w14:textId="282E5D0C" w:rsidR="007A1FAA" w:rsidRPr="00153F89" w:rsidRDefault="007A1FAA" w:rsidP="00C54A0E">
      <w:pPr>
        <w:jc w:val="center"/>
        <w:rPr>
          <w:b/>
        </w:rPr>
      </w:pPr>
      <w:r>
        <w:rPr>
          <w:b/>
        </w:rPr>
        <w:t xml:space="preserve">Legea […] din 2023</w:t>
      </w:r>
    </w:p>
    <w:p w14:paraId="4A900911" w14:textId="77777777" w:rsidR="007A1FAA" w:rsidRPr="00153F89" w:rsidRDefault="007A1FAA" w:rsidP="00C54A0E">
      <w:pPr>
        <w:jc w:val="center"/>
        <w:rPr>
          <w:b/>
        </w:rPr>
      </w:pPr>
    </w:p>
    <w:p w14:paraId="3305083E" w14:textId="28A6A7D7" w:rsidR="007A1FAA" w:rsidRDefault="007A1FAA" w:rsidP="00C54A0E">
      <w:pPr>
        <w:jc w:val="center"/>
        <w:rPr>
          <w:b/>
        </w:rPr>
      </w:pPr>
      <w:r>
        <w:rPr>
          <w:b/>
        </w:rPr>
        <w:t xml:space="preserve">de modificare a Legii XLII din 1999 </w:t>
      </w:r>
      <w:r>
        <w:rPr>
          <w:b/>
          <w:rStyle w:val="Emphasis"/>
          <w:i w:val="0"/>
        </w:rPr>
        <w:t xml:space="preserve">privind protecția nefumătorilor,</w:t>
      </w:r>
      <w:r>
        <w:rPr>
          <w:b/>
        </w:rPr>
        <w:t xml:space="preserve"> și a anumitor norme privind consumul și distribuția produselor din tutun și a Legii CXXXIV din 2012 privind suprimarea fumatului juvenil și vânzarea cu amănuntul a produselor din tutun</w:t>
      </w:r>
    </w:p>
    <w:p w14:paraId="60E721BE" w14:textId="1C81A8B7" w:rsidR="007A1FAA" w:rsidRDefault="007A1FAA" w:rsidP="00C54A0E">
      <w:pPr>
        <w:jc w:val="center"/>
        <w:rPr>
          <w:b/>
        </w:rPr>
      </w:pPr>
    </w:p>
    <w:p w14:paraId="35324481" w14:textId="647AE267" w:rsidR="00396C85" w:rsidRDefault="00396C85" w:rsidP="00C54A0E">
      <w:pPr>
        <w:jc w:val="center"/>
        <w:rPr>
          <w:b/>
        </w:rPr>
      </w:pPr>
    </w:p>
    <w:p w14:paraId="594C6594" w14:textId="62E1C8A3" w:rsidR="00396C85" w:rsidRDefault="00396C85" w:rsidP="00C54A0E">
      <w:pPr>
        <w:jc w:val="center"/>
        <w:rPr>
          <w:b/>
        </w:rPr>
      </w:pPr>
    </w:p>
    <w:p w14:paraId="0ADB084F" w14:textId="3753FB14" w:rsidR="00396C85" w:rsidRPr="00153F89" w:rsidRDefault="00396C85" w:rsidP="00913058">
      <w:pPr>
        <w:jc w:val="center"/>
        <w:rPr>
          <w:b/>
          <w:kern w:val="2"/>
          <w:rFonts w:eastAsia="Noto Sans CJK SC"/>
        </w:rPr>
      </w:pPr>
      <w:r>
        <w:rPr>
          <w:b/>
        </w:rPr>
        <w:t xml:space="preserve">1.</w:t>
      </w:r>
      <w:r>
        <w:rPr>
          <w:b/>
        </w:rPr>
        <w:t xml:space="preserve"> </w:t>
      </w:r>
      <w:r>
        <w:rPr>
          <w:b/>
        </w:rPr>
        <w:t xml:space="preserve">Modificarea Legii XLII din 1999 </w:t>
      </w:r>
      <w:r>
        <w:rPr>
          <w:b/>
          <w:rStyle w:val="Emphasis"/>
          <w:i w:val="0"/>
        </w:rPr>
        <w:t xml:space="preserve">privind protecția nefumătorilor</w:t>
      </w:r>
      <w:r>
        <w:rPr>
          <w:b/>
        </w:rPr>
        <w:t xml:space="preserve"> și anumite reglementări privind consumul și distribuția produselor din tutun</w:t>
      </w:r>
    </w:p>
    <w:p w14:paraId="77B62EF7" w14:textId="77777777" w:rsidR="007A1FAA" w:rsidRDefault="007A1FAA" w:rsidP="00C54A0E">
      <w:pPr>
        <w:jc w:val="center"/>
        <w:rPr>
          <w:rFonts w:eastAsia="Noto Sans CJK SC"/>
          <w:b/>
          <w:kern w:val="2"/>
          <w:lang w:eastAsia="zh-CN" w:bidi="hi-IN"/>
        </w:rPr>
      </w:pPr>
    </w:p>
    <w:p w14:paraId="37AE6481" w14:textId="77777777" w:rsidR="007A1FAA" w:rsidRDefault="007A1FAA" w:rsidP="00C54A0E">
      <w:pPr>
        <w:jc w:val="center"/>
        <w:rPr>
          <w:rFonts w:eastAsia="Noto Sans CJK SC"/>
          <w:b/>
          <w:kern w:val="2"/>
          <w:lang w:eastAsia="zh-CN" w:bidi="hi-IN"/>
        </w:rPr>
      </w:pPr>
    </w:p>
    <w:p w14:paraId="7602B97D" w14:textId="1DC3F8E9" w:rsidR="00C54A0E" w:rsidRPr="00C54A0E" w:rsidRDefault="00835734" w:rsidP="00C54A0E">
      <w:pPr>
        <w:jc w:val="center"/>
        <w:rPr>
          <w:b/>
          <w:kern w:val="2"/>
          <w:rFonts w:eastAsia="Noto Sans CJK SC"/>
        </w:rPr>
      </w:pPr>
      <w:r>
        <w:rPr>
          <w:b/>
        </w:rPr>
        <w:t xml:space="preserve">Articolul 1</w:t>
      </w:r>
    </w:p>
    <w:p w14:paraId="59207714" w14:textId="77777777" w:rsidR="00C54A0E" w:rsidRDefault="00C54A0E" w:rsidP="00DB125E">
      <w:pPr>
        <w:jc w:val="both"/>
        <w:rPr>
          <w:rFonts w:eastAsia="Noto Sans CJK SC"/>
          <w:kern w:val="2"/>
          <w:lang w:eastAsia="zh-CN" w:bidi="hi-IN"/>
        </w:rPr>
      </w:pPr>
    </w:p>
    <w:p w14:paraId="1103FA69" w14:textId="1C54AF0F" w:rsidR="00DB125E" w:rsidRDefault="004049B2" w:rsidP="00DB125E">
      <w:pPr>
        <w:jc w:val="both"/>
      </w:pPr>
      <w:r>
        <w:t xml:space="preserve">(1)</w:t>
      </w:r>
      <w:r>
        <w:t xml:space="preserve"> </w:t>
      </w:r>
      <w:r>
        <w:t xml:space="preserve">În Legea XLII din 1999 privind protecția nefumătorilor și anumite reglementări privind consumul și distribuția produselor din tutun (denumită în continuare „Legea privind nefumătorii”), articolul 1 literele </w:t>
      </w:r>
      <w:r>
        <w:rPr>
          <w:i/>
        </w:rPr>
        <w:t xml:space="preserve">(s)</w:t>
      </w:r>
      <w:r>
        <w:t xml:space="preserve"> și </w:t>
      </w:r>
      <w:r>
        <w:rPr>
          <w:i/>
        </w:rPr>
        <w:t xml:space="preserve">(t)</w:t>
      </w:r>
      <w:r>
        <w:t xml:space="preserve"> se înlocuiesc cu următorul text:</w:t>
      </w:r>
      <w:r>
        <w:t xml:space="preserve"> </w:t>
      </w:r>
    </w:p>
    <w:p w14:paraId="60AA4A3C" w14:textId="77777777" w:rsidR="00DB125E" w:rsidRDefault="00DB125E" w:rsidP="00DB125E">
      <w:pPr>
        <w:jc w:val="both"/>
      </w:pPr>
    </w:p>
    <w:p w14:paraId="7FEED38F" w14:textId="77777777" w:rsidR="00DB125E" w:rsidRPr="00E5303B" w:rsidRDefault="00DB125E" w:rsidP="00DB125E">
      <w:pPr>
        <w:suppressAutoHyphens/>
        <w:jc w:val="both"/>
        <w:rPr>
          <w:i/>
          <w:iCs/>
          <w:kern w:val="2"/>
          <w:rFonts w:eastAsia="Noto Sans CJK SC"/>
        </w:rPr>
      </w:pPr>
      <w:r>
        <w:rPr>
          <w:i/>
        </w:rPr>
        <w:t xml:space="preserve">(În sensul prezentei legi)</w:t>
      </w:r>
    </w:p>
    <w:p w14:paraId="08370725" w14:textId="77777777" w:rsidR="00DB125E" w:rsidRPr="005A143B" w:rsidRDefault="00DB125E" w:rsidP="00DB125E">
      <w:pPr>
        <w:jc w:val="both"/>
      </w:pPr>
    </w:p>
    <w:p w14:paraId="4219C306" w14:textId="77777777" w:rsidR="00DB125E" w:rsidRPr="00164E2E" w:rsidRDefault="00DB125E" w:rsidP="00DB125E">
      <w:pPr>
        <w:jc w:val="both"/>
      </w:pPr>
      <w:r>
        <w:t xml:space="preserve">„</w:t>
      </w:r>
      <w:r>
        <w:rPr>
          <w:i/>
        </w:rPr>
        <w:t xml:space="preserve">(s)</w:t>
      </w:r>
      <w:r>
        <w:t xml:space="preserve"> </w:t>
      </w:r>
      <w:r>
        <w:rPr>
          <w:i/>
        </w:rPr>
        <w:t xml:space="preserve">dispozitiv electronic de imitare a fumatului</w:t>
      </w:r>
      <w:r>
        <w:t xml:space="preserve"> înseamnă un produs electronic de unică folosință sau un produs care trebuie reumplut cu un flacon de reumplere fără nicotină sau operat cu un cartuș fără nicotină (pentru utilizare multiplă), care poate fi utilizat pentru a consuma vapori fără nicotină prin intermediul unui muștiuc;</w:t>
      </w:r>
      <w:r>
        <w:t xml:space="preserve"> </w:t>
      </w:r>
      <w:r>
        <w:t xml:space="preserve">sau orice componentă a produsului respectiv, inclusiv rezervoarele, sau orice dispozitiv fără cartuș sau rezervor;</w:t>
      </w:r>
    </w:p>
    <w:p w14:paraId="715B99F0" w14:textId="77777777" w:rsidR="00DB125E" w:rsidRPr="00164E2E" w:rsidRDefault="00DB125E" w:rsidP="00DB125E">
      <w:pPr>
        <w:jc w:val="both"/>
      </w:pPr>
      <w:r>
        <w:rPr>
          <w:i/>
        </w:rPr>
        <w:t xml:space="preserve">(t)</w:t>
      </w:r>
      <w:r>
        <w:t xml:space="preserve"> </w:t>
      </w:r>
      <w:r>
        <w:rPr>
          <w:i/>
        </w:rPr>
        <w:t xml:space="preserve">flacon de reumplere fără nicotină</w:t>
      </w:r>
      <w:r>
        <w:t xml:space="preserve"> este un rezervor care conține lichid fără nicotină pentru reumplerea unui dispozitiv electronic de imitare a fumatului;”</w:t>
      </w:r>
    </w:p>
    <w:p w14:paraId="622D8771" w14:textId="77777777" w:rsidR="00DB125E" w:rsidRDefault="00DB125E" w:rsidP="00DB125E">
      <w:pPr>
        <w:jc w:val="both"/>
      </w:pPr>
    </w:p>
    <w:p w14:paraId="07B1F29D" w14:textId="747BAB26" w:rsidR="00DB125E" w:rsidRDefault="00DB125E" w:rsidP="00DB125E">
      <w:pPr>
        <w:jc w:val="both"/>
      </w:pPr>
      <w:r>
        <w:t xml:space="preserve">(2)</w:t>
      </w:r>
      <w:r>
        <w:t xml:space="preserve"> </w:t>
      </w:r>
      <w:r>
        <w:t xml:space="preserve">În Legea privind nefumătorii, la articolul 1 se adaugă următoarea literă </w:t>
      </w:r>
      <w:r>
        <w:rPr>
          <w:i/>
        </w:rPr>
        <w:t xml:space="preserve">(z)</w:t>
      </w:r>
      <w:r>
        <w:t xml:space="preserve">:</w:t>
      </w:r>
      <w:r>
        <w:t xml:space="preserve"> </w:t>
      </w:r>
    </w:p>
    <w:p w14:paraId="7979A114" w14:textId="77777777" w:rsidR="00AF7221" w:rsidRDefault="00AF7221" w:rsidP="00DB125E">
      <w:pPr>
        <w:suppressAutoHyphens/>
        <w:jc w:val="both"/>
        <w:rPr>
          <w:rFonts w:eastAsia="Noto Sans CJK SC"/>
          <w:i/>
          <w:iCs/>
          <w:kern w:val="2"/>
          <w:lang w:eastAsia="zh-CN" w:bidi="hi-IN"/>
        </w:rPr>
      </w:pPr>
    </w:p>
    <w:p w14:paraId="50B52E7A" w14:textId="77777777" w:rsidR="00DB125E" w:rsidRPr="00E5303B" w:rsidRDefault="00DB125E" w:rsidP="00DB125E">
      <w:pPr>
        <w:suppressAutoHyphens/>
        <w:jc w:val="both"/>
        <w:rPr>
          <w:i/>
          <w:iCs/>
          <w:kern w:val="2"/>
          <w:rFonts w:eastAsia="Noto Sans CJK SC"/>
        </w:rPr>
      </w:pPr>
      <w:r>
        <w:rPr>
          <w:i/>
        </w:rPr>
        <w:t xml:space="preserve">(În sensul prezentei legi)</w:t>
      </w:r>
    </w:p>
    <w:p w14:paraId="51C4D610" w14:textId="77777777" w:rsidR="00DB125E" w:rsidRPr="00164E2E" w:rsidRDefault="00DB125E" w:rsidP="00DB125E">
      <w:pPr>
        <w:jc w:val="both"/>
      </w:pPr>
    </w:p>
    <w:p w14:paraId="0754F231" w14:textId="77777777" w:rsidR="00DB125E" w:rsidRPr="00164E2E" w:rsidRDefault="00DB125E" w:rsidP="00DB125E">
      <w:pPr>
        <w:jc w:val="both"/>
      </w:pPr>
      <w:r>
        <w:t xml:space="preserve">„</w:t>
      </w:r>
      <w:r>
        <w:rPr>
          <w:i/>
        </w:rPr>
        <w:t xml:space="preserve">(z) cartuș fără nicotină</w:t>
      </w:r>
      <w:r>
        <w:t xml:space="preserve"> înseamnă un tip de flacon de reumplere fără nicotină care este necesar pentru utilizarea anumitor dispozitive electronice de imitare a fumatului și care este un rezervor care conține lichid fără nicotină sub orice formă, de regulă pentru o singură utilizare (nu poate fi reumplut).”</w:t>
      </w:r>
    </w:p>
    <w:p w14:paraId="60DBF520" w14:textId="77777777" w:rsidR="00DB125E" w:rsidRPr="00E5303B" w:rsidRDefault="00DB125E" w:rsidP="00DB125E">
      <w:pPr>
        <w:pStyle w:val="BodyText"/>
        <w:spacing w:after="0"/>
      </w:pPr>
    </w:p>
    <w:p w14:paraId="7157B6B9" w14:textId="77F5D7FF" w:rsidR="00DB125E" w:rsidRPr="00E5303B" w:rsidRDefault="002D6BBD" w:rsidP="00DB125E">
      <w:pPr>
        <w:suppressAutoHyphens/>
        <w:jc w:val="center"/>
        <w:rPr>
          <w:b/>
          <w:bCs/>
          <w:kern w:val="2"/>
          <w:rFonts w:eastAsia="Noto Sans CJK SC"/>
        </w:rPr>
      </w:pPr>
      <w:r>
        <w:rPr>
          <w:b/>
        </w:rPr>
        <w:t xml:space="preserve">Articolul 2</w:t>
      </w:r>
      <w:r>
        <w:rPr>
          <w:b/>
        </w:rPr>
        <w:t xml:space="preserve"> </w:t>
      </w:r>
    </w:p>
    <w:p w14:paraId="4D09B8D7" w14:textId="77777777" w:rsidR="00DB125E" w:rsidRPr="00E5303B" w:rsidRDefault="00DB125E" w:rsidP="00DB125E">
      <w:pPr>
        <w:suppressAutoHyphens/>
        <w:jc w:val="center"/>
        <w:rPr>
          <w:rFonts w:eastAsia="Noto Sans CJK SC"/>
          <w:b/>
          <w:bCs/>
          <w:kern w:val="2"/>
          <w:lang w:eastAsia="zh-CN" w:bidi="hi-IN"/>
        </w:rPr>
      </w:pPr>
    </w:p>
    <w:p w14:paraId="0904DDA9" w14:textId="77777777" w:rsidR="00DB125E" w:rsidRPr="00E5303B" w:rsidRDefault="00DB125E" w:rsidP="00DB125E">
      <w:pPr>
        <w:suppressAutoHyphens/>
        <w:jc w:val="both"/>
        <w:rPr>
          <w:kern w:val="2"/>
          <w:rFonts w:eastAsia="Noto Sans CJK SC"/>
        </w:rPr>
      </w:pPr>
      <w:r>
        <w:t xml:space="preserve">(1)</w:t>
      </w:r>
      <w:r>
        <w:t xml:space="preserve"> </w:t>
      </w:r>
      <w:r>
        <w:t xml:space="preserve">Articolul 7/D alineatul (1) din Legea privind nefumătorii se înlocuiește cu următorul text:</w:t>
      </w:r>
    </w:p>
    <w:p w14:paraId="1AB84FCC" w14:textId="77777777" w:rsidR="00DB125E" w:rsidRPr="00E5303B" w:rsidRDefault="00DB125E" w:rsidP="00DB125E">
      <w:pPr>
        <w:suppressAutoHyphens/>
        <w:jc w:val="both"/>
        <w:rPr>
          <w:rFonts w:eastAsia="Noto Sans CJK SC"/>
          <w:kern w:val="2"/>
          <w:lang w:eastAsia="zh-CN" w:bidi="hi-IN"/>
        </w:rPr>
      </w:pPr>
    </w:p>
    <w:p w14:paraId="2BDA0FD0" w14:textId="77777777" w:rsidR="00DB125E" w:rsidRPr="00E5303B" w:rsidRDefault="00DB125E" w:rsidP="00DB125E">
      <w:pPr>
        <w:suppressAutoHyphens/>
        <w:jc w:val="both"/>
        <w:rPr>
          <w:kern w:val="2"/>
          <w:rFonts w:eastAsia="Noto Sans CJK SC"/>
        </w:rPr>
      </w:pPr>
      <w:r>
        <w:t xml:space="preserve">„(1)</w:t>
      </w:r>
      <w:r>
        <w:t xml:space="preserve"> </w:t>
      </w:r>
      <w:r>
        <w:t xml:space="preserve">Producătorii și importatorii de țigarete electronice, flacoane și cartușe de reumplere, dispozitive electronice de imitare a fumatului, flacoane de reumplere fără nicotină, cartușe fără nicotină și substituenți pentru fumat care conțin nicotină, precum și distribuitorii acestora din Ungaria notifică autorității de sănătate publică orice produs pe care intenționează să îl introducă pe piață cu șase luni înainte de introducerea lor pe piață.”</w:t>
      </w:r>
    </w:p>
    <w:p w14:paraId="679D7C12" w14:textId="77777777" w:rsidR="00DB125E" w:rsidRPr="00E5303B" w:rsidRDefault="00DB125E" w:rsidP="00DB125E">
      <w:pPr>
        <w:suppressAutoHyphens/>
        <w:jc w:val="both"/>
        <w:rPr>
          <w:rFonts w:eastAsia="Noto Sans CJK SC"/>
          <w:kern w:val="2"/>
          <w:lang w:eastAsia="zh-CN" w:bidi="hi-IN"/>
        </w:rPr>
      </w:pPr>
    </w:p>
    <w:p w14:paraId="1FADB2C1" w14:textId="77777777" w:rsidR="00DB125E" w:rsidRPr="00E5303B" w:rsidRDefault="00DB125E" w:rsidP="00DB125E">
      <w:pPr>
        <w:suppressAutoHyphens/>
        <w:jc w:val="both"/>
        <w:rPr>
          <w:kern w:val="2"/>
          <w:rFonts w:eastAsia="Noto Sans CJK SC"/>
        </w:rPr>
      </w:pPr>
      <w:r>
        <w:t xml:space="preserve">(2)</w:t>
      </w:r>
      <w:r>
        <w:t xml:space="preserve"> </w:t>
      </w:r>
      <w:r>
        <w:t xml:space="preserve">Articolul 7/D alineatul (3) din Legea privind nefumătorii se înlocuiește cu următorul text:</w:t>
      </w:r>
    </w:p>
    <w:p w14:paraId="65AF6563" w14:textId="77777777" w:rsidR="00DB125E" w:rsidRPr="00E5303B" w:rsidRDefault="00DB125E" w:rsidP="00DB125E">
      <w:pPr>
        <w:suppressAutoHyphens/>
        <w:jc w:val="both"/>
        <w:rPr>
          <w:rFonts w:eastAsia="Noto Sans CJK SC"/>
          <w:kern w:val="2"/>
          <w:lang w:eastAsia="zh-CN" w:bidi="hi-IN"/>
        </w:rPr>
      </w:pPr>
    </w:p>
    <w:p w14:paraId="14D1678D" w14:textId="77777777" w:rsidR="00DB125E" w:rsidRPr="00E5303B" w:rsidRDefault="00DB125E" w:rsidP="00DB125E">
      <w:pPr>
        <w:suppressAutoHyphens/>
        <w:jc w:val="both"/>
        <w:rPr>
          <w:kern w:val="2"/>
          <w:rFonts w:eastAsia="Noto Sans CJK SC"/>
        </w:rPr>
      </w:pPr>
      <w:r>
        <w:t xml:space="preserve">„(3)</w:t>
      </w:r>
      <w:r>
        <w:t xml:space="preserve"> </w:t>
      </w:r>
      <w:r>
        <w:t xml:space="preserve">În conformitate cu alineatul (1), autorității de sănătate publică i se raportează următoarele:</w:t>
      </w:r>
    </w:p>
    <w:p w14:paraId="407E44DE" w14:textId="77777777" w:rsidR="00DB125E" w:rsidRPr="00E5303B" w:rsidRDefault="00DB125E" w:rsidP="00DB125E">
      <w:pPr>
        <w:suppressAutoHyphens/>
        <w:jc w:val="both"/>
        <w:rPr>
          <w:kern w:val="2"/>
          <w:rFonts w:eastAsia="Noto Sans CJK SC"/>
        </w:rPr>
      </w:pPr>
      <w:r>
        <w:t xml:space="preserve">(a) orice modificare a țigaretelor electronice, a flacoanelor și a cartușelor de reumplere, a dispozitivelor electronice de imitare a fumatului, a flacoanelor de reumplere fără nicotină, a cartușelor fără nicotină și a substituenților pentru fumat care conțin nicotină, care afectează caracteristicile tehnice ale produsului, astfel cum sunt definite în prezenta lege sau într-un decret guvernamental emis în temeiul autorizării prezentei legi și</w:t>
      </w:r>
    </w:p>
    <w:p w14:paraId="4724DEC7" w14:textId="77777777" w:rsidR="00DB125E" w:rsidRPr="00E5303B" w:rsidRDefault="00DB125E" w:rsidP="00DB125E">
      <w:pPr>
        <w:suppressAutoHyphens/>
        <w:jc w:val="both"/>
        <w:rPr>
          <w:kern w:val="2"/>
          <w:rFonts w:eastAsia="Noto Sans CJK SC"/>
        </w:rPr>
      </w:pPr>
      <w:r>
        <w:t xml:space="preserve">(b) modificări ale identității și disponibilității producătorului, importatorului sau distribuitorului maghiar de țigarete electronice, flacoane și cartușe de reumplere, dispozitive electronice de imitare a fumatului, flacoane de reumplere fără nicotină, cartușe fără nicotină și substituenți pentru fumat care conțin nicotină.”</w:t>
      </w:r>
    </w:p>
    <w:p w14:paraId="6C8341DF" w14:textId="77777777" w:rsidR="00DB125E" w:rsidRPr="00E5303B" w:rsidRDefault="00DB125E" w:rsidP="00DB125E">
      <w:pPr>
        <w:suppressAutoHyphens/>
        <w:jc w:val="both"/>
        <w:rPr>
          <w:rFonts w:eastAsia="Noto Sans CJK SC"/>
          <w:kern w:val="2"/>
          <w:lang w:eastAsia="zh-CN" w:bidi="hi-IN"/>
        </w:rPr>
      </w:pPr>
    </w:p>
    <w:p w14:paraId="0282F017" w14:textId="77777777" w:rsidR="00DB125E" w:rsidRPr="00E5303B" w:rsidRDefault="00DB125E" w:rsidP="00DB125E">
      <w:pPr>
        <w:suppressAutoHyphens/>
        <w:jc w:val="both"/>
        <w:rPr>
          <w:kern w:val="2"/>
          <w:rFonts w:eastAsia="Noto Sans CJK SC"/>
        </w:rPr>
      </w:pPr>
      <w:r>
        <w:t xml:space="preserve">(3)</w:t>
      </w:r>
      <w:r>
        <w:t xml:space="preserve"> </w:t>
      </w:r>
      <w:r>
        <w:t xml:space="preserve">În Legea privind nefumătorii se adaugă următoarele alineate (5) și (6) la articolul 7/D:</w:t>
      </w:r>
    </w:p>
    <w:p w14:paraId="7441615E" w14:textId="77777777" w:rsidR="00DB125E" w:rsidRPr="00E5303B" w:rsidRDefault="00DB125E" w:rsidP="00DB125E">
      <w:pPr>
        <w:suppressAutoHyphens/>
        <w:jc w:val="both"/>
        <w:rPr>
          <w:rFonts w:eastAsia="Noto Sans CJK SC"/>
          <w:kern w:val="2"/>
          <w:lang w:eastAsia="zh-CN" w:bidi="hi-IN"/>
        </w:rPr>
      </w:pPr>
    </w:p>
    <w:p w14:paraId="0B414A24" w14:textId="77777777" w:rsidR="00DB125E" w:rsidRPr="00E5303B" w:rsidRDefault="00DB125E" w:rsidP="00DB125E">
      <w:pPr>
        <w:suppressAutoHyphens/>
        <w:jc w:val="both"/>
        <w:rPr>
          <w:kern w:val="2"/>
          <w:rFonts w:eastAsia="Noto Sans CJK SC"/>
        </w:rPr>
      </w:pPr>
      <w:r>
        <w:t xml:space="preserve">„(5)</w:t>
      </w:r>
      <w:r>
        <w:t xml:space="preserve"> </w:t>
      </w:r>
      <w:r>
        <w:t xml:space="preserve">Autoritatea de sănătate publică ține evidența produselor notificate în temeiul alineatului (1), care conțin:</w:t>
      </w:r>
    </w:p>
    <w:p w14:paraId="62C5FC5A" w14:textId="77777777" w:rsidR="00DB125E" w:rsidRPr="00E5303B" w:rsidRDefault="00DB125E" w:rsidP="00DB125E">
      <w:pPr>
        <w:suppressAutoHyphens/>
        <w:ind w:left="426" w:hanging="426"/>
        <w:jc w:val="both"/>
        <w:rPr>
          <w:kern w:val="2"/>
          <w:rFonts w:eastAsia="Noto Sans CJK SC"/>
        </w:rPr>
      </w:pPr>
      <w:r>
        <w:t xml:space="preserve">(a) numele autorului notificării, al producătorului sau al importatorului, sau al distribuitorului din Ungaria;</w:t>
      </w:r>
    </w:p>
    <w:p w14:paraId="606EE827" w14:textId="77777777" w:rsidR="00DB125E" w:rsidRPr="00E5303B" w:rsidRDefault="00DB125E" w:rsidP="00DB125E">
      <w:pPr>
        <w:suppressAutoHyphens/>
        <w:ind w:left="426" w:hanging="426"/>
        <w:jc w:val="both"/>
        <w:rPr>
          <w:kern w:val="2"/>
          <w:rFonts w:eastAsia="Noto Sans CJK SC"/>
        </w:rPr>
      </w:pPr>
      <w:r>
        <w:t xml:space="preserve">(b) numărul de identificare al țigaretelor electronice;</w:t>
      </w:r>
    </w:p>
    <w:p w14:paraId="19CD09BF" w14:textId="77777777" w:rsidR="00DB125E" w:rsidRPr="00E5303B" w:rsidRDefault="00DB125E" w:rsidP="00DB125E">
      <w:pPr>
        <w:suppressAutoHyphens/>
        <w:ind w:left="426" w:hanging="426"/>
        <w:jc w:val="both"/>
        <w:rPr>
          <w:kern w:val="2"/>
          <w:rFonts w:eastAsia="Noto Sans CJK SC"/>
        </w:rPr>
      </w:pPr>
      <w:r>
        <w:t xml:space="preserve">(c) marca și submarca;</w:t>
      </w:r>
    </w:p>
    <w:p w14:paraId="69FB953D" w14:textId="77777777" w:rsidR="00DB125E" w:rsidRPr="00E5303B" w:rsidRDefault="00DB125E" w:rsidP="00DB125E">
      <w:pPr>
        <w:suppressAutoHyphens/>
        <w:ind w:left="426" w:hanging="426"/>
        <w:jc w:val="both"/>
        <w:rPr>
          <w:kern w:val="2"/>
          <w:rFonts w:eastAsia="Noto Sans CJK SC"/>
        </w:rPr>
      </w:pPr>
      <w:r>
        <w:t xml:space="preserve">(d) tipul de produs;</w:t>
      </w:r>
    </w:p>
    <w:p w14:paraId="73992F7B" w14:textId="77777777" w:rsidR="00DB125E" w:rsidRPr="00E5303B" w:rsidRDefault="00DB125E" w:rsidP="00DB125E">
      <w:pPr>
        <w:suppressAutoHyphens/>
        <w:ind w:left="426" w:hanging="426"/>
        <w:jc w:val="both"/>
        <w:rPr>
          <w:kern w:val="2"/>
          <w:rFonts w:eastAsia="Noto Sans CJK SC"/>
        </w:rPr>
      </w:pPr>
      <w:r>
        <w:t xml:space="preserve">(e) numărul de serie al certificatului eliberat cu privire la notificare și</w:t>
      </w:r>
    </w:p>
    <w:p w14:paraId="56BF7838" w14:textId="77777777" w:rsidR="00DB125E" w:rsidRPr="00E5303B" w:rsidRDefault="00DB125E" w:rsidP="00DB125E">
      <w:pPr>
        <w:suppressAutoHyphens/>
        <w:ind w:left="426" w:hanging="426"/>
        <w:jc w:val="both"/>
        <w:rPr>
          <w:kern w:val="2"/>
          <w:rFonts w:eastAsia="Noto Sans CJK SC"/>
        </w:rPr>
      </w:pPr>
      <w:r>
        <w:t xml:space="preserve">(f) prima zi posibilă pentru introducerea pe piață, calculată în conformitate cu alineatul (1).</w:t>
      </w:r>
    </w:p>
    <w:p w14:paraId="0A73E3F9" w14:textId="77777777" w:rsidR="00DB125E" w:rsidRPr="00E5303B" w:rsidRDefault="00DB125E" w:rsidP="00DB125E">
      <w:pPr>
        <w:suppressAutoHyphens/>
        <w:jc w:val="both"/>
        <w:rPr>
          <w:rFonts w:eastAsia="Noto Sans CJK SC"/>
          <w:kern w:val="2"/>
          <w:lang w:eastAsia="zh-CN" w:bidi="hi-IN"/>
        </w:rPr>
      </w:pPr>
    </w:p>
    <w:p w14:paraId="1AFD82F4" w14:textId="77777777" w:rsidR="00DB125E" w:rsidRPr="00E5303B" w:rsidRDefault="00DB125E" w:rsidP="00DB125E">
      <w:pPr>
        <w:suppressAutoHyphens/>
        <w:jc w:val="both"/>
        <w:rPr>
          <w:kern w:val="2"/>
          <w:rFonts w:eastAsia="Noto Sans CJK SC"/>
        </w:rPr>
      </w:pPr>
      <w:r>
        <w:t xml:space="preserve">(6)</w:t>
      </w:r>
      <w:r>
        <w:t xml:space="preserve"> </w:t>
      </w:r>
      <w:r>
        <w:t xml:space="preserve">Producătorul, importatorul și distribuitorul maghiar se asigură de retragerea de pe piață și de răscumpărarea oricărui produs care face obiectul interdicției de comercializare și care se află în stoc de către comerciantul cu amănuntul al produselor din tutun.”</w:t>
      </w:r>
    </w:p>
    <w:p w14:paraId="0A9586A9" w14:textId="422B59D3" w:rsidR="00333428" w:rsidRDefault="00333428"/>
    <w:p w14:paraId="1421BAD6" w14:textId="29A4BA46" w:rsidR="002D6BBD" w:rsidRDefault="002D6BBD" w:rsidP="00153F89">
      <w:pPr>
        <w:jc w:val="center"/>
        <w:rPr>
          <w:b/>
        </w:rPr>
      </w:pPr>
      <w:r>
        <w:rPr>
          <w:b/>
        </w:rPr>
        <w:t xml:space="preserve">Articolul 3</w:t>
      </w:r>
    </w:p>
    <w:p w14:paraId="49A18EF4" w14:textId="77777777" w:rsidR="002D6BBD" w:rsidRPr="002D6BBD" w:rsidRDefault="002D6BBD" w:rsidP="00741559">
      <w:pPr>
        <w:suppressAutoHyphens/>
        <w:rPr>
          <w:rFonts w:eastAsia="Noto Sans CJK SC"/>
          <w:b/>
          <w:bCs/>
          <w:kern w:val="2"/>
          <w:lang w:eastAsia="zh-CN" w:bidi="hi-IN"/>
        </w:rPr>
      </w:pPr>
    </w:p>
    <w:p w14:paraId="55F5F8E9" w14:textId="77777777" w:rsidR="002D6BBD" w:rsidRPr="002D6BBD" w:rsidRDefault="002D6BBD" w:rsidP="002D6BBD">
      <w:pPr>
        <w:suppressAutoHyphens/>
        <w:jc w:val="both"/>
        <w:rPr>
          <w:kern w:val="2"/>
          <w:rFonts w:eastAsia="Noto Sans CJK SC"/>
        </w:rPr>
      </w:pPr>
      <w:r>
        <w:t xml:space="preserve">  </w:t>
      </w:r>
      <w:r>
        <w:t xml:space="preserve">Articolul 8 alineatul (5) litera (a) din Legea privind nefumătorii se înlocuiește cu următorul text:</w:t>
      </w:r>
    </w:p>
    <w:p w14:paraId="585AED6B" w14:textId="77777777" w:rsidR="002D6BBD" w:rsidRPr="002D6BBD" w:rsidRDefault="002D6BBD" w:rsidP="002D6BBD">
      <w:pPr>
        <w:suppressAutoHyphens/>
        <w:jc w:val="both"/>
        <w:rPr>
          <w:rFonts w:eastAsia="Noto Sans CJK SC"/>
          <w:kern w:val="2"/>
          <w:lang w:eastAsia="zh-CN" w:bidi="hi-IN"/>
        </w:rPr>
      </w:pPr>
    </w:p>
    <w:p w14:paraId="3352F57E" w14:textId="77777777" w:rsidR="002D6BBD" w:rsidRPr="002D6BBD" w:rsidRDefault="002D6BBD" w:rsidP="002D6BBD">
      <w:pPr>
        <w:suppressAutoHyphens/>
        <w:jc w:val="both"/>
        <w:rPr>
          <w:i/>
          <w:iCs/>
          <w:kern w:val="2"/>
          <w:rFonts w:eastAsia="Noto Sans CJK SC"/>
        </w:rPr>
      </w:pPr>
      <w:r>
        <w:rPr>
          <w:i/>
        </w:rPr>
        <w:t xml:space="preserve">(Guvernul este autorizat să definească și să stabilească prin regulament următoarele:</w:t>
      </w:r>
    </w:p>
    <w:p w14:paraId="10A0B187" w14:textId="77777777" w:rsidR="002D6BBD" w:rsidRPr="002D6BBD" w:rsidRDefault="002D6BBD" w:rsidP="002D6BBD">
      <w:pPr>
        <w:suppressAutoHyphens/>
        <w:jc w:val="both"/>
        <w:rPr>
          <w:rFonts w:eastAsia="Noto Sans CJK SC"/>
          <w:i/>
          <w:iCs/>
          <w:kern w:val="2"/>
          <w:lang w:eastAsia="zh-CN" w:bidi="hi-IN"/>
        </w:rPr>
      </w:pPr>
    </w:p>
    <w:p w14:paraId="455FABFB" w14:textId="7FC737D8" w:rsidR="002D6BBD" w:rsidRPr="00153F89" w:rsidRDefault="002D6BBD" w:rsidP="00153F89">
      <w:pPr>
        <w:jc w:val="both"/>
        <w:rPr>
          <w:b/>
        </w:rPr>
      </w:pPr>
      <w:r>
        <w:t xml:space="preserve">„(a) avertismentele combinate, avertismentele de sănătate și normele detaliate de utilizare a acestora, precum și normele detaliate pentru unitățile de ambalare pentru consumatori ale produselor din tutun și pentru unitățile de ambalare ale țigaretelor electronice, ale flacoanelor de reumplere, ale dispozitivelor electronice de imitare a fumatului, ale flacoanelor de reumplere fără nicotină, ale cartușelor fără nicotină și ale substituenților pentru fumat care conțin nicotină, conținutul și forma semnelor și marcajelor pentru restricționarea fumatului și a zonelor desemnate pentru fumat, precum și a celor pentru utilizarea țigaretelor electronice și a dispozitivelor electronice de imitare a fumatului, pe lângă alte condiții de fabricare, distribuție și control al produselor din tutun, al țigaretelor electronice, al flacoanelor de reumplere, al dispozitivelor electronice de imitare a fumatului, al flacoanelor de reumplere fără nicotină și al substituenților pentru fumat care conțin nicotină, aceste condiții nefiind reglementate de Legea privind accizele,”</w:t>
      </w:r>
    </w:p>
    <w:p w14:paraId="0D5D932B" w14:textId="77777777" w:rsidR="002D6BBD" w:rsidRDefault="002D6BBD"/>
    <w:p w14:paraId="255BC7D4" w14:textId="48DF91E1" w:rsidR="00DB125E" w:rsidRPr="00D55D42" w:rsidRDefault="00827692" w:rsidP="00DB125E">
      <w:pPr>
        <w:suppressAutoHyphens/>
        <w:jc w:val="center"/>
        <w:rPr>
          <w:b/>
          <w:kern w:val="2"/>
          <w:rFonts w:eastAsia="Noto Sans CJK SC"/>
        </w:rPr>
      </w:pPr>
      <w:r>
        <w:rPr>
          <w:b/>
        </w:rPr>
        <w:t xml:space="preserve">Articolul 4</w:t>
      </w:r>
    </w:p>
    <w:p w14:paraId="4D0DDFF7" w14:textId="77777777" w:rsidR="00DB125E" w:rsidRPr="007F65BB" w:rsidRDefault="00DB125E" w:rsidP="00DB125E">
      <w:pPr>
        <w:suppressAutoHyphens/>
        <w:jc w:val="both"/>
        <w:rPr>
          <w:rFonts w:eastAsia="Noto Sans CJK SC"/>
          <w:kern w:val="2"/>
          <w:lang w:eastAsia="zh-CN" w:bidi="hi-IN"/>
        </w:rPr>
      </w:pPr>
    </w:p>
    <w:p w14:paraId="2855D94E" w14:textId="77777777" w:rsidR="00DB125E" w:rsidRPr="00D55D42" w:rsidRDefault="00DB125E" w:rsidP="00DB125E">
      <w:pPr>
        <w:jc w:val="both"/>
      </w:pPr>
      <w:r>
        <w:t xml:space="preserve">În Legea privind nefumătorii se adaugă următorul alineat (4a) la articolul 10:</w:t>
      </w:r>
    </w:p>
    <w:p w14:paraId="007E3F42" w14:textId="77777777" w:rsidR="00DB125E" w:rsidRPr="00D55D42" w:rsidRDefault="00DB125E" w:rsidP="00DB125E">
      <w:pPr>
        <w:jc w:val="center"/>
      </w:pPr>
    </w:p>
    <w:p w14:paraId="37B8ADF9" w14:textId="59AF2AF0" w:rsidR="005777D3" w:rsidRDefault="00DB125E" w:rsidP="005777D3">
      <w:pPr>
        <w:jc w:val="both"/>
      </w:pPr>
      <w:r>
        <w:t xml:space="preserve">„(4a) Pentru flacoanele de reumplere fără nicotină, cartușele fără nicotină și substituenților pentru fumat care conțin nicotină care se află deja pe piață la 1 septembrie 2023, notificarea, astfel cum este definită la articolul 7/D alineatul (1), în temeiul articolului 2 din Legea... din 2023 de modificare a Legii XLII din 1999 privind protecția nefumătorilor și a anumitor norme privind consumul și distribuția produselor din tutun și Legea CXXXIV din 2012 privind suprimarea fumatului minorilor și privind comerțul cu amănuntul cu produse din tutun,</w:t>
      </w:r>
    </w:p>
    <w:p w14:paraId="064D8A1E" w14:textId="4F3F8F5C" w:rsidR="00DB125E" w:rsidRDefault="005777D3" w:rsidP="005777D3">
      <w:pPr>
        <w:jc w:val="both"/>
      </w:pPr>
      <w:r>
        <w:t xml:space="preserve">  </w:t>
      </w:r>
      <w:r>
        <w:t xml:space="preserve">trebuie să se realizeze până la 31 ianuarie 2024.”</w:t>
      </w:r>
    </w:p>
    <w:p w14:paraId="717F87AE" w14:textId="77777777" w:rsidR="00E91F8B" w:rsidRDefault="00E91F8B" w:rsidP="005777D3">
      <w:pPr>
        <w:jc w:val="both"/>
      </w:pPr>
    </w:p>
    <w:p w14:paraId="44851160" w14:textId="00604E87" w:rsidR="00E91F8B" w:rsidRDefault="00DC56BA" w:rsidP="00E91F8B">
      <w:pPr>
        <w:jc w:val="center"/>
        <w:rPr>
          <w:b/>
        </w:rPr>
      </w:pPr>
      <w:r>
        <w:rPr>
          <w:b/>
        </w:rPr>
        <w:t xml:space="preserve">Articolul 5</w:t>
      </w:r>
    </w:p>
    <w:p w14:paraId="664F8A47" w14:textId="77777777" w:rsidR="00E91F8B" w:rsidRDefault="00E91F8B" w:rsidP="00E91F8B">
      <w:pPr>
        <w:jc w:val="center"/>
        <w:rPr>
          <w:b/>
        </w:rPr>
      </w:pPr>
    </w:p>
    <w:p w14:paraId="1478B73D" w14:textId="09EACD72" w:rsidR="00E91F8B" w:rsidRPr="00E91F8B" w:rsidRDefault="00E91F8B" w:rsidP="00E91F8B">
      <w:pPr>
        <w:jc w:val="both"/>
      </w:pPr>
      <w:r>
        <w:t xml:space="preserve">În Legea privind nefumătorii se introduce următorul articol 8/B:</w:t>
      </w:r>
    </w:p>
    <w:p w14:paraId="67B84AC8" w14:textId="77777777" w:rsidR="00DB125E" w:rsidRPr="00E91F8B" w:rsidRDefault="00DB125E" w:rsidP="00DB125E">
      <w:pPr>
        <w:suppressAutoHyphens/>
        <w:jc w:val="both"/>
        <w:rPr>
          <w:rFonts w:eastAsia="Noto Sans CJK SC"/>
          <w:kern w:val="2"/>
          <w:lang w:eastAsia="zh-CN" w:bidi="hi-IN"/>
        </w:rPr>
      </w:pPr>
    </w:p>
    <w:p w14:paraId="084A7AE2" w14:textId="4761C864" w:rsidR="00E91F8B" w:rsidRDefault="00E91F8B" w:rsidP="00E91F8B">
      <w:pPr>
        <w:suppressAutoHyphens/>
        <w:jc w:val="both"/>
      </w:pPr>
      <w:r>
        <w:t xml:space="preserve">„Articolul 8/B Următoarele articole stabilite prin Legea... din 2023 de modificare a Legii XLII din 1999 privind protecția nefumătorilor și a anumitor norme privind consumul și distribuția produselor din tutun și a Legii CXXXIV din 2012 privind suprimarea fumatului în rândul minorilor și comerțul cu amănuntul al produselor din tutun, enumerate mai jos, și anume articolul 1 literele (s), (t) și (z), articolul 7/C, articolul 7/D alineatele (1), (3), (5) și (6).</w:t>
      </w:r>
      <w:r>
        <w:t xml:space="preserve"> </w:t>
      </w:r>
      <w:r>
        <w:t xml:space="preserve">Articolul 7/E alineatele (1)-(6), articolul 7/F, articolul 7/G alineatele (1) și (2), articolul 7/H, articolul 8 alineatul (5) litera (a) și articolul 10 alineatul (4a) din prezentul proiect de lege au făcut obiectul unei notificări prealabile, astfel cum se prevede la articolele 5-7 din Directiva (UE) 2015/1535 a Parlamentului European și a Consiliului din 9 septembrie 2015 referitoare la procedura de furnizare de informații în domeniul reglementărilor tehnice și al normelor privind serviciile societății informaționale.”</w:t>
      </w:r>
    </w:p>
    <w:p w14:paraId="1DD4D51B" w14:textId="77777777" w:rsidR="00F46F72" w:rsidRPr="00E91F8B" w:rsidRDefault="00F46F72" w:rsidP="00E91F8B">
      <w:pPr>
        <w:suppressAutoHyphens/>
        <w:jc w:val="both"/>
        <w:rPr>
          <w:rFonts w:eastAsia="Noto Sans CJK SC"/>
          <w:kern w:val="2"/>
        </w:rPr>
      </w:pPr>
    </w:p>
    <w:p w14:paraId="2419D499" w14:textId="0D517A46" w:rsidR="00DB125E" w:rsidRPr="00E5303B" w:rsidRDefault="00DC56BA" w:rsidP="00DB125E">
      <w:pPr>
        <w:suppressAutoHyphens/>
        <w:jc w:val="center"/>
        <w:rPr>
          <w:b/>
          <w:bCs/>
          <w:kern w:val="2"/>
          <w:rFonts w:eastAsia="Noto Sans CJK SC"/>
        </w:rPr>
      </w:pPr>
      <w:r>
        <w:rPr>
          <w:b/>
        </w:rPr>
        <w:t xml:space="preserve">Articolul 6</w:t>
      </w:r>
    </w:p>
    <w:p w14:paraId="0DFDC86D" w14:textId="77777777" w:rsidR="00DB125E" w:rsidRPr="00E5303B" w:rsidRDefault="00DB125E" w:rsidP="00DB125E">
      <w:pPr>
        <w:suppressAutoHyphens/>
        <w:jc w:val="center"/>
        <w:rPr>
          <w:rFonts w:eastAsia="Noto Sans CJK SC"/>
          <w:b/>
          <w:bCs/>
          <w:kern w:val="2"/>
          <w:lang w:eastAsia="zh-CN" w:bidi="hi-IN"/>
        </w:rPr>
      </w:pPr>
    </w:p>
    <w:p w14:paraId="5BFEC514" w14:textId="77777777" w:rsidR="00DB125E" w:rsidRPr="00220B1E" w:rsidRDefault="00DB125E" w:rsidP="00DB125E">
      <w:pPr>
        <w:suppressAutoHyphens/>
        <w:jc w:val="both"/>
        <w:rPr>
          <w:kern w:val="2"/>
          <w:rFonts w:eastAsia="Noto Sans CJK SC"/>
        </w:rPr>
      </w:pPr>
      <w:r>
        <w:t xml:space="preserve">În Legea privind nefumătorii</w:t>
      </w:r>
    </w:p>
    <w:p w14:paraId="122223BC" w14:textId="072F979E" w:rsidR="00DB125E" w:rsidRPr="00330FEB" w:rsidRDefault="00153F89" w:rsidP="00DB125E">
      <w:pPr>
        <w:pStyle w:val="BodyText"/>
        <w:spacing w:after="0" w:line="240" w:lineRule="auto"/>
        <w:jc w:val="both"/>
        <w:rPr>
          <w:rFonts w:ascii="Times New Roman" w:hAnsi="Times New Roman" w:cs="Times New Roman"/>
        </w:rPr>
      </w:pPr>
      <w:r>
        <w:rPr>
          <w:rFonts w:ascii="Times New Roman" w:hAnsi="Times New Roman"/>
        </w:rPr>
        <w:t xml:space="preserve">(a) la articolul 7/C, cuvintele „țigarete electronice” se înlocuiesc cu „țigarete electronice, flacoane de reumplere, cartușe, dispozitive electronice de imitare a fumatului, flacoane de reumplere fără nicotină, cartușe fără nicotină și substituenți pentru fumat care conțin nicotină”;</w:t>
      </w:r>
    </w:p>
    <w:p w14:paraId="42C19F9D" w14:textId="47D845C4"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 xml:space="preserve">(b) la articolul 7/E alineatele (1)-(5), cuvintele „țigarete electronice și flacoane de reumplere” se înlocuiesc cu „țigarete electronice, flacoane de reumplere, cartușe, dispozitive electronice de imitare a fumatului, flacoane de reumplere fără nicotină, cartușe fără nicotină și substituenți pentru fumat care conțin nicotină”;</w:t>
      </w:r>
    </w:p>
    <w:p w14:paraId="19152C58" w14:textId="4EF940FA"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 xml:space="preserve">(c) la articolul 7/E alineatul (6), cuvintele „țigarete electronice sau flacoane de reumplere” se înlocuiesc cu cuvintele „țigarete electronice, flacoane de reumplere, cartușe, dispozitive electronice de imitare a fumatului, flacoane de reumplere fără nicotină, cartușe fără nicotină și substituenți pentru fumat care conțin nicotină”;</w:t>
      </w:r>
    </w:p>
    <w:p w14:paraId="5C52EB6E" w14:textId="4B3E8951"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 xml:space="preserve">(d) la articolul 7/F, cuvintele „țigarete electronice și flacoane de reumplere” se înlocuiesc cu „țigarete electronice, flacoane de reumplere, cartușe, dispozitive electronice de imitare a fumatului, flacoane de reumplere fără nicotină, cartușe fără nicotină și substituenți pentru fumat care conțin nicotină”;</w:t>
      </w:r>
    </w:p>
    <w:p w14:paraId="741ED564" w14:textId="3926C1BE"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 xml:space="preserve">(e) la articolul 7/G alineatul (1), cuvintele „țigarete electronice sau flacoane de reumplere” se înlocuiesc cu „țigarete electronice, flacoane de reumplere, cartușe, dispozitive electronice de imitare a fumatului, flacoane de reumplere fără nicotină, cartușe fără nicotină și substituenți pentru fumat care conțin nicotină”;</w:t>
      </w:r>
    </w:p>
    <w:p w14:paraId="5DED55E3" w14:textId="1EE35D48" w:rsidR="00DB125E" w:rsidRPr="00673F64" w:rsidRDefault="00153F89" w:rsidP="00DB125E">
      <w:pPr>
        <w:pStyle w:val="BodyText"/>
        <w:spacing w:after="0" w:line="240" w:lineRule="auto"/>
        <w:jc w:val="both"/>
      </w:pPr>
      <w:r>
        <w:rPr>
          <w:rFonts w:ascii="Times New Roman" w:hAnsi="Times New Roman"/>
        </w:rPr>
        <w:t xml:space="preserve">(f) la articolul 7/G alineatul (2), cuvintele „țigarete electronice și flacoane de reumplere” se înlocuiesc cu „țigarete electronice, flacoane de reumplere, cartușe, dispozitive electronice de imitare a fumatului, flacoane de reumplere fără nicotină, cartușe fără nicotină și substituenți pentru fumat care conțin nicotină”;</w:t>
      </w:r>
    </w:p>
    <w:p w14:paraId="7504C957" w14:textId="137E6308" w:rsidR="00DB125E" w:rsidRPr="00673F64" w:rsidRDefault="00153F89" w:rsidP="00DB125E">
      <w:pPr>
        <w:pStyle w:val="BodyText"/>
        <w:spacing w:after="0" w:line="240" w:lineRule="auto"/>
        <w:jc w:val="both"/>
      </w:pPr>
      <w:r>
        <w:rPr>
          <w:rFonts w:ascii="Times New Roman" w:hAnsi="Times New Roman"/>
        </w:rPr>
        <w:t xml:space="preserve">(g) la articolul 7/H, cuvintele „țigarete electronice și dispozitive electronice de imitare a fumatului” se înlocuiesc cu cuvintele „țigarete electronice, flacoane de reumplere, cartușe, dispozitive electronice de imitare a fumatului, flacoane de reumplere fără nicotină, cartușe fără nicotină și substituenți pentru fumat care conțin nicotină”.</w:t>
      </w:r>
      <w:r>
        <w:rPr>
          <w:rFonts w:ascii="Times New Roman" w:hAnsi="Times New Roman"/>
        </w:rPr>
        <w:t xml:space="preserve">  </w:t>
      </w:r>
    </w:p>
    <w:p w14:paraId="7B117976" w14:textId="6C5DAC8A" w:rsidR="00AD4247" w:rsidRPr="00206271" w:rsidRDefault="00AD4247" w:rsidP="00DB125E">
      <w:pPr>
        <w:suppressAutoHyphens/>
        <w:jc w:val="both"/>
        <w:rPr>
          <w:rFonts w:eastAsia="Noto Sans CJK SC"/>
          <w:kern w:val="2"/>
        </w:rPr>
      </w:pPr>
    </w:p>
    <w:p w14:paraId="31D8C477" w14:textId="77777777" w:rsidR="00DB125E" w:rsidRDefault="00DB125E" w:rsidP="00DB125E">
      <w:pPr>
        <w:suppressAutoHyphens/>
        <w:jc w:val="both"/>
        <w:rPr>
          <w:rFonts w:eastAsia="Noto Sans CJK SC"/>
          <w:kern w:val="2"/>
          <w:lang w:eastAsia="zh-CN" w:bidi="hi-IN"/>
        </w:rPr>
      </w:pPr>
    </w:p>
    <w:p w14:paraId="63F5E34B" w14:textId="09CC9006" w:rsidR="00DB125E" w:rsidRPr="00D55D42" w:rsidRDefault="00DC56BA" w:rsidP="00DB125E">
      <w:pPr>
        <w:suppressAutoHyphens/>
        <w:jc w:val="center"/>
        <w:rPr>
          <w:b/>
          <w:kern w:val="2"/>
          <w:rFonts w:eastAsia="Noto Sans CJK SC"/>
        </w:rPr>
      </w:pPr>
      <w:r>
        <w:rPr>
          <w:b/>
        </w:rPr>
        <w:t xml:space="preserve">Articolul 7</w:t>
      </w:r>
    </w:p>
    <w:p w14:paraId="6B1D9AD2" w14:textId="77777777" w:rsidR="00DB125E" w:rsidRDefault="00DB125E" w:rsidP="00DB125E">
      <w:pPr>
        <w:suppressAutoHyphens/>
        <w:jc w:val="center"/>
        <w:rPr>
          <w:rFonts w:eastAsia="Noto Sans CJK SC"/>
          <w:kern w:val="2"/>
          <w:lang w:eastAsia="zh-CN" w:bidi="hi-IN"/>
        </w:rPr>
      </w:pPr>
    </w:p>
    <w:p w14:paraId="69C95DAD" w14:textId="00089198" w:rsidR="00DB125E" w:rsidRDefault="00DB125E" w:rsidP="00DB125E">
      <w:pPr>
        <w:suppressAutoHyphens/>
        <w:jc w:val="both"/>
        <w:rPr>
          <w:kern w:val="2"/>
          <w:rFonts w:eastAsia="Noto Sans CJK SC"/>
        </w:rPr>
      </w:pPr>
      <w:r>
        <w:t xml:space="preserve"> </w:t>
      </w:r>
      <w:r>
        <w:t xml:space="preserve">Articolul 7/I din Legea privind nefumătorii se abrogă.</w:t>
      </w:r>
    </w:p>
    <w:p w14:paraId="63C6352E" w14:textId="441D5254" w:rsidR="00396C85" w:rsidRDefault="00396C85" w:rsidP="00DB125E">
      <w:pPr>
        <w:suppressAutoHyphens/>
        <w:jc w:val="both"/>
        <w:rPr>
          <w:rFonts w:eastAsia="Noto Sans CJK SC"/>
          <w:kern w:val="2"/>
          <w:lang w:eastAsia="zh-CN" w:bidi="hi-IN"/>
        </w:rPr>
      </w:pPr>
    </w:p>
    <w:p w14:paraId="33EC2E38" w14:textId="06B5DBAF" w:rsidR="00396C85" w:rsidRDefault="00396C85" w:rsidP="00DB125E">
      <w:pPr>
        <w:suppressAutoHyphens/>
        <w:jc w:val="both"/>
        <w:rPr>
          <w:rFonts w:eastAsia="Noto Sans CJK SC"/>
          <w:kern w:val="2"/>
          <w:lang w:eastAsia="zh-CN" w:bidi="hi-IN"/>
        </w:rPr>
      </w:pPr>
    </w:p>
    <w:p w14:paraId="09B98B0A" w14:textId="59AFB0A9" w:rsidR="00396C85" w:rsidRPr="00153F89" w:rsidRDefault="00396C85" w:rsidP="00153F89">
      <w:pPr>
        <w:suppressAutoHyphens/>
        <w:jc w:val="center"/>
        <w:rPr>
          <w:b/>
          <w:kern w:val="2"/>
          <w:rFonts w:eastAsia="Noto Sans CJK SC"/>
        </w:rPr>
      </w:pPr>
      <w:r>
        <w:rPr>
          <w:b/>
        </w:rPr>
        <w:t xml:space="preserve">2.</w:t>
      </w:r>
      <w:r>
        <w:rPr>
          <w:b/>
        </w:rPr>
        <w:t xml:space="preserve"> </w:t>
      </w:r>
      <w:r>
        <w:rPr>
          <w:b/>
        </w:rPr>
        <w:t xml:space="preserve">Modificarea Legii CXXXIV din 2012 privind suprimarea fumatului juvenil și comerțul cu amănuntul cu produse din tutun</w:t>
      </w:r>
    </w:p>
    <w:p w14:paraId="1908A397" w14:textId="7B789F09" w:rsidR="00396C85" w:rsidRDefault="00396C85" w:rsidP="00DB125E">
      <w:pPr>
        <w:suppressAutoHyphens/>
        <w:jc w:val="both"/>
        <w:rPr>
          <w:rFonts w:eastAsia="Noto Sans CJK SC"/>
          <w:kern w:val="2"/>
          <w:lang w:eastAsia="zh-CN" w:bidi="hi-IN"/>
        </w:rPr>
      </w:pPr>
    </w:p>
    <w:p w14:paraId="4CC534DD" w14:textId="24BAC365" w:rsidR="006802D9" w:rsidRDefault="00DC56BA" w:rsidP="006802D9">
      <w:pPr>
        <w:suppressAutoHyphens/>
        <w:jc w:val="center"/>
        <w:rPr>
          <w:b/>
          <w:kern w:val="2"/>
          <w:rFonts w:eastAsia="Noto Sans CJK SC"/>
        </w:rPr>
      </w:pPr>
      <w:r>
        <w:rPr>
          <w:b/>
        </w:rPr>
        <w:t xml:space="preserve">Articolul 8</w:t>
      </w:r>
    </w:p>
    <w:p w14:paraId="0CFD6C4A" w14:textId="77777777" w:rsidR="006802D9" w:rsidRDefault="006802D9" w:rsidP="006802D9">
      <w:pPr>
        <w:suppressAutoHyphens/>
        <w:jc w:val="center"/>
      </w:pPr>
    </w:p>
    <w:p w14:paraId="2F519D6D" w14:textId="7C6EFEEE" w:rsidR="006802D9" w:rsidRDefault="006802D9" w:rsidP="006802D9">
      <w:pPr>
        <w:suppressAutoHyphens/>
        <w:jc w:val="both"/>
      </w:pPr>
      <w:r>
        <w:t xml:space="preserve">În Legea CXXXIV din 2012 privind suprimarea fumatului juvenil și comerțul cu amănuntul cu produse din tutun (denumită în continuare</w:t>
      </w:r>
      <w:r>
        <w:t xml:space="preserve"> </w:t>
      </w:r>
      <w:r>
        <w:t xml:space="preserve">„Legea privind suprimarea fumatului juvenil”), la articolul 28 se adaugă următorul alineat (4):</w:t>
      </w:r>
    </w:p>
    <w:p w14:paraId="71301D22" w14:textId="77777777" w:rsidR="006802D9" w:rsidRDefault="006802D9" w:rsidP="006802D9">
      <w:pPr>
        <w:suppressAutoHyphens/>
        <w:jc w:val="both"/>
        <w:rPr>
          <w:rFonts w:eastAsia="Noto Sans CJK SC"/>
          <w:b/>
          <w:kern w:val="2"/>
          <w:lang w:eastAsia="zh-CN" w:bidi="hi-IN"/>
        </w:rPr>
      </w:pPr>
    </w:p>
    <w:p w14:paraId="5F246645" w14:textId="07BDD953" w:rsidR="006802D9" w:rsidRPr="00E91F8B" w:rsidRDefault="006802D9" w:rsidP="006802D9">
      <w:pPr>
        <w:suppressAutoHyphens/>
        <w:jc w:val="both"/>
        <w:rPr>
          <w:kern w:val="2"/>
          <w:rFonts w:eastAsia="Noto Sans CJK SC"/>
        </w:rPr>
      </w:pPr>
      <w:r>
        <w:t xml:space="preserve">„(4)</w:t>
      </w:r>
      <w:r>
        <w:t xml:space="preserve"> </w:t>
      </w:r>
      <w:r>
        <w:t xml:space="preserve">Proiectul de articol 1 alineatul (1) litera (e) și articolul 3 alineatul (2) litera (e), astfel cum au fost stabilite prin Legea ... din 2023 de modificare a Legii XLII din 1999 privind protecția nefumătorilor și anumite norme privind consumul și distribuția produselor din tutun și a Legii CXXXIV din 2012 privind suprimarea fumatului juvenil și comerțul cu amănuntul al produselor din tutun, au făcut obiectul unei notificări prealabile, astfel cum se prevede la articolele 5-7 din Directiva (UE) 2015/1535 a Parlamentului European și a Consiliului din 9 septembrie 2015 referitoare la procedura de furnizare de informații în domeniul reglementărilor tehnice și al normelor privind serviciile societății informaționale.”</w:t>
      </w:r>
    </w:p>
    <w:p w14:paraId="0CD8ED42" w14:textId="77777777" w:rsidR="006802D9" w:rsidRDefault="006802D9" w:rsidP="006802D9">
      <w:pPr>
        <w:suppressAutoHyphens/>
        <w:jc w:val="center"/>
        <w:rPr>
          <w:rFonts w:eastAsia="Noto Sans CJK SC"/>
          <w:b/>
          <w:kern w:val="2"/>
          <w:lang w:eastAsia="zh-CN" w:bidi="hi-IN"/>
        </w:rPr>
      </w:pPr>
    </w:p>
    <w:p w14:paraId="69112F5E" w14:textId="0F9E35C3" w:rsidR="006802D9" w:rsidRDefault="00DC56BA" w:rsidP="006802D9">
      <w:pPr>
        <w:suppressAutoHyphens/>
        <w:jc w:val="center"/>
        <w:rPr>
          <w:b/>
          <w:kern w:val="2"/>
          <w:rFonts w:eastAsia="Noto Sans CJK SC"/>
        </w:rPr>
      </w:pPr>
      <w:r>
        <w:rPr>
          <w:b/>
        </w:rPr>
        <w:t xml:space="preserve">Articolul 9</w:t>
      </w:r>
    </w:p>
    <w:p w14:paraId="2586615B" w14:textId="77777777" w:rsidR="006802D9" w:rsidRPr="006802D9" w:rsidRDefault="006802D9" w:rsidP="006802D9">
      <w:pPr>
        <w:suppressAutoHyphens/>
        <w:jc w:val="center"/>
        <w:rPr>
          <w:rFonts w:eastAsia="Noto Sans CJK SC"/>
          <w:b/>
          <w:kern w:val="2"/>
          <w:lang w:eastAsia="zh-CN" w:bidi="hi-IN"/>
        </w:rPr>
      </w:pPr>
    </w:p>
    <w:p w14:paraId="012E5D30" w14:textId="1946FFE6" w:rsidR="00396C85" w:rsidRDefault="00402174" w:rsidP="00153F89">
      <w:pPr>
        <w:jc w:val="both"/>
      </w:pPr>
      <w:r>
        <w:t xml:space="preserve">La articolul 1 alineatul (1) litera </w:t>
      </w:r>
      <w:r>
        <w:rPr>
          <w:i/>
        </w:rPr>
        <w:t xml:space="preserve">(e)</w:t>
      </w:r>
      <w:r>
        <w:t xml:space="preserve"> și la articolul 3 alineatul (2) litera </w:t>
      </w:r>
      <w:r>
        <w:rPr>
          <w:i/>
        </w:rPr>
        <w:t xml:space="preserve">(e)</w:t>
      </w:r>
      <w:r>
        <w:t xml:space="preserve"> din Legea privind suprimarea fumatului juvenil, cuvintele „flacoane de reumplere fără nicotină” se înlocuiesc cu „flacoane de reumplere fără nicotină, cartușe fără nicotină”.</w:t>
      </w:r>
    </w:p>
    <w:p w14:paraId="5D7A0B89" w14:textId="77777777" w:rsidR="00396C85" w:rsidRDefault="00396C85" w:rsidP="00DB125E">
      <w:pPr>
        <w:suppressAutoHyphens/>
        <w:jc w:val="both"/>
        <w:rPr>
          <w:rFonts w:eastAsia="Noto Sans CJK SC"/>
          <w:kern w:val="2"/>
          <w:lang w:eastAsia="zh-CN" w:bidi="hi-IN"/>
        </w:rPr>
      </w:pPr>
    </w:p>
    <w:p w14:paraId="22C61ABF" w14:textId="24FCE190" w:rsidR="008848B7" w:rsidRDefault="008848B7" w:rsidP="00DB125E">
      <w:pPr>
        <w:suppressAutoHyphens/>
        <w:jc w:val="both"/>
        <w:rPr>
          <w:rFonts w:eastAsia="Noto Sans CJK SC"/>
          <w:kern w:val="2"/>
          <w:lang w:eastAsia="zh-CN" w:bidi="hi-IN"/>
        </w:rPr>
      </w:pPr>
    </w:p>
    <w:p w14:paraId="1466126E" w14:textId="15A9380C" w:rsidR="008848B7" w:rsidRPr="00153F89" w:rsidRDefault="005F4FA3" w:rsidP="00153F89">
      <w:pPr>
        <w:suppressAutoHyphens/>
        <w:jc w:val="center"/>
        <w:rPr>
          <w:b/>
          <w:kern w:val="2"/>
          <w:rFonts w:eastAsia="Noto Sans CJK SC"/>
        </w:rPr>
      </w:pPr>
      <w:r>
        <w:rPr>
          <w:b/>
        </w:rPr>
        <w:t xml:space="preserve">3.</w:t>
      </w:r>
      <w:r>
        <w:rPr>
          <w:b/>
        </w:rPr>
        <w:t xml:space="preserve"> </w:t>
      </w:r>
      <w:r>
        <w:rPr>
          <w:b/>
        </w:rPr>
        <w:t xml:space="preserve">Dispoziții finale</w:t>
      </w:r>
    </w:p>
    <w:p w14:paraId="163CB994" w14:textId="30D9ABEE" w:rsidR="008848B7" w:rsidRDefault="008848B7" w:rsidP="00DB125E">
      <w:pPr>
        <w:suppressAutoHyphens/>
        <w:jc w:val="both"/>
        <w:rPr>
          <w:rFonts w:eastAsia="Noto Sans CJK SC"/>
          <w:kern w:val="2"/>
          <w:lang w:eastAsia="zh-CN" w:bidi="hi-IN"/>
        </w:rPr>
      </w:pPr>
    </w:p>
    <w:p w14:paraId="29A59FA1" w14:textId="53D3DD9D" w:rsidR="008246FC" w:rsidRDefault="00DC56BA" w:rsidP="008246FC">
      <w:pPr>
        <w:suppressAutoHyphens/>
        <w:jc w:val="center"/>
        <w:rPr>
          <w:b/>
          <w:kern w:val="2"/>
          <w:rFonts w:eastAsia="Noto Sans CJK SC"/>
        </w:rPr>
      </w:pPr>
      <w:r>
        <w:rPr>
          <w:b/>
        </w:rPr>
        <w:t xml:space="preserve">Articolul 10</w:t>
      </w:r>
    </w:p>
    <w:p w14:paraId="2974E0DE" w14:textId="77777777" w:rsidR="00741559" w:rsidRPr="008246FC" w:rsidRDefault="00741559" w:rsidP="008246FC">
      <w:pPr>
        <w:suppressAutoHyphens/>
        <w:jc w:val="center"/>
        <w:rPr>
          <w:rFonts w:eastAsia="Noto Sans CJK SC"/>
          <w:b/>
          <w:kern w:val="2"/>
          <w:lang w:eastAsia="zh-CN" w:bidi="hi-IN"/>
        </w:rPr>
      </w:pPr>
    </w:p>
    <w:p w14:paraId="478AF8B4" w14:textId="27448AA5" w:rsidR="008246FC" w:rsidRDefault="008246FC" w:rsidP="004049B2">
      <w:pPr>
        <w:pStyle w:val="ListParagraph"/>
        <w:suppressAutoHyphens/>
        <w:ind w:left="0"/>
        <w:jc w:val="both"/>
        <w:rPr>
          <w:kern w:val="2"/>
          <w:rFonts w:eastAsia="Noto Sans CJK SC"/>
        </w:rPr>
      </w:pPr>
      <w:r>
        <w:t xml:space="preserve">Prezenta lege intră în vigoare la 1 noiembrie 2023.</w:t>
      </w:r>
    </w:p>
    <w:p w14:paraId="6B8F11CF" w14:textId="77777777" w:rsidR="00020F6A" w:rsidRDefault="00020F6A" w:rsidP="004049B2">
      <w:pPr>
        <w:pStyle w:val="ListParagraph"/>
        <w:suppressAutoHyphens/>
        <w:ind w:left="0"/>
        <w:jc w:val="both"/>
        <w:rPr>
          <w:rFonts w:eastAsia="Noto Sans CJK SC"/>
          <w:kern w:val="2"/>
          <w:lang w:eastAsia="zh-CN" w:bidi="hi-IN"/>
        </w:rPr>
      </w:pPr>
    </w:p>
    <w:p w14:paraId="7FC9F906" w14:textId="02636919" w:rsidR="00704C1F" w:rsidRDefault="00704C1F"/>
    <w:p w14:paraId="315EA5DC" w14:textId="41BBEEA0" w:rsidR="00E91F8B" w:rsidRPr="00E91F8B" w:rsidRDefault="006802D9" w:rsidP="00E91F8B">
      <w:pPr>
        <w:jc w:val="center"/>
        <w:rPr>
          <w:b/>
        </w:rPr>
      </w:pPr>
      <w:r>
        <w:rPr>
          <w:b/>
        </w:rPr>
        <w:t xml:space="preserve">Articolul 11</w:t>
      </w:r>
    </w:p>
    <w:p w14:paraId="7BC9C63E" w14:textId="77777777" w:rsidR="00E91F8B" w:rsidRDefault="00E91F8B" w:rsidP="00E91F8B">
      <w:pPr>
        <w:jc w:val="center"/>
      </w:pPr>
    </w:p>
    <w:p w14:paraId="50C1AEE0" w14:textId="45A9E010" w:rsidR="00E91F8B" w:rsidRDefault="00E91F8B" w:rsidP="00E91F8B">
      <w:pPr>
        <w:jc w:val="both"/>
        <w:rPr>
          <w:kern w:val="2"/>
          <w:rFonts w:eastAsia="Noto Sans CJK SC"/>
        </w:rPr>
      </w:pPr>
      <w:r>
        <w:t xml:space="preserve">Cerința de notificare prealabilă a prezentului proiect de decret, astfel cum se prevede la articolele 5-7 din Directiva (UE) 2015/1535 a Parlamentului European și a Consiliului din 9 septembrie 2015 referitoare la procedura de furnizare de informații în domeniul reglementărilor tehnice și al normelor privind serviciile societății informaționale a fost îndeplinită.</w:t>
      </w:r>
    </w:p>
    <w:p w14:paraId="34D6B5FF" w14:textId="77777777" w:rsidR="00704C1F" w:rsidRDefault="00704C1F"/>
    <w:sectPr w:rsidR="00704C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7E05"/>
    <w:multiLevelType w:val="hybridMultilevel"/>
    <w:tmpl w:val="B6D2390E"/>
    <w:lvl w:ilvl="0" w:tplc="040E000F">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3F54B9B"/>
    <w:multiLevelType w:val="hybridMultilevel"/>
    <w:tmpl w:val="9AD43B9C"/>
    <w:lvl w:ilvl="0" w:tplc="21BCA196">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4E82103A"/>
    <w:multiLevelType w:val="hybridMultilevel"/>
    <w:tmpl w:val="2D6256B8"/>
    <w:lvl w:ilvl="0" w:tplc="07768FE0">
      <w:start w:val="1"/>
      <w:numFmt w:val="lowerLetter"/>
      <w:lvlText w:val="%1)"/>
      <w:lvlJc w:val="left"/>
      <w:pPr>
        <w:ind w:left="1065" w:hanging="705"/>
      </w:pPr>
      <w:rPr>
        <w:i/>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16cid:durableId="1249535200">
    <w:abstractNumId w:val="1"/>
  </w:num>
  <w:num w:numId="2" w16cid:durableId="1039553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4076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11"/>
    <w:rsid w:val="00003480"/>
    <w:rsid w:val="00020F6A"/>
    <w:rsid w:val="000622EF"/>
    <w:rsid w:val="000B2D67"/>
    <w:rsid w:val="000D2A11"/>
    <w:rsid w:val="001124F5"/>
    <w:rsid w:val="00153F89"/>
    <w:rsid w:val="00156D3E"/>
    <w:rsid w:val="00193FD6"/>
    <w:rsid w:val="001F588D"/>
    <w:rsid w:val="00237063"/>
    <w:rsid w:val="002D6BBD"/>
    <w:rsid w:val="00333428"/>
    <w:rsid w:val="00396C85"/>
    <w:rsid w:val="003A401D"/>
    <w:rsid w:val="00402174"/>
    <w:rsid w:val="004049B2"/>
    <w:rsid w:val="004947EA"/>
    <w:rsid w:val="00521434"/>
    <w:rsid w:val="00531A08"/>
    <w:rsid w:val="005777D3"/>
    <w:rsid w:val="00593AE9"/>
    <w:rsid w:val="005A2187"/>
    <w:rsid w:val="005C77CD"/>
    <w:rsid w:val="005F4FA3"/>
    <w:rsid w:val="00623454"/>
    <w:rsid w:val="006802D9"/>
    <w:rsid w:val="00704C1F"/>
    <w:rsid w:val="00741559"/>
    <w:rsid w:val="007A1FAA"/>
    <w:rsid w:val="008246FC"/>
    <w:rsid w:val="00827692"/>
    <w:rsid w:val="00835734"/>
    <w:rsid w:val="008848B7"/>
    <w:rsid w:val="008B7648"/>
    <w:rsid w:val="009002BA"/>
    <w:rsid w:val="00913058"/>
    <w:rsid w:val="009F216A"/>
    <w:rsid w:val="00AD4247"/>
    <w:rsid w:val="00AF7221"/>
    <w:rsid w:val="00B353AA"/>
    <w:rsid w:val="00B771CC"/>
    <w:rsid w:val="00C124B9"/>
    <w:rsid w:val="00C54A0E"/>
    <w:rsid w:val="00CC4E66"/>
    <w:rsid w:val="00D524FF"/>
    <w:rsid w:val="00DB125E"/>
    <w:rsid w:val="00DC56BA"/>
    <w:rsid w:val="00E54C14"/>
    <w:rsid w:val="00E91F8B"/>
    <w:rsid w:val="00F220C3"/>
    <w:rsid w:val="00F260A9"/>
    <w:rsid w:val="00F46F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79F0"/>
  <w15:docId w15:val="{A62FC256-44D0-4473-BEEF-349E02F5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5E"/>
    <w:pPr>
      <w:spacing w:after="0" w:line="240" w:lineRule="auto"/>
    </w:pPr>
    <w:rPr>
      <w:rFonts w:ascii="Times New Roman" w:eastAsia="Times New Roman" w:hAnsi="Times New Roman" w:cs="Times New Roman"/>
      <w:sz w:val="24"/>
      <w:szCs w:val="24"/>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B125E"/>
    <w:pPr>
      <w:suppressAutoHyphens/>
      <w:spacing w:after="140" w:line="276" w:lineRule="auto"/>
    </w:pPr>
    <w:rPr>
      <w:rFonts w:ascii="Liberation Serif" w:eastAsia="Noto Sans CJK SC" w:hAnsi="Liberation Serif" w:cs="Lohit Devanagari"/>
      <w:kern w:val="2"/>
      <w:lang w:eastAsia="zh-CN" w:bidi="hi-IN"/>
    </w:rPr>
  </w:style>
  <w:style w:type="character" w:customStyle="1" w:styleId="BodyTextChar">
    <w:name w:val="Body Text Char"/>
    <w:basedOn w:val="DefaultParagraphFont"/>
    <w:link w:val="BodyText"/>
    <w:rsid w:val="00DB125E"/>
    <w:rPr>
      <w:rFonts w:ascii="Liberation Serif" w:eastAsia="Noto Sans CJK SC" w:hAnsi="Liberation Serif" w:cs="Lohit Devanagari"/>
      <w:kern w:val="2"/>
      <w:sz w:val="24"/>
      <w:szCs w:val="24"/>
      <w:lang w:eastAsia="zh-CN" w:bidi="hi-IN"/>
    </w:rPr>
  </w:style>
  <w:style w:type="character" w:styleId="CommentReference">
    <w:name w:val="annotation reference"/>
    <w:uiPriority w:val="99"/>
    <w:unhideWhenUsed/>
    <w:rsid w:val="00DB125E"/>
    <w:rPr>
      <w:sz w:val="16"/>
      <w:szCs w:val="16"/>
    </w:rPr>
  </w:style>
  <w:style w:type="paragraph" w:styleId="CommentText">
    <w:name w:val="annotation text"/>
    <w:aliases w:val="Char,Comment Text Char"/>
    <w:basedOn w:val="Normal"/>
    <w:link w:val="CommentTextChar1"/>
    <w:uiPriority w:val="99"/>
    <w:unhideWhenUsed/>
    <w:qFormat/>
    <w:rsid w:val="00DB125E"/>
    <w:pPr>
      <w:spacing w:after="200"/>
    </w:pPr>
    <w:rPr>
      <w:rFonts w:ascii="Calibri" w:eastAsia="Calibri" w:hAnsi="Calibri"/>
      <w:sz w:val="20"/>
      <w:szCs w:val="20"/>
      <w:lang w:eastAsia="x-none"/>
    </w:rPr>
  </w:style>
  <w:style w:type="character" w:customStyle="1" w:styleId="CommentTextChar1">
    <w:name w:val="Comment Text Char1"/>
    <w:aliases w:val="Char Char,Comment Text Char Char"/>
    <w:basedOn w:val="DefaultParagraphFont"/>
    <w:link w:val="CommentText"/>
    <w:uiPriority w:val="99"/>
    <w:qFormat/>
    <w:rsid w:val="00DB125E"/>
    <w:rPr>
      <w:rFonts w:ascii="Calibri" w:eastAsia="Calibri" w:hAnsi="Calibri" w:cs="Times New Roman"/>
      <w:sz w:val="20"/>
      <w:szCs w:val="20"/>
      <w:lang w:val="ro-RO" w:eastAsia="x-none"/>
    </w:rPr>
  </w:style>
  <w:style w:type="paragraph" w:styleId="BalloonText">
    <w:name w:val="Balloon Text"/>
    <w:basedOn w:val="Normal"/>
    <w:link w:val="BalloonTextChar"/>
    <w:uiPriority w:val="99"/>
    <w:semiHidden/>
    <w:unhideWhenUsed/>
    <w:rsid w:val="00DB12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25E"/>
    <w:rPr>
      <w:rFonts w:ascii="Segoe UI" w:eastAsia="Times New Roman" w:hAnsi="Segoe UI" w:cs="Segoe UI"/>
      <w:sz w:val="18"/>
      <w:szCs w:val="18"/>
      <w:lang w:eastAsia="hu-HU"/>
    </w:rPr>
  </w:style>
  <w:style w:type="paragraph" w:styleId="ListParagraph">
    <w:name w:val="List Paragraph"/>
    <w:basedOn w:val="Normal"/>
    <w:uiPriority w:val="34"/>
    <w:qFormat/>
    <w:rsid w:val="008246FC"/>
    <w:pPr>
      <w:ind w:left="720"/>
      <w:contextualSpacing/>
    </w:pPr>
  </w:style>
  <w:style w:type="character" w:styleId="Emphasis">
    <w:name w:val="Emphasis"/>
    <w:basedOn w:val="DefaultParagraphFont"/>
    <w:uiPriority w:val="20"/>
    <w:qFormat/>
    <w:rsid w:val="007A1FAA"/>
    <w:rPr>
      <w:i/>
      <w:iCs/>
    </w:rPr>
  </w:style>
  <w:style w:type="paragraph" w:styleId="CommentSubject">
    <w:name w:val="annotation subject"/>
    <w:basedOn w:val="CommentText"/>
    <w:next w:val="CommentText"/>
    <w:link w:val="CommentSubjectChar"/>
    <w:uiPriority w:val="99"/>
    <w:semiHidden/>
    <w:unhideWhenUsed/>
    <w:rsid w:val="002D6BBD"/>
    <w:pPr>
      <w:spacing w:after="0"/>
    </w:pPr>
    <w:rPr>
      <w:rFonts w:ascii="Times New Roman" w:eastAsia="Times New Roman" w:hAnsi="Times New Roman"/>
      <w:b/>
      <w:bCs/>
      <w:lang w:eastAsia="hu-HU"/>
    </w:rPr>
  </w:style>
  <w:style w:type="character" w:customStyle="1" w:styleId="CommentSubjectChar">
    <w:name w:val="Comment Subject Char"/>
    <w:basedOn w:val="CommentTextChar1"/>
    <w:link w:val="CommentSubject"/>
    <w:uiPriority w:val="99"/>
    <w:semiHidden/>
    <w:rsid w:val="002D6BBD"/>
    <w:rPr>
      <w:rFonts w:ascii="Times New Roman" w:eastAsia="Times New Roman" w:hAnsi="Times New Roman" w:cs="Times New Roman"/>
      <w:b/>
      <w:bCs/>
      <w:sz w:val="20"/>
      <w:szCs w:val="20"/>
      <w:lang w:val="ro-RO"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39102">
      <w:bodyDiv w:val="1"/>
      <w:marLeft w:val="0"/>
      <w:marRight w:val="0"/>
      <w:marTop w:val="0"/>
      <w:marBottom w:val="0"/>
      <w:divBdr>
        <w:top w:val="none" w:sz="0" w:space="0" w:color="auto"/>
        <w:left w:val="none" w:sz="0" w:space="0" w:color="auto"/>
        <w:bottom w:val="none" w:sz="0" w:space="0" w:color="auto"/>
        <w:right w:val="none" w:sz="0" w:space="0" w:color="auto"/>
      </w:divBdr>
    </w:div>
    <w:div w:id="269245879">
      <w:bodyDiv w:val="1"/>
      <w:marLeft w:val="0"/>
      <w:marRight w:val="0"/>
      <w:marTop w:val="0"/>
      <w:marBottom w:val="0"/>
      <w:divBdr>
        <w:top w:val="none" w:sz="0" w:space="0" w:color="auto"/>
        <w:left w:val="none" w:sz="0" w:space="0" w:color="auto"/>
        <w:bottom w:val="none" w:sz="0" w:space="0" w:color="auto"/>
        <w:right w:val="none" w:sz="0" w:space="0" w:color="auto"/>
      </w:divBdr>
    </w:div>
    <w:div w:id="1238516932">
      <w:bodyDiv w:val="1"/>
      <w:marLeft w:val="0"/>
      <w:marRight w:val="0"/>
      <w:marTop w:val="0"/>
      <w:marBottom w:val="0"/>
      <w:divBdr>
        <w:top w:val="none" w:sz="0" w:space="0" w:color="auto"/>
        <w:left w:val="none" w:sz="0" w:space="0" w:color="auto"/>
        <w:bottom w:val="none" w:sz="0" w:space="0" w:color="auto"/>
        <w:right w:val="none" w:sz="0" w:space="0" w:color="auto"/>
      </w:divBdr>
    </w:div>
    <w:div w:id="177578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3DE22-5A29-45DC-B5E5-077A39BBC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1520</Words>
  <Characters>8665</Characters>
  <Application>Microsoft Office Word</Application>
  <DocSecurity>0</DocSecurity>
  <Lines>72</Lines>
  <Paragraphs>20</Paragraphs>
  <ScaleCrop>false</ScaleCrop>
  <HeadingPairs>
    <vt:vector size="2" baseType="variant">
      <vt:variant>
        <vt:lpstr>Cím</vt:lpstr>
      </vt:variant>
      <vt:variant>
        <vt:i4>1</vt:i4>
      </vt:variant>
    </vt:vector>
  </HeadingPairs>
  <TitlesOfParts>
    <vt:vector size="1" baseType="lpstr">
      <vt:lpstr/>
    </vt:vector>
  </TitlesOfParts>
  <Company>BM</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Nádasdy-Horváth Benedek dr.</dc:creator>
  <cp:keywords/>
  <dc:description/>
  <cp:lastModifiedBy>Dimitris Dimitriadis</cp:lastModifiedBy>
  <cp:revision>3</cp:revision>
  <cp:lastPrinted>2023-03-28T12:44:00Z</cp:lastPrinted>
  <dcterms:created xsi:type="dcterms:W3CDTF">2023-04-11T08:39:00Z</dcterms:created>
  <dcterms:modified xsi:type="dcterms:W3CDTF">2023-04-17T07:18:00Z</dcterms:modified>
</cp:coreProperties>
</file>