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20" w:type="dxa"/>
        <w:jc w:val="center"/>
        <w:tblLayout w:type="fixed"/>
        <w:tblCellMar>
          <w:left w:w="70" w:type="dxa"/>
          <w:right w:w="70" w:type="dxa"/>
        </w:tblCellMar>
        <w:tblLook w:val="0000" w:firstRow="0" w:lastRow="0" w:firstColumn="0" w:lastColumn="0" w:noHBand="0" w:noVBand="0"/>
      </w:tblPr>
      <w:tblGrid>
        <w:gridCol w:w="10820"/>
      </w:tblGrid>
      <w:tr w:rsidR="00C93CCC" w14:paraId="38FF51DE" w14:textId="77777777" w:rsidTr="00546D77">
        <w:trPr>
          <w:trHeight w:hRule="exact" w:val="1884"/>
          <w:jc w:val="center"/>
        </w:trPr>
        <w:tc>
          <w:tcPr>
            <w:tcW w:w="10820" w:type="dxa"/>
            <w:vAlign w:val="center"/>
          </w:tcPr>
          <w:p w14:paraId="4EB9625C" w14:textId="77777777" w:rsidR="00C93CCC" w:rsidRDefault="00C93CCC">
            <w:pPr>
              <w:pStyle w:val="Header"/>
              <w:tabs>
                <w:tab w:val="clear" w:pos="4252"/>
                <w:tab w:val="clear" w:pos="8504"/>
              </w:tabs>
              <w:ind w:left="360" w:right="172"/>
              <w:jc w:val="center"/>
              <w:rPr>
                <w:rFonts w:ascii="Arial" w:hAnsi="Arial"/>
                <w:sz w:val="20"/>
              </w:rPr>
            </w:pPr>
            <w:r>
              <w:rPr>
                <w:rFonts w:ascii="Arial" w:hAnsi="Arial"/>
                <w:sz w:val="20"/>
              </w:rPr>
              <w:t>Navrhuje se Radě ministrů schválit tento návrh právního předpisu:</w:t>
            </w:r>
          </w:p>
        </w:tc>
      </w:tr>
    </w:tbl>
    <w:p w14:paraId="35F48173" w14:textId="77777777" w:rsidR="00C93CCC" w:rsidRDefault="00C93CCC">
      <w:pPr>
        <w:pStyle w:val="Header"/>
        <w:tabs>
          <w:tab w:val="clear" w:pos="4252"/>
          <w:tab w:val="clear" w:pos="8504"/>
        </w:tabs>
        <w:ind w:left="360" w:right="172"/>
        <w:rPr>
          <w:rFonts w:ascii="Arial" w:hAnsi="Arial"/>
          <w:spacing w:val="4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73"/>
      </w:tblGrid>
      <w:tr w:rsidR="00C93CCC" w14:paraId="0FABBEB3" w14:textId="77777777" w:rsidTr="00546D77">
        <w:trPr>
          <w:trHeight w:hRule="exact" w:val="2220"/>
          <w:jc w:val="center"/>
        </w:trPr>
        <w:tc>
          <w:tcPr>
            <w:tcW w:w="10773" w:type="dxa"/>
            <w:tcBorders>
              <w:bottom w:val="single" w:sz="4" w:space="0" w:color="auto"/>
            </w:tcBorders>
          </w:tcPr>
          <w:p w14:paraId="0016DD6A" w14:textId="77777777" w:rsidR="00C93CCC" w:rsidRPr="00546D77" w:rsidRDefault="00C93CCC">
            <w:pPr>
              <w:pStyle w:val="Header"/>
              <w:tabs>
                <w:tab w:val="clear" w:pos="4252"/>
                <w:tab w:val="clear" w:pos="8504"/>
              </w:tabs>
              <w:ind w:left="461" w:right="172"/>
              <w:jc w:val="both"/>
              <w:rPr>
                <w:rFonts w:ascii="Arial" w:hAnsi="Arial"/>
              </w:rPr>
            </w:pPr>
          </w:p>
          <w:p w14:paraId="0838EDAC" w14:textId="77777777" w:rsidR="00C93CCC" w:rsidRPr="008577E8" w:rsidRDefault="00C93CCC">
            <w:pPr>
              <w:tabs>
                <w:tab w:val="left" w:pos="1080"/>
              </w:tabs>
              <w:spacing w:line="360" w:lineRule="atLeast"/>
              <w:ind w:left="461" w:right="170"/>
              <w:jc w:val="both"/>
              <w:rPr>
                <w:rFonts w:ascii="Arial" w:hAnsi="Arial"/>
              </w:rPr>
            </w:pPr>
          </w:p>
          <w:p w14:paraId="2F91487E" w14:textId="724261EC" w:rsidR="00FD453F" w:rsidRPr="00FD453F" w:rsidRDefault="00FD453F" w:rsidP="00FD453F">
            <w:pPr>
              <w:ind w:left="247" w:right="183"/>
              <w:jc w:val="both"/>
              <w:rPr>
                <w:rFonts w:cs="Calibri"/>
                <w:b/>
              </w:rPr>
            </w:pPr>
            <w:r>
              <w:rPr>
                <w:b/>
              </w:rPr>
              <w:t>Návrh královského výnosu, kterým se mění technický stavební řád, schválený královským výnosem č. 314/2006 ze dne 17. března 2006.</w:t>
            </w:r>
          </w:p>
          <w:p w14:paraId="0B02A1E0" w14:textId="77777777" w:rsidR="00C93CCC" w:rsidRDefault="00C93CCC">
            <w:pPr>
              <w:tabs>
                <w:tab w:val="left" w:pos="1080"/>
              </w:tabs>
              <w:spacing w:line="360" w:lineRule="atLeast"/>
              <w:ind w:left="461" w:right="170"/>
              <w:jc w:val="both"/>
              <w:rPr>
                <w:rFonts w:ascii="Arial" w:hAnsi="Arial"/>
              </w:rPr>
            </w:pPr>
          </w:p>
          <w:p w14:paraId="7F08CCF5" w14:textId="77777777" w:rsidR="00C93CCC" w:rsidRDefault="00C93CCC">
            <w:pPr>
              <w:tabs>
                <w:tab w:val="left" w:pos="1080"/>
              </w:tabs>
              <w:spacing w:line="360" w:lineRule="atLeast"/>
              <w:ind w:left="357" w:right="170"/>
              <w:jc w:val="both"/>
              <w:rPr>
                <w:rFonts w:ascii="Arial" w:hAnsi="Arial"/>
                <w:b/>
                <w:sz w:val="28"/>
                <w:lang w:val="es-ES_tradnl"/>
              </w:rPr>
            </w:pPr>
          </w:p>
        </w:tc>
      </w:tr>
    </w:tbl>
    <w:p w14:paraId="4ABF8576" w14:textId="77777777" w:rsidR="00C93CCC" w:rsidRDefault="00C93CCC">
      <w:pPr>
        <w:ind w:left="360" w:right="172"/>
        <w:jc w:val="both"/>
      </w:pPr>
    </w:p>
    <w:p w14:paraId="306FCEB1" w14:textId="77777777" w:rsidR="00C93CCC" w:rsidRDefault="00C93CCC">
      <w:pPr>
        <w:spacing w:line="360" w:lineRule="atLeast"/>
        <w:ind w:left="357" w:right="170"/>
        <w:jc w:val="both"/>
      </w:pPr>
    </w:p>
    <w:p w14:paraId="4C59397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p w14:paraId="59E0450F" w14:textId="63AAAB00" w:rsidR="000760AB" w:rsidRPr="00CE0018" w:rsidRDefault="000760AB" w:rsidP="000760AB">
      <w:pPr>
        <w:spacing w:after="160" w:line="259" w:lineRule="auto"/>
        <w:jc w:val="both"/>
        <w:rPr>
          <w:rFonts w:ascii="Calibri" w:eastAsia="Calibri" w:hAnsi="Calibri" w:cs="Calibri"/>
          <w:sz w:val="22"/>
          <w:szCs w:val="22"/>
        </w:rPr>
      </w:pPr>
      <w:r>
        <w:rPr>
          <w:rFonts w:ascii="Calibri" w:hAnsi="Calibri"/>
          <w:sz w:val="22"/>
        </w:rPr>
        <w:t>Zákon č. 38/1999 ze dne 5. listopadu 1999 o stavebních předpisech definuje technický stavební řád jako regulační rámec, který stanoví základní požadavky na kvalitu budov a jejich zařízení a který umožňuje splnění základních požadavků stanovených v článku 3. Technický stavební řád stanovený v tomto zákoně byl schválen královským výnosem č. 314/2006 ze dne 17. března 2006. Základní dokumenty, které tvoří část II technického stavebního řádu, a případně kvantifikují základní požadavky stanovené v části I stanovením cílových úrovní náročnosti nebo limitů nebo jiných parametrů. Zejména základní dokument DB-HE „Energetické úspory“ specifikuje a kvantifikuje požadavky na energetickou účinnost, které mají nově postavené budovy splňovat, jakož i zásahy do stávajících budov.</w:t>
      </w:r>
    </w:p>
    <w:p w14:paraId="0BC6392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Dne 30. května 2018 byla přijata směrnice Evropského parlamentu a Rady (EU) 2018/844, kterou se mění směrnice 2010/31/EU o energetické náročnosti budov a směrnice 2012/27/EU o energetické účinnosti.</w:t>
      </w:r>
    </w:p>
    <w:p w14:paraId="4E8A50F3"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Tato směrnice podporuje zavedení cílených požadavků na zavádění infrastruktury pro nabíjení elektrických vozidel v parkovištích budov. Odvětví stavebnictví i mobility proto jsou strategickými oblastmi pro celkovou dekarbonizaci hospodářství s regulačním rámcem, jehož cílem je podpořit inovace, udržitelnost a energetickou účinnost v těchto odvětvích.</w:t>
      </w:r>
    </w:p>
    <w:p w14:paraId="2B504954"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Rozvoj infrastruktury pro inteligentní nabíjení elektrických vozidel přispěje k energetickému řízení a flexibilitě, využívání obnovitelných zdrojů energie a zlepšení kvality ovzduší a její energetická náročnost se bude optimalizovat prostřednictvím rozsáhlejší digitalizace budov a začleňování nových technologií do této oblasti.</w:t>
      </w:r>
    </w:p>
    <w:p w14:paraId="4219E732"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Integrovaný vnitrostátní plán v oblasti energetiky a klimatu na období 2021–2030 (PNIEC), který Španělsko předložilo Evropské komisi, předpokládá podporu elektrické mobility jako opatření ke snížení spotřeby energie a emisí vozidel prostřednictvím přizpůsobení právních předpisů a začlenění právních předpisů Evropské unie umožňujících zavedení infrastruktury pro nabíjení elektrických vozidel v souladu s rozvojem elektrifikace vozového parku, jakož i prostřednictvím dalších mechanismů povzbuzení a podpory. </w:t>
      </w:r>
    </w:p>
    <w:p w14:paraId="76C72E2C"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Za účelem dosažení těchto cílů a částečného provedení směrnice v tomto ohledu zavádí tento královský výnos do technického stavebního řádu nový základní požadavek na úsporu energie týkající se minimálních počtů zařízení </w:t>
      </w:r>
      <w:r>
        <w:rPr>
          <w:rFonts w:ascii="Calibri" w:hAnsi="Calibri"/>
          <w:sz w:val="22"/>
        </w:rPr>
        <w:lastRenderedPageBreak/>
        <w:t xml:space="preserve">infrastruktury pro nabíjení elektrických vozidel, který je rozvíjen v nové sekci HE 6 „Minimální počet zařízení infrastruktury pro nabíjení elektrických vozidel“ základního dokumentu DB-HE „Úspory energie“. </w:t>
      </w:r>
    </w:p>
    <w:p w14:paraId="524332F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Na druhou stranu je třeba poznamenat, že zákon 7/2021 ze dne 20. května 2021 o změně klimatu a transformaci energetiky v čl. 15 odst. 10 odkazuje na technický stavební řád, takže tento předpis stanoví minimální počet zařízení infrastruktury pro nabíjení elektrických vozidel pro stávající budovy určené k jinému použití než k soukromému bydlení, které mají parkovací plochu s více než dvaceti místy, ať už uvnitř nebo ve vyhrazeném venkovním prostoru, přičemž ustanovení o minimálním počtu zařízení by měla nabýt účinnosti do 1. ledna 2023. Tento minimální počet zařízení však byl nakonec stanoven královským zákonným výnosem 29/2021 ze dne 21. prosince 2021, kterým se přijímají naléhavá opatření v oblasti energetiky na podporu elektrické mobility, vlastní spotřeby a zavádění energie z obnovitelných zdrojů, který tento požadavek zahrnuje v článku 4. </w:t>
      </w:r>
    </w:p>
    <w:p w14:paraId="7707E80D"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Za účelem dokončení regulace infrastruktury pro nabíjení elektrických vozidel byl také pozměněn královský výnos 1053/2014 ze dne 12. prosince 2014, kterým se schvaluje nový dodatečný technický pokyn (ITC) BT 52 „Zařízení pro zvláštní účely. Infrastruktura pro nabíjení elektrických vozidel“ předpisu pro nízkonapěťové elektrotechnické systémy, schváleného královským výnosem 842/2002 ze dne 2. srpna 2002, a mění se i jeho další dodatečné technické pokyny.</w:t>
      </w:r>
    </w:p>
    <w:p w14:paraId="055E3A4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Kromě toho plán PNIEC jako opatření na podporu energie z obnovitelných zdrojů, zlepšení konkurenceschopnosti výrobních odvětví a motivování spotřebitelů k tomu, aby se více zapojili v oblasti nakládání s jejich energií, stanoví rozvoj vlastní spotřeby energie z obnovitelných zdrojů a distribuované výroby v obytných a podnikatelských oblastech. </w:t>
      </w:r>
    </w:p>
    <w:p w14:paraId="0AED8916"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V tomto ohledu schválení královského výnosu č. 244/2019 ze dne 5. dubna 2019, kterým se upravují administrativní, technické a hospodářské podmínky vlastní spotřeby elektřiny, umožnilo mimo jiné kolektivní vlastní spotřebu a zároveň omezilo správní postupy, pokud jde o provádění vlastní spotřeby. Proto se má za to, že stávající právní rámec umožňuje rozšířit oblast působnosti základního požadavku HE 5 týkajícího se minimální výroby elektřiny z obnovitelných zdrojů elektřiny, a to jak tím, že se stane použitelným v budovách pro soukromé bydlení, tak snížením prahu zastavěné plochy v budovách pro všechny způsoby využití, na něž se požadavek vztahuje. </w:t>
      </w:r>
    </w:p>
    <w:p w14:paraId="55B0D0A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Kromě toho se považuje za nezbytné změnit některé oddíly základních dokumentů DB-HE „Úspora energie“</w:t>
      </w:r>
      <w:bookmarkStart w:id="0" w:name="_Hlk92819359"/>
      <w:bookmarkEnd w:id="0"/>
      <w:r>
        <w:rPr>
          <w:rFonts w:ascii="Calibri" w:hAnsi="Calibri"/>
          <w:sz w:val="22"/>
        </w:rPr>
        <w:t xml:space="preserve"> a DB-HS „Nezávadnost“ s cílem usnadnit jejich uplatňování a v konkrétních bodech změnit základní dokument DB-SUA „Bezpečnost použití a přístupnost“ tak, aby zahrnoval kritéria přístupnosti pro dobíjecí stanice u přístupných parkovacích míst.  </w:t>
      </w:r>
    </w:p>
    <w:p w14:paraId="7B428C2F" w14:textId="1C0D714C"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Změna technického stavebního rádu týkající se začlenění nové sekce HE 6 „Minimální počet zařízení infrastruktury pro nabíjení elektrických vozidel“ základního dokumentu DB-HE o energetických úsporách, jakož i změna královského výnosu 1053/2014 ze dne 12. prosince 2014, kterým se schvaluje nový dodatečný technický pokyn (ITC) BT 52, který je součástí prvního závěrečného ustanovení, jsou součástí legislativních reforem předpokládaných v plánu na podporu oživení, transformace a odolnosti (PRTR). Konkrétně složka 1 plánu PRTR „Udržitelný, bezpečný a propojený plán pro nárazové situace v oblasti mobility v městském a metropolitním prostředí“ zahrnuje schválení tohoto královského výnosu, kterým se provádějí výše uvedené legislativní reformy v rámci reformy C1.R1 nazvané „Plán pro zavádění dobíjecí infrastruktury a podporu elektrických vozidel“.  Reforma C1.R1 je navržena jako právní, regulační a strategický rámec pro usnadnění zavádění dobíjecí infrastruktury na podporu elektrických vozidel ve Španělsku a má dva milníky. První z nich je tvořen nařízením TMA/178/2020 ze dne 19. února 2020, kterým se mění nařízení ze dne 16. prosince 1997, které upravuje přístup ke státním silnicím, obslužným silnicím a výstavbu zařízení služeb, a královským výnosem č. 23/2020 ze dne 23. června 2020, kterým se schvalují opatření v oblasti energetiky a dalších oblastech pro reaktivaci hospodářství. Druhý milník reformy C1.R1 zahrnuje schválení tohoto královského výnosu, kterým se mění technický stavební řád a královský výnos 1053/2014 ze dne 12. prosince 2014, kterým se schvaluje nový dodatečný technický pokyn (ITC) BT 52.  Časově závazným milníkem pro tuto reformu je nabytí účinnosti královského výnosu, který ji upravuje, před 30. červnem 2022. Reforma C1.R1 je spojena s investicí C1.I2 „Plán pobídek pro instalaci dobíjecích </w:t>
      </w:r>
      <w:r>
        <w:rPr>
          <w:rFonts w:ascii="Calibri" w:hAnsi="Calibri"/>
          <w:sz w:val="22"/>
        </w:rPr>
        <w:lastRenderedPageBreak/>
        <w:t xml:space="preserve">stanic, pořízení elektrických vozidel a vozidel s palivovými články a inovace v oblasti elektromobility, nabíjení a zeleného vodíku“. Tato investice zahrnuje linie podpory pro instalaci dobíjecích stanic uvedených v královském výnosu 266/2021 ze dne 13. dubna 2021, kterým se schvaluje přímé poskytování podpory autonomním společenstvím a územím Ceuta a Melilla na provádění pobídkových programů souvisejících s elektrickou mobilitou (MOVES III) v rámci plánu PRTR. </w:t>
      </w:r>
    </w:p>
    <w:p w14:paraId="4308D34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Tento královský výnos respektuje zásadu významně nepoškozovat životní prostředí („Do No Significant Harm“, DNSH) a podmínky pro klimatické a digitální označování v souladu s ustanoveními plánu PRTR, nařízením Evropského parlamentu a Rady (EU) 2021/241 ze dne 12. února 2021, kterým se zřizuje Nástroj pro oživení a odolnost, a jeho prováděcími právními předpisy, zejména oznámením Komise Technické pokyny k uplatňování zásady „významně nepoškozovat“ podle nařízení o Nástroji pro oživení a odolnost, jakož i požadavky prováděcího rozhodnutí Rady o schválení posouzení plánu na podporu oživení, transformace a odolnosti Španělska. To zahrnuje soulad se zvláštními podmínkami stanovenými ve složce 1, jakož i v reformě 1, v rámci které je tento královský výnos formulován, a to jak s ohledem na zásadu významně nepoškozovat životní prostředí, tak s ohledem na klimatické a digitální označování, a zejména na podmínky uvedené v oddílech 3, 6 a 8 dokumentu složky plánu PRTR. Investice C1.I2 plánu PRTR, spojené s reformou C1.R1, rovněž respektují zásadu významně nepoškozovat životní prostředí a podmínky v oblasti klimatického a digitálního označování. </w:t>
      </w:r>
    </w:p>
    <w:p w14:paraId="449DE2FF"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Tento královský výnos je v souladu se zásadami nezbytnosti, účinnosti, proporcionality, právní jistoty, transparentnosti a efektivity stanovenými v článku 129 zákona č. 39/2015 ze dne 1. října 2015 o společném správním řízení před orgány veřejné správy. Pokud jde o zásady nezbytnosti a účinnosti, zákon reaguje na povinnost provést evropské směrnice do vnitrostátního práva a je v souladu s cíli obecného zájmu, jako je přizpůsobení stavební infrastruktury na podporu udržitelné mobility a využívání energie z obnovitelných zdrojů. To povede k blahobytu ve společnosti a ochraně životního prostředí. Tento královský výnos je rovněž v souladu se zásadou proporcionality, neboť poskytuje nezbytné a dostatečné prostředky k provedení právního mandátu stanoveného směrnicí, nevyžaduje však inovaci, která by mohla být nadbytečná nebo překračující zákonné požadavky, ani nevede k omezení práv občanů. Tento předpis splňuje zásadu právní jistoty, neboť byl vypracován v souladu s postupy stanovenými v zákoně č. 50/1997 ze dne 27. listopadu 1997 o vládě a zásadou transparentnosti, neboť jasně vymezuje svůj účel a jeho veřejně přístupná důvodová zpráva v plném rozsahu vysvětluje jeho obsah. A konečně je v souladu se zásadou efektivity, protože neukládá žádnou administrativní zátěž.</w:t>
      </w:r>
    </w:p>
    <w:p w14:paraId="781A1DCF"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Tento obecný předpis byl podroben postupům předchozí veřejné konzultace a veřejného projednání a poskytování informací veřejnosti stanoveným v čl. 26 zákona 50/1997 ze dne 27. listopadu 1997 ze strany vlády, jakož i informačnímu postupu v oblasti technických předpisů a předpisů pro služby informační společnosti, jak je stanoveno ve směrnici Evropského parlamentu a Rady (EU) 2015/1535 ze dne 9. září 2015 a v královském výnosu 1337/1999 ze dne 31. července 1999.</w:t>
      </w:r>
    </w:p>
    <w:p w14:paraId="1CF691DA" w14:textId="0555DF60"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Na základě toho na návrh ministryně dopravy, mobility a městské agendy a ministryně pro ekologickou transformaci a demografickou výzvu po dohodě se Státní radou a po jednáních Rady ministrů na jejím zasedání dne</w:t>
      </w:r>
    </w:p>
    <w:p w14:paraId="3A461137" w14:textId="77777777" w:rsidR="000760AB" w:rsidRPr="000760AB" w:rsidRDefault="000760AB" w:rsidP="000760AB">
      <w:pPr>
        <w:spacing w:after="160" w:line="259" w:lineRule="auto"/>
        <w:jc w:val="both"/>
        <w:rPr>
          <w:rFonts w:ascii="Calibri" w:eastAsia="Calibri" w:hAnsi="Calibri" w:cs="Calibri"/>
          <w:sz w:val="22"/>
          <w:szCs w:val="22"/>
          <w:lang w:eastAsia="en-US"/>
        </w:rPr>
      </w:pPr>
    </w:p>
    <w:p w14:paraId="2D0F4D96" w14:textId="77777777" w:rsidR="000760AB" w:rsidRPr="000760AB" w:rsidRDefault="000760AB" w:rsidP="000760AB">
      <w:pPr>
        <w:spacing w:after="160" w:line="259" w:lineRule="auto"/>
        <w:jc w:val="center"/>
        <w:rPr>
          <w:rFonts w:ascii="Calibri" w:eastAsia="Calibri" w:hAnsi="Calibri" w:cs="Calibri"/>
          <w:sz w:val="22"/>
          <w:szCs w:val="22"/>
        </w:rPr>
      </w:pPr>
      <w:r>
        <w:rPr>
          <w:rFonts w:ascii="Calibri" w:hAnsi="Calibri"/>
          <w:sz w:val="22"/>
        </w:rPr>
        <w:t>SE NAŘIZUJE NÁSLEDUJÍCÍ:</w:t>
      </w:r>
    </w:p>
    <w:p w14:paraId="3F204ED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Jediný článek. </w:t>
      </w:r>
      <w:r>
        <w:rPr>
          <w:rFonts w:ascii="Calibri" w:hAnsi="Calibri"/>
          <w:i/>
          <w:sz w:val="22"/>
        </w:rPr>
        <w:t>Změna technického stavebního řádu, schváleného královským výnosem 314/2006 ze dne 17. března 2006.</w:t>
      </w:r>
    </w:p>
    <w:p w14:paraId="557D04F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Technický stavební řád, který je schválen královským výnosem 314/2006 ze dne 17. března 2006 se mění takto:</w:t>
      </w:r>
    </w:p>
    <w:p w14:paraId="38344B6D"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Zaprvé. Obsah v části I se mění takto:</w:t>
      </w:r>
    </w:p>
    <w:p w14:paraId="493E6A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Znění „15.6. Základní požadavek HE5: Minimální výroba elektrické energie“ mění takto:</w:t>
      </w:r>
    </w:p>
    <w:p w14:paraId="7A81777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Základní požadavek HE 5: Minimální výroba elektrické energie z obnovitelných zdrojů“</w:t>
      </w:r>
    </w:p>
    <w:p w14:paraId="53D132D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Do odkazu na článek 15 se vkládá nový bod, který zní:</w:t>
      </w:r>
    </w:p>
    <w:p w14:paraId="1B97A8C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Základní požadavek HE6: Minimální počet zařízení infrastruktury pro nabíjení elektrických vozidel.</w:t>
      </w:r>
    </w:p>
    <w:p w14:paraId="24330295"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Zadruhé. Článek 15 části I se mění takto:</w:t>
      </w:r>
    </w:p>
    <w:p w14:paraId="53F6E69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Bod 15.6 se mění takto:</w:t>
      </w:r>
    </w:p>
    <w:p w14:paraId="41FA291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Základní požadavek HE 5: Minimální výroba elektrické energie z obnovitelných zdrojů.</w:t>
      </w:r>
    </w:p>
    <w:p w14:paraId="35075490"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Budovy musí mít systémy výroby elektřiny z obnovitelných zdrojů pro svou vlastní potřebu nebo pro dodávky do sítě.“</w:t>
      </w:r>
    </w:p>
    <w:p w14:paraId="7543DFC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Doplňuje se nový oddíl 15.7, který zní:</w:t>
      </w:r>
    </w:p>
    <w:p w14:paraId="47ED53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Základní požadavek HE 6: Minimální počet zařízení infrastruktury pro nabíjení elektrických vozidel.</w:t>
      </w:r>
    </w:p>
    <w:p w14:paraId="76AA215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Budovy musí mít minimální infrastrukturu umožňující dobíjení elektrických vozidel.“</w:t>
      </w:r>
    </w:p>
    <w:p w14:paraId="77CE8C8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Zatřetí. V základním dokumentu DB-HE „Úspora energie“ uvedeném v části II se provádějí tyto změny:</w:t>
      </w:r>
    </w:p>
    <w:p w14:paraId="49F2FE06"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V prvním pododstavci oddílu I „Předmět“ v části „Úvod“ ve větě „Oddíly tohoto DB odpovídají základním požadavkům HE 0a až HE 5“ se slova „HE 5“ nahrazují slovy „HE 6“.</w:t>
      </w:r>
    </w:p>
    <w:p w14:paraId="0A080F50"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V oddílu I „Předmět“ v části „Úvod“ se odkaz na článek 15.6 části I technického stavebního řádu mění takto:</w:t>
      </w:r>
    </w:p>
    <w:p w14:paraId="72402F7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Základní požadavek HE 5: Minimální výroba elektrické energie z obnovitelných zdrojů.</w:t>
      </w:r>
    </w:p>
    <w:p w14:paraId="2369423E" w14:textId="77777777" w:rsidR="000760AB" w:rsidRPr="000760AB" w:rsidRDefault="000760AB" w:rsidP="000760AB">
      <w:pPr>
        <w:spacing w:after="162" w:line="259" w:lineRule="auto"/>
        <w:ind w:left="284"/>
        <w:jc w:val="both"/>
        <w:rPr>
          <w:rFonts w:ascii="Calibri" w:eastAsia="Calibri" w:hAnsi="Calibri" w:cs="Calibri"/>
          <w:sz w:val="22"/>
          <w:szCs w:val="22"/>
        </w:rPr>
      </w:pPr>
      <w:r>
        <w:rPr>
          <w:rFonts w:ascii="Calibri" w:hAnsi="Calibri"/>
          <w:sz w:val="22"/>
        </w:rPr>
        <w:t>Budovy musí mít systémy výroby elektřiny z obnovitelných zdrojů pro svou vlastní potřebu nebo pro dodávky do sítě.“</w:t>
      </w:r>
    </w:p>
    <w:p w14:paraId="181F1AEB"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V oddílu I „Předmět“ v části „Úvod“ se do odkazu na článek 15 části I technického stavebního řádu na konci dokumentu technického stavebního řádu vkládá nový bod, který zní:</w:t>
      </w:r>
    </w:p>
    <w:p w14:paraId="7C586D67"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Základní požadavek HE 6: Minimální počet zařízení infrastruktury pro nabíjení elektrických vozidel.</w:t>
      </w:r>
    </w:p>
    <w:p w14:paraId="676A05E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Budovy musí mít minimální infrastrukturu umožňující dobíjení </w:t>
      </w:r>
      <w:r>
        <w:rPr>
          <w:rFonts w:ascii="Calibri" w:hAnsi="Calibri"/>
          <w:i/>
          <w:sz w:val="22"/>
        </w:rPr>
        <w:t>elektrických vozidel</w:t>
      </w:r>
      <w:r>
        <w:rPr>
          <w:rFonts w:ascii="Calibri" w:hAnsi="Calibri"/>
          <w:sz w:val="22"/>
        </w:rPr>
        <w:t>.“</w:t>
      </w:r>
    </w:p>
    <w:p w14:paraId="69721229"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V obsahu se název sekce HE 5 mění takto:</w:t>
      </w:r>
    </w:p>
    <w:p w14:paraId="582FB085" w14:textId="6A9EA674" w:rsid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„Sekce HE 5 Minimální výroba elektrické energie z obnovitelných zdrojů.“</w:t>
      </w:r>
    </w:p>
    <w:p w14:paraId="6364AA7F"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3893C14C"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Do odkazu na článek 15 v obsahu se vkládá nový bod, který zní:</w:t>
      </w:r>
    </w:p>
    <w:p w14:paraId="176B586E" w14:textId="77777777" w:rsidR="000760AB" w:rsidRPr="000760AB" w:rsidRDefault="000760AB" w:rsidP="000760AB">
      <w:pPr>
        <w:tabs>
          <w:tab w:val="left" w:pos="7938"/>
        </w:tabs>
        <w:spacing w:after="160" w:line="259" w:lineRule="auto"/>
        <w:ind w:left="284"/>
        <w:contextualSpacing/>
        <w:jc w:val="both"/>
        <w:rPr>
          <w:rFonts w:ascii="Calibri" w:eastAsia="Calibri" w:hAnsi="Calibri" w:cs="Calibri"/>
          <w:sz w:val="22"/>
          <w:szCs w:val="22"/>
        </w:rPr>
      </w:pPr>
      <w:r>
        <w:rPr>
          <w:rFonts w:ascii="Calibri" w:hAnsi="Calibri"/>
          <w:sz w:val="22"/>
        </w:rPr>
        <w:t>„Sekce HE 6 Minimální počet zařízení infrastruktury pro nabíjení elektrických vozidel</w:t>
      </w:r>
    </w:p>
    <w:p w14:paraId="0C2C22F2"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Oblast působnosti</w:t>
      </w:r>
    </w:p>
    <w:p w14:paraId="14454D1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Popis požadavku</w:t>
      </w:r>
    </w:p>
    <w:p w14:paraId="41AC625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Kvantifikace požadavku</w:t>
      </w:r>
    </w:p>
    <w:p w14:paraId="0D46B4A0"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Odůvodnění požadavku</w:t>
      </w:r>
    </w:p>
    <w:p w14:paraId="6C8C16FE"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Výstavba, údržba a udržování</w:t>
      </w:r>
    </w:p>
    <w:p w14:paraId="555B094E"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5.1</w:t>
      </w:r>
      <w:r>
        <w:rPr>
          <w:rFonts w:ascii="Calibri" w:hAnsi="Calibri"/>
          <w:sz w:val="22"/>
        </w:rPr>
        <w:tab/>
        <w:t>Provádění</w:t>
      </w:r>
    </w:p>
    <w:p w14:paraId="2080D911"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5.2</w:t>
      </w:r>
      <w:r>
        <w:rPr>
          <w:rFonts w:ascii="Calibri" w:hAnsi="Calibri"/>
          <w:sz w:val="22"/>
        </w:rPr>
        <w:tab/>
        <w:t>Sledování provádění prací</w:t>
      </w:r>
    </w:p>
    <w:p w14:paraId="0A1431F4"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lastRenderedPageBreak/>
        <w:t>5.3</w:t>
      </w:r>
      <w:r>
        <w:rPr>
          <w:rFonts w:ascii="Calibri" w:hAnsi="Calibri"/>
          <w:sz w:val="22"/>
        </w:rPr>
        <w:tab/>
        <w:t>Kontrola dokončených prací</w:t>
      </w:r>
    </w:p>
    <w:p w14:paraId="43CD09C6"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5.4</w:t>
      </w:r>
      <w:r>
        <w:rPr>
          <w:rFonts w:ascii="Calibri" w:hAnsi="Calibri"/>
          <w:sz w:val="22"/>
        </w:rPr>
        <w:tab/>
        <w:t>Údržba a udržování budovy“</w:t>
      </w:r>
    </w:p>
    <w:p w14:paraId="2BFCCA3F"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1 Oblast působnosti se v pododstavci 1 slova: „...pokud celková rozšířená užitná plocha přesahuje 50 m</w:t>
      </w:r>
      <w:r>
        <w:rPr>
          <w:rFonts w:ascii="Calibri" w:hAnsi="Calibri"/>
          <w:sz w:val="22"/>
          <w:vertAlign w:val="superscript"/>
        </w:rPr>
        <w:t>2</w:t>
      </w:r>
      <w:r>
        <w:rPr>
          <w:rFonts w:ascii="Calibri" w:hAnsi="Calibri"/>
          <w:sz w:val="22"/>
        </w:rPr>
        <w:t>;“, nahrazují slovy „...pokud rozšířená užitná plocha přesahuje 50 m</w:t>
      </w:r>
      <w:r>
        <w:rPr>
          <w:rFonts w:ascii="Calibri" w:hAnsi="Calibri"/>
          <w:sz w:val="22"/>
          <w:vertAlign w:val="superscript"/>
        </w:rPr>
        <w:t>2</w:t>
      </w:r>
      <w:r>
        <w:rPr>
          <w:rFonts w:ascii="Calibri" w:hAnsi="Calibri"/>
          <w:sz w:val="22"/>
        </w:rPr>
        <w:t>;“.</w:t>
      </w:r>
    </w:p>
    <w:p w14:paraId="1BE79A25"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3 Kvantifikace požadavku oddílu 3.1 Spotřeba primární energie z neobnovitelných zdrojů</w:t>
      </w:r>
      <w:bookmarkStart w:id="1" w:name="_Hlk96944651"/>
      <w:r>
        <w:rPr>
          <w:rFonts w:ascii="Calibri" w:hAnsi="Calibri"/>
          <w:sz w:val="22"/>
        </w:rPr>
        <w:t>,</w:t>
      </w:r>
      <w:bookmarkEnd w:id="1"/>
      <w:r>
        <w:rPr>
          <w:rFonts w:ascii="Calibri" w:hAnsi="Calibri"/>
          <w:sz w:val="22"/>
        </w:rPr>
        <w:t xml:space="preserve"> odstavec 1, </w:t>
      </w:r>
      <w:bookmarkStart w:id="2" w:name="_Hlk96943118"/>
      <w:r>
        <w:rPr>
          <w:rFonts w:ascii="Calibri" w:hAnsi="Calibri"/>
          <w:sz w:val="22"/>
        </w:rPr>
        <w:t>se slova „Cep, nren“ nahrazují slovy „C</w:t>
      </w:r>
      <w:r>
        <w:rPr>
          <w:rFonts w:ascii="Calibri" w:hAnsi="Calibri"/>
          <w:sz w:val="22"/>
          <w:vertAlign w:val="subscript"/>
        </w:rPr>
        <w:t>ep,nren</w:t>
      </w:r>
      <w:r>
        <w:rPr>
          <w:rFonts w:ascii="Calibri" w:hAnsi="Calibri"/>
          <w:sz w:val="22"/>
        </w:rPr>
        <w:t>“ a slova „Cep,nren,lim“ se nahrazují slovy „C</w:t>
      </w:r>
      <w:r>
        <w:rPr>
          <w:rFonts w:ascii="Calibri" w:hAnsi="Calibri"/>
          <w:sz w:val="22"/>
          <w:vertAlign w:val="subscript"/>
        </w:rPr>
        <w:t>ep,nren,lim</w:t>
      </w:r>
      <w:r>
        <w:rPr>
          <w:rFonts w:ascii="Calibri" w:hAnsi="Calibri"/>
          <w:sz w:val="22"/>
        </w:rPr>
        <w:t>“.</w:t>
      </w:r>
      <w:bookmarkEnd w:id="2"/>
    </w:p>
    <w:p w14:paraId="1F114D51"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3 Kvantifikace požadavku oddílu 3.1 Spotřeba primární energie z neobnovitelných zdrojů odstavci 2 se slova „Cep,nren,lim“ nahrazují slovy „Cι</w:t>
      </w:r>
      <w:r>
        <w:rPr>
          <w:rFonts w:ascii="Calibri" w:hAnsi="Calibri"/>
          <w:sz w:val="22"/>
          <w:vertAlign w:val="subscript"/>
        </w:rPr>
        <w:t>ep,nren,lim</w:t>
      </w:r>
      <w:r>
        <w:rPr>
          <w:rFonts w:ascii="Calibri" w:hAnsi="Calibri"/>
          <w:sz w:val="22"/>
        </w:rPr>
        <w:t>“.</w:t>
      </w:r>
    </w:p>
    <w:p w14:paraId="75CFE807" w14:textId="616002F6"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3 Kvantifikace požadavku oddílu 3.2. Celková spotřeba primární energie odstavci 1 se slova „Cep,tot“ nahrazují slovy „C</w:t>
      </w:r>
      <w:r>
        <w:rPr>
          <w:rFonts w:ascii="Calibri" w:hAnsi="Calibri"/>
          <w:sz w:val="22"/>
          <w:vertAlign w:val="subscript"/>
        </w:rPr>
        <w:t>ep,tot</w:t>
      </w:r>
      <w:r>
        <w:rPr>
          <w:rFonts w:ascii="Calibri" w:hAnsi="Calibri"/>
          <w:sz w:val="22"/>
        </w:rPr>
        <w:t>.</w:t>
      </w:r>
    </w:p>
    <w:p w14:paraId="440538F2"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3 Kvantifikace požadavku oddílu 3.2 Celková spotřeba primární energie odstavci 2 se výraz „Cep,tot,lim“ nahrazuje výrazem „C</w:t>
      </w:r>
      <w:r>
        <w:rPr>
          <w:rFonts w:ascii="Calibri" w:hAnsi="Calibri"/>
          <w:sz w:val="22"/>
          <w:vertAlign w:val="subscript"/>
        </w:rPr>
        <w:t>ep,tot,lim</w:t>
      </w:r>
      <w:r>
        <w:rPr>
          <w:rFonts w:ascii="Calibri" w:hAnsi="Calibri"/>
          <w:sz w:val="22"/>
        </w:rPr>
        <w:t>“.</w:t>
      </w:r>
    </w:p>
    <w:p w14:paraId="1766850B"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3 Kvantifikace požadavku se slova „</w:t>
      </w:r>
      <w:r>
        <w:rPr>
          <w:rFonts w:ascii="Calibri" w:hAnsi="Calibri"/>
          <w:i/>
          <w:sz w:val="22"/>
        </w:rPr>
        <w:t>soukromé bydlení“</w:t>
      </w:r>
      <w:r>
        <w:rPr>
          <w:rFonts w:ascii="Calibri" w:hAnsi="Calibri"/>
          <w:sz w:val="22"/>
        </w:rPr>
        <w:t xml:space="preserve"> uvádějí kurzívou.</w:t>
      </w:r>
    </w:p>
    <w:p w14:paraId="530AA467"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4.1 „Postup výpočtu“ se v odstavci 9 slova „uznaný dokument“ nahrazují slovy „Uznaný dokument pro energetickou certifikaci budov“.</w:t>
      </w:r>
    </w:p>
    <w:p w14:paraId="5A51E01A" w14:textId="77777777" w:rsidR="000760AB" w:rsidRPr="000760AB" w:rsidRDefault="000760AB" w:rsidP="000760AB">
      <w:pPr>
        <w:numPr>
          <w:ilvl w:val="0"/>
          <w:numId w:val="17"/>
        </w:numPr>
        <w:spacing w:after="160" w:line="259" w:lineRule="auto"/>
        <w:ind w:left="284" w:hanging="11"/>
        <w:jc w:val="both"/>
        <w:rPr>
          <w:rFonts w:ascii="Calibri" w:eastAsia="Calibri" w:hAnsi="Calibri" w:cs="Calibri"/>
          <w:sz w:val="22"/>
          <w:szCs w:val="22"/>
        </w:rPr>
      </w:pPr>
      <w:r>
        <w:rPr>
          <w:rFonts w:ascii="Calibri" w:hAnsi="Calibri"/>
          <w:sz w:val="22"/>
        </w:rPr>
        <w:t>V sekci HE 0 oddílu 4.1 „Postup výpočtu“ se odstavec 9 nově označuje jako odstavec 11 a doplňují se nové odstavce, které znějí:</w:t>
      </w:r>
    </w:p>
    <w:p w14:paraId="120F39B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„9</w:t>
      </w:r>
      <w:r>
        <w:rPr>
          <w:rFonts w:ascii="Calibri" w:hAnsi="Calibri"/>
          <w:sz w:val="22"/>
        </w:rPr>
        <w:tab/>
        <w:t xml:space="preserve">Výpočet energetické bilance potřebné pro ověření požadavků tohoto DB se provádí v souladu s normou UNE-EN ISO 52000-1:2019: </w:t>
      </w:r>
      <w:r>
        <w:rPr>
          <w:rFonts w:ascii="Calibri" w:hAnsi="Calibri"/>
          <w:i/>
          <w:sz w:val="22"/>
        </w:rPr>
        <w:t>Celkové posouzení energetické náročnosti budov. Část 1: obecný rámec a postupy</w:t>
      </w:r>
      <w:r>
        <w:rPr>
          <w:rFonts w:ascii="Calibri" w:hAnsi="Calibri"/>
          <w:sz w:val="22"/>
        </w:rPr>
        <w:t xml:space="preserve"> s použitím faktoru pro export K</w:t>
      </w:r>
      <w:r>
        <w:rPr>
          <w:rFonts w:ascii="Calibri" w:hAnsi="Calibri"/>
          <w:sz w:val="22"/>
          <w:vertAlign w:val="subscript"/>
        </w:rPr>
        <w:t>exp</w:t>
      </w:r>
      <w:r>
        <w:rPr>
          <w:rFonts w:ascii="Calibri" w:hAnsi="Calibri"/>
          <w:sz w:val="22"/>
        </w:rPr>
        <w:t xml:space="preserve"> = 0.“</w:t>
      </w:r>
    </w:p>
    <w:p w14:paraId="6D26B789" w14:textId="3B1081FB"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„10</w:t>
      </w:r>
      <w:r>
        <w:rPr>
          <w:rFonts w:ascii="Calibri" w:hAnsi="Calibri"/>
          <w:sz w:val="22"/>
        </w:rPr>
        <w:tab/>
        <w:t>Pro účely rozdělení různých služeb se distribuce elektřiny vyrobené na místě v každém časovém intervalu vypočítá úměrně ke spotřebě elektřiny v rámci příslušné spotřeby (vytápění, chlazení, větrání, užitková teplá voda a dále při terciárním využití, osvětlení).“</w:t>
      </w:r>
    </w:p>
    <w:p w14:paraId="015C0599"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V sekci HE 0 oddílu 4.3 Vnitřní požadavky a provozní podmínky oddílu 2 se slova „</w:t>
      </w:r>
      <w:r>
        <w:rPr>
          <w:rFonts w:ascii="Calibri" w:hAnsi="Calibri"/>
          <w:i/>
          <w:sz w:val="22"/>
        </w:rPr>
        <w:t>soukromé bydlení</w:t>
      </w:r>
      <w:r>
        <w:rPr>
          <w:rFonts w:ascii="Calibri" w:hAnsi="Calibri"/>
          <w:sz w:val="22"/>
        </w:rPr>
        <w:t>“ uvádějí kurzívou.</w:t>
      </w:r>
    </w:p>
    <w:p w14:paraId="424F77C1"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ñ) V sekci HE 0 oddílu 4.5 Referenční systémy pro soukromé bydlení se slova „</w:t>
      </w:r>
      <w:r>
        <w:rPr>
          <w:rFonts w:ascii="Calibri" w:hAnsi="Calibri"/>
          <w:i/>
          <w:sz w:val="22"/>
        </w:rPr>
        <w:t>soukromé bydlení</w:t>
      </w:r>
      <w:r>
        <w:rPr>
          <w:rFonts w:ascii="Calibri" w:hAnsi="Calibri"/>
          <w:sz w:val="22"/>
        </w:rPr>
        <w:t>“ jak v názvu, tak v odstavci 1 uvádějí kurzívou.</w:t>
      </w:r>
    </w:p>
    <w:p w14:paraId="7DB1F14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sekci HE 1 oddílu 3 Kvantifikace požadavku oddílu 3.1.1. Propustnost </w:t>
      </w:r>
      <w:r>
        <w:rPr>
          <w:rFonts w:ascii="Calibri" w:hAnsi="Calibri"/>
          <w:i/>
          <w:sz w:val="22"/>
        </w:rPr>
        <w:t>tepelného pláště</w:t>
      </w:r>
      <w:r>
        <w:rPr>
          <w:rFonts w:ascii="Calibri" w:hAnsi="Calibri"/>
          <w:sz w:val="22"/>
        </w:rPr>
        <w:t>, se slovo „kompaktnost“ v tabulce 3.1.1.b-HE1 a v tabulce 3.1.1.c-HE1 uvádí kurzívou.</w:t>
      </w:r>
    </w:p>
    <w:p w14:paraId="2E82A8CF"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sekci HE 1 oddílu 3 Kvantifikace požadavku oddílu 3.1.1. Propustnost </w:t>
      </w:r>
      <w:r>
        <w:rPr>
          <w:rFonts w:ascii="Calibri" w:hAnsi="Calibri"/>
          <w:i/>
          <w:sz w:val="22"/>
        </w:rPr>
        <w:t>tepelného pláště</w:t>
      </w:r>
      <w:r>
        <w:rPr>
          <w:rFonts w:ascii="Calibri" w:hAnsi="Calibri"/>
          <w:sz w:val="22"/>
        </w:rPr>
        <w:t>, se slovo „kompaktnosti“ v poznámkách pod čarou tabulky 3.1.1.b-HE1 a tabulky 3.1.1.c-HE1 a slovo „kompaktnost“ v poznámkách pod čarou tabulky 3.1.1.c-HE1 uvádí kurzívou.</w:t>
      </w:r>
    </w:p>
    <w:p w14:paraId="6592C9A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sekci HE 1 oddílu 3 Kvantifikace požadavku oddílu 3.1.1. Propustnost </w:t>
      </w:r>
      <w:r>
        <w:rPr>
          <w:rFonts w:ascii="Calibri" w:hAnsi="Calibri"/>
          <w:i/>
          <w:sz w:val="22"/>
        </w:rPr>
        <w:t>tepelného pláště</w:t>
      </w:r>
      <w:r>
        <w:rPr>
          <w:rFonts w:ascii="Calibri" w:hAnsi="Calibri"/>
          <w:sz w:val="22"/>
        </w:rPr>
        <w:t xml:space="preserve"> oddílu 3 se slova „</w:t>
      </w:r>
      <w:r>
        <w:rPr>
          <w:rFonts w:ascii="Calibri" w:hAnsi="Calibri"/>
          <w:i/>
          <w:sz w:val="22"/>
        </w:rPr>
        <w:t>soukromé bydlení</w:t>
      </w:r>
      <w:r>
        <w:rPr>
          <w:rFonts w:ascii="Calibri" w:hAnsi="Calibri"/>
          <w:sz w:val="22"/>
        </w:rPr>
        <w:t>“ uvádějí kurzívou jak v odstavci 3, tak v tabulce 3.1.1.b-HE1.</w:t>
      </w:r>
    </w:p>
    <w:p w14:paraId="4B4F6F00"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lastRenderedPageBreak/>
        <w:t xml:space="preserve">V sekci HE 1 oddílu 3 Kvantifikace požadavku oddílu 3.1.1. Propustnost </w:t>
      </w:r>
      <w:r>
        <w:rPr>
          <w:rFonts w:ascii="Calibri" w:hAnsi="Calibri"/>
          <w:i/>
          <w:sz w:val="22"/>
        </w:rPr>
        <w:t>tepelného pláště</w:t>
      </w:r>
      <w:r>
        <w:rPr>
          <w:rFonts w:ascii="Calibri" w:hAnsi="Calibri"/>
          <w:sz w:val="22"/>
        </w:rPr>
        <w:t>, se slovo „plášť“ v tabulkách 3.1.1.b-HE1 a 3.1.1.c-HE1 uvádí kurzívou.</w:t>
      </w:r>
    </w:p>
    <w:p w14:paraId="41623096"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V sekci HE 1 Kvantifikace požadavku oddílu 3.1.1 „</w:t>
      </w:r>
      <w:r>
        <w:rPr>
          <w:rFonts w:ascii="Calibri" w:hAnsi="Calibri"/>
          <w:i/>
          <w:sz w:val="22"/>
        </w:rPr>
        <w:t>Propustnost tepelného pláště</w:t>
      </w:r>
      <w:r>
        <w:rPr>
          <w:rFonts w:ascii="Calibri" w:hAnsi="Calibri"/>
          <w:sz w:val="22"/>
        </w:rPr>
        <w:t>“ se doplňuje nový odstavec, který zní:</w:t>
      </w:r>
    </w:p>
    <w:p w14:paraId="6EEEBF4F"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„6 Alternativně mohou být budovy nebo, v případě částečných zásahů do stávajících budov, části budov, v nichž se provádějí zásahy, jejichž potřeby za účelem vytápění a chlazení jsou v obou případech nižší než 15 kWh/m</w:t>
      </w:r>
      <w:r>
        <w:rPr>
          <w:rFonts w:ascii="Calibri" w:hAnsi="Calibri"/>
          <w:sz w:val="22"/>
          <w:vertAlign w:val="superscript"/>
        </w:rPr>
        <w:t>2</w:t>
      </w:r>
      <w:r>
        <w:rPr>
          <w:rFonts w:ascii="Calibri" w:hAnsi="Calibri"/>
          <w:sz w:val="22"/>
        </w:rPr>
        <w:t xml:space="preserve">, vyloučeny z dodržení </w:t>
      </w:r>
      <w:r>
        <w:rPr>
          <w:rFonts w:ascii="Calibri" w:hAnsi="Calibri"/>
          <w:i/>
          <w:sz w:val="22"/>
        </w:rPr>
        <w:t>celkového koeficientu prostupu tepla pláštěm</w:t>
      </w:r>
      <w:r>
        <w:rPr>
          <w:rFonts w:ascii="Calibri" w:hAnsi="Calibri"/>
          <w:sz w:val="22"/>
        </w:rPr>
        <w:t xml:space="preserve"> (K).“</w:t>
      </w:r>
    </w:p>
    <w:p w14:paraId="582E2B37"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V sekci HE 1 oddílu 3 Kvantifikace požadavku oddílu 3.1.2 Solární regulace tepelného pláště se slova: „Tabulka 3.1.2-HE1 Mezní hodnota parametru regulace solární energie qsol;jul,lim [kWh/m</w:t>
      </w:r>
      <w:r>
        <w:rPr>
          <w:rFonts w:ascii="Calibri" w:hAnsi="Calibri"/>
          <w:sz w:val="22"/>
          <w:vertAlign w:val="superscript"/>
        </w:rPr>
        <w:t>2</w:t>
      </w:r>
      <w:r>
        <w:rPr>
          <w:rFonts w:ascii="Calibri" w:hAnsi="Calibri"/>
          <w:sz w:val="22"/>
        </w:rPr>
        <w:t>·mes]“ nahrazují tímto: „Tabulka 3.1.2-HE1 Mezní hodnota parametru regulace solární energie q</w:t>
      </w:r>
      <w:r>
        <w:rPr>
          <w:rFonts w:ascii="Calibri" w:hAnsi="Calibri"/>
          <w:sz w:val="22"/>
          <w:vertAlign w:val="subscript"/>
        </w:rPr>
        <w:t>sol;jul,lim</w:t>
      </w:r>
      <w:r>
        <w:rPr>
          <w:rFonts w:ascii="Calibri" w:hAnsi="Calibri"/>
          <w:sz w:val="22"/>
        </w:rPr>
        <w:t xml:space="preserve"> [kWh/m</w:t>
      </w:r>
      <w:r>
        <w:rPr>
          <w:rFonts w:ascii="Calibri" w:hAnsi="Calibri"/>
          <w:sz w:val="22"/>
          <w:vertAlign w:val="superscript"/>
        </w:rPr>
        <w:t>2</w:t>
      </w:r>
      <w:r>
        <w:rPr>
          <w:rFonts w:ascii="Calibri" w:hAnsi="Calibri"/>
          <w:sz w:val="22"/>
        </w:rPr>
        <w:t>·mes]“.</w:t>
      </w:r>
    </w:p>
    <w:p w14:paraId="7E3CBE02"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V sekci HE 1 oddílu 3 Kvantifikace požadavku oddílu 3.1.3 Vzduchová propustnost tepelného pláště se slova „tepelný plášť“ uvádějí kurzívou jak v názvu oddílu, tak v nadpisu tabulky 3.1.3.a-HE1.</w:t>
      </w:r>
    </w:p>
    <w:p w14:paraId="7B525B8B"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V sekci HE 1 „Kvantifikace požadavku“ oddílu 3.1.3 „Vzduchová propustnost</w:t>
      </w:r>
      <w:r>
        <w:rPr>
          <w:rFonts w:ascii="Calibri" w:hAnsi="Calibri"/>
          <w:i/>
          <w:sz w:val="22"/>
        </w:rPr>
        <w:t xml:space="preserve"> tepelného pláště</w:t>
      </w:r>
      <w:r>
        <w:rPr>
          <w:rFonts w:ascii="Calibri" w:hAnsi="Calibri"/>
          <w:sz w:val="22"/>
        </w:rPr>
        <w:t>“ se doplňuje nový odstavec 3, který zní:</w:t>
      </w:r>
    </w:p>
    <w:p w14:paraId="218ED76A"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7FEAB0F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 xml:space="preserve">„3. „V případě změn se tabulka 3.1.3.a-HE1 vztahuje pouze na ty prvky </w:t>
      </w:r>
      <w:r>
        <w:rPr>
          <w:rFonts w:ascii="Calibri" w:hAnsi="Calibri"/>
          <w:i/>
          <w:sz w:val="22"/>
        </w:rPr>
        <w:t>tepelného pláště</w:t>
      </w:r>
      <w:r>
        <w:rPr>
          <w:rFonts w:ascii="Calibri" w:hAnsi="Calibri"/>
          <w:sz w:val="22"/>
        </w:rPr>
        <w:t>, které jsou nahrazeny, začleněny nebo podstatně upraveny;“</w:t>
      </w:r>
    </w:p>
    <w:p w14:paraId="69948537"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01C78EE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Stávající odstavce 3 a 4 oddílu 3.1.3 „Vzduchová propustnost </w:t>
      </w:r>
      <w:r>
        <w:rPr>
          <w:rFonts w:ascii="Calibri" w:hAnsi="Calibri"/>
          <w:i/>
          <w:sz w:val="22"/>
        </w:rPr>
        <w:t>tepelného pláště</w:t>
      </w:r>
      <w:r>
        <w:rPr>
          <w:rFonts w:ascii="Calibri" w:hAnsi="Calibri"/>
          <w:sz w:val="22"/>
        </w:rPr>
        <w:t>“ se v uvedeném označují jako odstavec 4 a 5.</w:t>
      </w:r>
    </w:p>
    <w:p w14:paraId="5FC15043"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sekci HE 1 oddílu 3 Kvantifikace požadavku oddílu 3.1.3 Vzduchová propustnost </w:t>
      </w:r>
      <w:r>
        <w:rPr>
          <w:rFonts w:ascii="Calibri" w:hAnsi="Calibri"/>
          <w:i/>
          <w:sz w:val="22"/>
        </w:rPr>
        <w:t>tepelného pláště</w:t>
      </w:r>
      <w:r>
        <w:rPr>
          <w:rFonts w:ascii="Calibri" w:hAnsi="Calibri"/>
          <w:sz w:val="22"/>
        </w:rPr>
        <w:t xml:space="preserve"> se slovo „kompaktnost“ v tabulce 3.1.3.b-HE1, slovo „kompaktnost“ v tabulce 3.1.3.b-HE1 a slova „soukromé bydlení“ v odstavci 3 uvádějí kurzívou.</w:t>
      </w:r>
    </w:p>
    <w:p w14:paraId="16310438"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V sekci HE 1 oddílu 3 Kvantifikace požadavku oddílu 3.1.3 Vzduchová propustnost </w:t>
      </w:r>
      <w:r>
        <w:rPr>
          <w:rFonts w:ascii="Calibri" w:hAnsi="Calibri"/>
          <w:i/>
          <w:sz w:val="22"/>
        </w:rPr>
        <w:t>tepelného pláště</w:t>
      </w:r>
      <w:r>
        <w:rPr>
          <w:rFonts w:ascii="Calibri" w:hAnsi="Calibri"/>
          <w:sz w:val="22"/>
        </w:rPr>
        <w:t xml:space="preserve"> v tabulce 3.1.3.b-HE1, kde je uvedeno „m</w:t>
      </w:r>
      <w:r>
        <w:rPr>
          <w:rFonts w:ascii="Calibri" w:hAnsi="Calibri"/>
          <w:sz w:val="22"/>
          <w:vertAlign w:val="superscript"/>
        </w:rPr>
        <w:t>3</w:t>
      </w:r>
      <w:r>
        <w:rPr>
          <w:rFonts w:ascii="Calibri" w:hAnsi="Calibri"/>
          <w:sz w:val="22"/>
        </w:rPr>
        <w:t>,/m2“, se uvede „m</w:t>
      </w:r>
      <w:r>
        <w:rPr>
          <w:rFonts w:ascii="Calibri" w:hAnsi="Calibri"/>
          <w:sz w:val="22"/>
          <w:vertAlign w:val="superscript"/>
        </w:rPr>
        <w:t>3</w:t>
      </w:r>
      <w:r>
        <w:rPr>
          <w:rFonts w:ascii="Calibri" w:hAnsi="Calibri"/>
          <w:sz w:val="22"/>
        </w:rPr>
        <w:t>/m</w:t>
      </w:r>
      <w:r>
        <w:rPr>
          <w:rFonts w:ascii="Calibri" w:hAnsi="Calibri"/>
          <w:sz w:val="22"/>
          <w:vertAlign w:val="superscript"/>
        </w:rPr>
        <w:t>2</w:t>
      </w:r>
      <w:r>
        <w:rPr>
          <w:rFonts w:ascii="Calibri" w:hAnsi="Calibri"/>
          <w:sz w:val="22"/>
        </w:rPr>
        <w:t xml:space="preserve">“ s číslem 2 v horním indexu. </w:t>
      </w:r>
    </w:p>
    <w:p w14:paraId="717B95B5"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V sekci HE 1 oddílu 4 Odůvodnění požadavku se slovo „kompaktnost“ v oddílu 4.1 písm. b) a slova „soukromé bydlení“ v oddílu 4.1 písm. g) uvádějí kurzívou.</w:t>
      </w:r>
    </w:p>
    <w:p w14:paraId="2D2B37E4" w14:textId="77777777" w:rsidR="000760AB" w:rsidRPr="000760AB" w:rsidRDefault="000760AB" w:rsidP="000760AB">
      <w:pPr>
        <w:numPr>
          <w:ilvl w:val="0"/>
          <w:numId w:val="17"/>
        </w:numPr>
        <w:spacing w:after="160" w:line="257" w:lineRule="auto"/>
        <w:ind w:left="284" w:firstLine="0"/>
        <w:jc w:val="both"/>
        <w:rPr>
          <w:rFonts w:ascii="Calibri" w:eastAsia="Calibri" w:hAnsi="Calibri" w:cs="Calibri"/>
          <w:sz w:val="22"/>
          <w:szCs w:val="22"/>
        </w:rPr>
      </w:pPr>
      <w:r>
        <w:rPr>
          <w:rFonts w:ascii="Calibri" w:hAnsi="Calibri"/>
          <w:sz w:val="22"/>
        </w:rPr>
        <w:t>V sekci HE 3 se v tabulce 3.1-HE3 Mezní hodnota účinnosti zařízení (VEEI</w:t>
      </w:r>
      <w:r>
        <w:rPr>
          <w:rFonts w:ascii="Calibri" w:hAnsi="Calibri"/>
          <w:sz w:val="22"/>
          <w:vertAlign w:val="subscript"/>
        </w:rPr>
        <w:t>lim</w:t>
      </w:r>
      <w:r>
        <w:rPr>
          <w:rFonts w:ascii="Calibri" w:hAnsi="Calibri"/>
          <w:sz w:val="22"/>
        </w:rPr>
        <w:t xml:space="preserve">) slova „Obchodní domy a malé obchody“ nahrazují slovy „Obchodní domy a malé obchody </w:t>
      </w:r>
      <w:r>
        <w:rPr>
          <w:rFonts w:ascii="Calibri" w:hAnsi="Calibri"/>
          <w:sz w:val="22"/>
          <w:vertAlign w:val="superscript"/>
        </w:rPr>
        <w:t>(10)</w:t>
      </w:r>
      <w:r>
        <w:rPr>
          <w:rFonts w:ascii="Calibri" w:hAnsi="Calibri"/>
          <w:sz w:val="22"/>
        </w:rPr>
        <w:t>“ a doplňuje se nová poznámka pod čarou, která zní:</w:t>
      </w:r>
    </w:p>
    <w:p w14:paraId="6E0BF879"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w:t>
      </w:r>
      <w:r>
        <w:rPr>
          <w:rFonts w:ascii="Calibri" w:hAnsi="Calibri"/>
          <w:sz w:val="22"/>
          <w:vertAlign w:val="superscript"/>
        </w:rPr>
        <w:t>(10)</w:t>
      </w:r>
      <w:r>
        <w:rPr>
          <w:rFonts w:ascii="Calibri" w:hAnsi="Calibri"/>
          <w:sz w:val="22"/>
        </w:rPr>
        <w:t xml:space="preserve"> Pojem obchodní dům se vztahuje jak na malé nezávislé obchody, tak na část pro komerční použití, která se v nákupních centrech běžně nepoužívá.“</w:t>
      </w:r>
    </w:p>
    <w:p w14:paraId="5C482135"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V sekci HE 3 oddíle 3.3 Kontrolní a regulační systémy se v odstavci 2 slova „…může být nahrazen jednou z těchto dvou možností: </w:t>
      </w:r>
    </w:p>
    <w:p w14:paraId="562ED3C8" w14:textId="77777777" w:rsidR="000760AB" w:rsidRPr="000760AB" w:rsidRDefault="000760AB" w:rsidP="000760AB">
      <w:pPr>
        <w:spacing w:after="160" w:line="257" w:lineRule="auto"/>
        <w:ind w:left="284"/>
        <w:contextualSpacing/>
        <w:jc w:val="both"/>
        <w:rPr>
          <w:rFonts w:ascii="Calibri" w:eastAsia="Arial" w:hAnsi="Calibri" w:cs="Calibri"/>
          <w:kern w:val="2"/>
          <w:sz w:val="22"/>
        </w:rPr>
      </w:pPr>
      <w:r>
        <w:rPr>
          <w:rFonts w:ascii="Calibri" w:hAnsi="Calibri"/>
          <w:sz w:val="22"/>
        </w:rPr>
        <w:t xml:space="preserve">— řízení aktivace a deaktivace pomocí systému včasné detekce přítomnosti nebo </w:t>
      </w:r>
    </w:p>
    <w:p w14:paraId="5D7F7E37" w14:textId="77777777" w:rsidR="000760AB" w:rsidRPr="000760AB" w:rsidRDefault="000760AB" w:rsidP="000760AB">
      <w:pPr>
        <w:spacing w:line="257" w:lineRule="auto"/>
        <w:ind w:left="284"/>
        <w:contextualSpacing/>
        <w:jc w:val="both"/>
        <w:rPr>
          <w:rFonts w:ascii="Calibri" w:eastAsia="Arial" w:hAnsi="Calibri" w:cs="Calibri"/>
          <w:kern w:val="2"/>
          <w:sz w:val="22"/>
        </w:rPr>
      </w:pPr>
      <w:r>
        <w:rPr>
          <w:rFonts w:ascii="Calibri" w:hAnsi="Calibri"/>
          <w:sz w:val="22"/>
        </w:rPr>
        <w:t>— systém načasování pomocí tlačítek.“</w:t>
      </w:r>
    </w:p>
    <w:p w14:paraId="7F19E6A8"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nahrazují slovy „…může být nahrazen jednou z těchto dvou možností: </w:t>
      </w:r>
    </w:p>
    <w:p w14:paraId="1FB2C3B4"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řízení aktivace a deaktivace pomocí </w:t>
      </w:r>
      <w:r>
        <w:rPr>
          <w:rFonts w:ascii="Calibri" w:hAnsi="Calibri"/>
          <w:i/>
          <w:sz w:val="22"/>
        </w:rPr>
        <w:t>systému včasné detekce přítomnosti</w:t>
      </w:r>
      <w:r>
        <w:rPr>
          <w:rFonts w:ascii="Calibri" w:hAnsi="Calibri"/>
          <w:sz w:val="22"/>
        </w:rPr>
        <w:t xml:space="preserve">, nebo </w:t>
      </w:r>
    </w:p>
    <w:p w14:paraId="280A8FDB"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w:t>
      </w:r>
      <w:r>
        <w:rPr>
          <w:rFonts w:ascii="Calibri" w:hAnsi="Calibri"/>
          <w:i/>
          <w:sz w:val="22"/>
        </w:rPr>
        <w:t>systém odpočítávání času</w:t>
      </w:r>
      <w:r>
        <w:rPr>
          <w:rFonts w:ascii="Calibri" w:hAnsi="Calibri"/>
          <w:sz w:val="22"/>
        </w:rPr>
        <w:t xml:space="preserve"> pomocí tlačítka.“</w:t>
      </w:r>
    </w:p>
    <w:p w14:paraId="383D98A1" w14:textId="77777777" w:rsidR="000760AB" w:rsidRPr="000760AB" w:rsidRDefault="000760AB" w:rsidP="000760AB">
      <w:pPr>
        <w:spacing w:line="257" w:lineRule="auto"/>
        <w:ind w:left="284"/>
        <w:jc w:val="both"/>
        <w:rPr>
          <w:rFonts w:ascii="Calibri" w:eastAsia="Arial" w:hAnsi="Calibri" w:cs="Calibri"/>
          <w:kern w:val="2"/>
          <w:sz w:val="22"/>
          <w:lang w:eastAsia="zh-CN" w:bidi="hi-IN"/>
        </w:rPr>
      </w:pPr>
    </w:p>
    <w:p w14:paraId="2E152AB0"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V sekci HE 3 oddílu 4 Odůvodnění požadavku odst. 1 písm. b) se slova „…účinnost použitých </w:t>
      </w:r>
      <w:r>
        <w:rPr>
          <w:rFonts w:ascii="Calibri" w:hAnsi="Calibri"/>
          <w:i/>
          <w:sz w:val="22"/>
        </w:rPr>
        <w:t xml:space="preserve"> světelných zdrojů</w:t>
      </w:r>
      <w:r>
        <w:rPr>
          <w:rFonts w:ascii="Calibri" w:hAnsi="Calibri"/>
          <w:sz w:val="22"/>
        </w:rPr>
        <w:t xml:space="preserve"> (z hlediska lum/W)“ se nahrazují slovy „…účinnost použitých </w:t>
      </w:r>
      <w:r>
        <w:rPr>
          <w:rFonts w:ascii="Calibri" w:hAnsi="Calibri"/>
          <w:i/>
          <w:sz w:val="22"/>
        </w:rPr>
        <w:t>světelných zdrojů</w:t>
      </w:r>
      <w:r>
        <w:rPr>
          <w:rFonts w:ascii="Calibri" w:hAnsi="Calibri"/>
          <w:sz w:val="22"/>
        </w:rPr>
        <w:t xml:space="preserve"> (z hlediska lm/W)“</w:t>
      </w:r>
    </w:p>
    <w:p w14:paraId="7D135F60" w14:textId="77777777" w:rsidR="000760AB" w:rsidRPr="000760AB" w:rsidRDefault="000760AB" w:rsidP="000760AB">
      <w:pPr>
        <w:spacing w:after="160" w:line="257" w:lineRule="auto"/>
        <w:ind w:left="284"/>
        <w:contextualSpacing/>
        <w:jc w:val="both"/>
        <w:rPr>
          <w:rFonts w:ascii="Calibri" w:eastAsia="Arial" w:hAnsi="Calibri" w:cs="Calibri"/>
          <w:kern w:val="2"/>
          <w:sz w:val="22"/>
          <w:lang w:eastAsia="zh-CN" w:bidi="hi-IN"/>
        </w:rPr>
      </w:pPr>
    </w:p>
    <w:p w14:paraId="6B3EE3FA"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V sekci HE 4 oddílu 2 Popis požadavku se odstavec 1 mění takto:</w:t>
      </w:r>
    </w:p>
    <w:p w14:paraId="66BCE2A2" w14:textId="77777777" w:rsidR="000760AB" w:rsidRPr="000760AB" w:rsidRDefault="000760AB" w:rsidP="000760AB">
      <w:pPr>
        <w:spacing w:after="160" w:line="257" w:lineRule="auto"/>
        <w:ind w:left="709"/>
        <w:contextualSpacing/>
        <w:jc w:val="both"/>
        <w:rPr>
          <w:rFonts w:ascii="Calibri" w:eastAsia="Arial" w:hAnsi="Calibri" w:cs="Calibri"/>
          <w:kern w:val="2"/>
          <w:sz w:val="22"/>
          <w:lang w:eastAsia="zh-CN" w:bidi="hi-IN"/>
        </w:rPr>
      </w:pPr>
    </w:p>
    <w:p w14:paraId="774F4195"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 xml:space="preserve">„1 Budovy musí do značné míry splňovat potřeby v oblasti teplé užitkové vody a ohřevu vody pro vyhřívané vnitřní bazény využitím </w:t>
      </w:r>
      <w:r>
        <w:rPr>
          <w:rFonts w:ascii="Calibri" w:hAnsi="Calibri"/>
          <w:i/>
          <w:sz w:val="22"/>
        </w:rPr>
        <w:t>energie z obnovitelných zdrojů</w:t>
      </w:r>
      <w:r>
        <w:rPr>
          <w:rFonts w:ascii="Calibri" w:hAnsi="Calibri"/>
          <w:sz w:val="22"/>
        </w:rPr>
        <w:t xml:space="preserve"> nebo procesů kombinované výroby tepla a elektřiny z obnovitelných zdrojů; generované buď v samotné budově, nebo prostřednictvím připojení k </w:t>
      </w:r>
      <w:r>
        <w:rPr>
          <w:rFonts w:ascii="Calibri" w:hAnsi="Calibri"/>
          <w:i/>
          <w:sz w:val="22"/>
        </w:rPr>
        <w:t>soustavě dálkového vytápění</w:t>
      </w:r>
      <w:r>
        <w:rPr>
          <w:rFonts w:ascii="Calibri" w:hAnsi="Calibri"/>
          <w:sz w:val="22"/>
        </w:rPr>
        <w:t>.“</w:t>
      </w:r>
    </w:p>
    <w:p w14:paraId="3693DE13"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 V sekci HE 4 oddílu 3 Kvantifikace požadavku oddílu 3.1 Minimální podíl z obnovitelných zdrojů pro teplou užitkovou vodu a/nebo vytápění bazénů odstavci 4 se slova: </w:t>
      </w:r>
      <w:bookmarkStart w:id="3" w:name="_Hlk96945986"/>
      <w:r>
        <w:rPr>
          <w:rFonts w:ascii="Calibri" w:hAnsi="Calibri"/>
          <w:sz w:val="22"/>
        </w:rPr>
        <w:t>„…</w:t>
      </w:r>
      <w:bookmarkEnd w:id="3"/>
      <w:r>
        <w:rPr>
          <w:rFonts w:ascii="Calibri" w:hAnsi="Calibri"/>
          <w:sz w:val="22"/>
        </w:rPr>
        <w:t>více než 2,5, pokud řízení zajišťuje elektřina a větší než 1,15, pokud řízení zajišťuje tepelná energie…“, nahrazují slovy „… rovná se 2,5 nebo více, pokud řízení zajišťuje elektřina, a rovná se 1,15 nebo více, pokud řízení zajišťuje tepelná energie…“.</w:t>
      </w:r>
    </w:p>
    <w:p w14:paraId="61BB5CF0"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V sekci HE 4 oddílu 3 Kvantifikace požadavku oddílu 3.1 Minimální podíl z obnovitelných zdrojů pro teplou vodu užitkovou a/nebo vytápění bazénů odstavci 5 se slova: „… obytné budovy…“ nahrazují slovy „… budovy pro </w:t>
      </w:r>
      <w:r>
        <w:rPr>
          <w:rFonts w:ascii="Calibri" w:hAnsi="Calibri"/>
          <w:i/>
          <w:sz w:val="22"/>
        </w:rPr>
        <w:t>soukromé bydlení</w:t>
      </w:r>
      <w:r>
        <w:rPr>
          <w:rFonts w:ascii="Calibri" w:hAnsi="Calibri"/>
          <w:sz w:val="22"/>
        </w:rPr>
        <w:t>…“.</w:t>
      </w:r>
    </w:p>
    <w:p w14:paraId="6BE93B73"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V sekci HE 4 se před oddíl „5.1. „Provedení“ vkládají slova „5. Výstavba, údržba a udržování" jako název. </w:t>
      </w:r>
    </w:p>
    <w:p w14:paraId="6D9AA9EE"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V sekci HE 5 se název „Sekce HE 5 Minimální výroba elektrické energie“ nahrazuje názvem „Sekce HE 5 </w:t>
      </w:r>
      <w:bookmarkStart w:id="4" w:name="_Hlk92123384"/>
      <w:r>
        <w:rPr>
          <w:rFonts w:ascii="Calibri" w:hAnsi="Calibri"/>
          <w:sz w:val="22"/>
        </w:rPr>
        <w:t>Minimální výroba elektrické energie</w:t>
      </w:r>
      <w:bookmarkEnd w:id="4"/>
      <w:r>
        <w:t xml:space="preserve"> </w:t>
      </w:r>
      <w:r>
        <w:rPr>
          <w:rFonts w:ascii="Calibri" w:hAnsi="Calibri"/>
          <w:sz w:val="22"/>
        </w:rPr>
        <w:t>z obnovitelných zdrojů.“</w:t>
      </w:r>
    </w:p>
    <w:p w14:paraId="6175F2BD"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V sekci HE 5 se odstavec 1 „Oblast působnosti“ mění takto: </w:t>
      </w:r>
    </w:p>
    <w:p w14:paraId="04EE306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 Tato sekce se použije v těchto případech: </w:t>
      </w:r>
    </w:p>
    <w:p w14:paraId="40C4916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a) nově postavené budovy, pokud přesahují 1 000 m</w:t>
      </w:r>
      <w:r>
        <w:rPr>
          <w:rFonts w:ascii="Calibri" w:hAnsi="Calibri"/>
          <w:sz w:val="22"/>
          <w:vertAlign w:val="superscript"/>
        </w:rPr>
        <w:t>2</w:t>
      </w:r>
      <w:r>
        <w:rPr>
          <w:rFonts w:ascii="Calibri" w:hAnsi="Calibri"/>
          <w:sz w:val="22"/>
        </w:rPr>
        <w:t xml:space="preserve"> zastavěné plochy;</w:t>
      </w:r>
    </w:p>
    <w:p w14:paraId="500BD58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b) přístavby stávajících budov, kdy se zastavěná plocha zvětší o více než 1 000 m</w:t>
      </w:r>
      <w:r>
        <w:rPr>
          <w:rFonts w:ascii="Calibri" w:hAnsi="Calibri"/>
          <w:sz w:val="22"/>
          <w:vertAlign w:val="superscript"/>
        </w:rPr>
        <w:t>2</w:t>
      </w:r>
      <w:r>
        <w:rPr>
          <w:rFonts w:ascii="Calibri" w:hAnsi="Calibri"/>
          <w:sz w:val="22"/>
        </w:rPr>
        <w:t>.</w:t>
      </w:r>
    </w:p>
    <w:p w14:paraId="710C1241"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c) stávající budovy, které jsou kompletně zrekonstruovány, nebo u nichž dochází ke změně jejich charakteristického využití, pokud přesahují 1 000 m</w:t>
      </w:r>
      <w:r>
        <w:rPr>
          <w:rFonts w:ascii="Calibri" w:hAnsi="Calibri"/>
          <w:sz w:val="22"/>
          <w:vertAlign w:val="superscript"/>
        </w:rPr>
        <w:t>2</w:t>
      </w:r>
      <w:r>
        <w:rPr>
          <w:rFonts w:ascii="Calibri" w:hAnsi="Calibri"/>
          <w:sz w:val="22"/>
        </w:rPr>
        <w:t xml:space="preserve"> zastavěné plochy.</w:t>
      </w:r>
    </w:p>
    <w:p w14:paraId="772542D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Má se za to, že zastavěná plocha zahrnuje plochu parkovacích ploch uvnitř budovy a nezahrnuje společné venkovní prostory.“ </w:t>
      </w:r>
    </w:p>
    <w:p w14:paraId="6B833735"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V sekci HE 5 se první odstavec oddílu 2 „Popis požadavku“ mění takto:</w:t>
      </w:r>
    </w:p>
    <w:p w14:paraId="23E9D02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 Budovy musí mít systémy výroby elektřiny z obnovitelných zdrojů pro svou vlastní potřebu nebo pro dodávky do sítě.“</w:t>
      </w:r>
    </w:p>
    <w:p w14:paraId="5BE28722"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 V sekci HE 5 se oddíl 3 „Kvantifikace požadavku“ mění takto:</w:t>
      </w:r>
    </w:p>
    <w:p w14:paraId="1C671A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 xml:space="preserve">„1 </w:t>
      </w:r>
      <w:r>
        <w:rPr>
          <w:rFonts w:ascii="Calibri" w:hAnsi="Calibri"/>
          <w:i/>
          <w:sz w:val="22"/>
        </w:rPr>
        <w:t>Minimální výkon k instalaci</w:t>
      </w:r>
      <w:r>
        <w:rPr>
          <w:rFonts w:ascii="Calibri" w:hAnsi="Calibri"/>
          <w:sz w:val="22"/>
        </w:rPr>
        <w:t xml:space="preserve"> P</w:t>
      </w:r>
      <w:r>
        <w:rPr>
          <w:rFonts w:ascii="Calibri" w:hAnsi="Calibri"/>
          <w:sz w:val="22"/>
          <w:vertAlign w:val="subscript"/>
        </w:rPr>
        <w:t>min</w:t>
      </w:r>
      <w:r>
        <w:rPr>
          <w:rFonts w:ascii="Calibri" w:hAnsi="Calibri"/>
          <w:sz w:val="22"/>
        </w:rPr>
        <w:t xml:space="preserve"> je nejnižší z výsledků z těchto dvou rovnic: </w:t>
      </w:r>
    </w:p>
    <w:p w14:paraId="3A813F22"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1</w:t>
      </w:r>
      <w:r>
        <w:rPr>
          <w:rFonts w:ascii="Calibri" w:hAnsi="Calibri"/>
          <w:sz w:val="22"/>
        </w:rPr>
        <w:t xml:space="preserve"> = F</w:t>
      </w:r>
      <w:r>
        <w:rPr>
          <w:rFonts w:ascii="Calibri" w:hAnsi="Calibri"/>
          <w:sz w:val="22"/>
          <w:vertAlign w:val="subscript"/>
        </w:rPr>
        <w:t>pr;el</w:t>
      </w:r>
      <w:r>
        <w:rPr>
          <w:rFonts w:ascii="Calibri" w:hAnsi="Calibri"/>
          <w:sz w:val="22"/>
        </w:rPr>
        <w:t>· S</w:t>
      </w:r>
    </w:p>
    <w:p w14:paraId="0B5FBB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2</w:t>
      </w:r>
      <w:r>
        <w:rPr>
          <w:rFonts w:ascii="Calibri" w:hAnsi="Calibri"/>
          <w:sz w:val="22"/>
        </w:rPr>
        <w:t xml:space="preserve"> = 0,1 · (0,5 · S</w:t>
      </w:r>
      <w:r>
        <w:rPr>
          <w:rFonts w:ascii="Calibri" w:hAnsi="Calibri"/>
          <w:sz w:val="22"/>
          <w:vertAlign w:val="subscript"/>
        </w:rPr>
        <w:t>c</w:t>
      </w:r>
      <w:r>
        <w:rPr>
          <w:rFonts w:ascii="Calibri" w:hAnsi="Calibri"/>
          <w:sz w:val="22"/>
        </w:rPr>
        <w:t xml:space="preserve"> - S</w:t>
      </w:r>
      <w:r>
        <w:rPr>
          <w:rFonts w:ascii="Calibri" w:hAnsi="Calibri"/>
          <w:sz w:val="22"/>
          <w:vertAlign w:val="subscript"/>
        </w:rPr>
        <w:t>oc</w:t>
      </w:r>
      <w:r>
        <w:rPr>
          <w:rFonts w:ascii="Calibri" w:hAnsi="Calibri"/>
          <w:sz w:val="22"/>
        </w:rPr>
        <w:t xml:space="preserve"> )</w:t>
      </w:r>
    </w:p>
    <w:p w14:paraId="72B9D60D"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kde:</w:t>
      </w:r>
    </w:p>
    <w:p w14:paraId="5E55B831"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P</w:t>
      </w:r>
      <w:r>
        <w:rPr>
          <w:rFonts w:ascii="Calibri" w:hAnsi="Calibri"/>
          <w:sz w:val="22"/>
          <w:vertAlign w:val="subscript"/>
        </w:rPr>
        <w:t>min</w:t>
      </w:r>
      <w:r>
        <w:rPr>
          <w:rFonts w:ascii="Calibri" w:hAnsi="Calibri"/>
          <w:sz w:val="22"/>
        </w:rPr>
        <w:tab/>
      </w:r>
      <w:r>
        <w:rPr>
          <w:rFonts w:ascii="Calibri" w:hAnsi="Calibri"/>
          <w:i/>
          <w:sz w:val="22"/>
        </w:rPr>
        <w:t>výkon k instalaci</w:t>
      </w:r>
      <w:r>
        <w:rPr>
          <w:rFonts w:ascii="Calibri" w:hAnsi="Calibri"/>
          <w:sz w:val="22"/>
        </w:rPr>
        <w:t xml:space="preserve"> [kW];</w:t>
      </w:r>
    </w:p>
    <w:p w14:paraId="1988193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F</w:t>
      </w:r>
      <w:r>
        <w:rPr>
          <w:rFonts w:ascii="Calibri" w:hAnsi="Calibri"/>
          <w:sz w:val="22"/>
          <w:vertAlign w:val="subscript"/>
        </w:rPr>
        <w:t>pr;e</w:t>
      </w:r>
      <w:r>
        <w:rPr>
          <w:rFonts w:ascii="Calibri" w:hAnsi="Calibri"/>
          <w:sz w:val="22"/>
        </w:rPr>
        <w:t>l</w:t>
      </w:r>
      <w:r>
        <w:rPr>
          <w:rFonts w:ascii="Calibri" w:hAnsi="Calibri"/>
          <w:sz w:val="22"/>
        </w:rPr>
        <w:tab/>
        <w:t>faktor výroby elektrické energie, který má hodnotu 0,005 pro soukromé obytné účely a 0,010 pro jiná použití [kW/m</w:t>
      </w:r>
      <w:r>
        <w:rPr>
          <w:rFonts w:ascii="Calibri" w:hAnsi="Calibri"/>
          <w:sz w:val="22"/>
          <w:vertAlign w:val="superscript"/>
        </w:rPr>
        <w:t>2</w:t>
      </w:r>
      <w:r>
        <w:rPr>
          <w:rFonts w:ascii="Calibri" w:hAnsi="Calibri"/>
          <w:sz w:val="22"/>
        </w:rPr>
        <w:t>];</w:t>
      </w:r>
    </w:p>
    <w:p w14:paraId="153C8F5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S</w:t>
      </w:r>
      <w:r>
        <w:rPr>
          <w:rFonts w:ascii="Calibri" w:hAnsi="Calibri"/>
          <w:sz w:val="22"/>
        </w:rPr>
        <w:tab/>
        <w:t>povrch zastavěné plochy budovy [m</w:t>
      </w:r>
      <w:r>
        <w:rPr>
          <w:rFonts w:ascii="Calibri" w:hAnsi="Calibri"/>
          <w:sz w:val="22"/>
          <w:vertAlign w:val="superscript"/>
        </w:rPr>
        <w:t>2</w:t>
      </w:r>
      <w:r>
        <w:rPr>
          <w:rFonts w:ascii="Calibri" w:hAnsi="Calibri"/>
          <w:sz w:val="22"/>
        </w:rPr>
        <w:t>];</w:t>
      </w:r>
    </w:p>
    <w:p w14:paraId="4F543BE6" w14:textId="77777777" w:rsidR="000760AB" w:rsidRPr="000760AB" w:rsidRDefault="000760AB" w:rsidP="000760AB">
      <w:pPr>
        <w:spacing w:before="60" w:after="160" w:line="259" w:lineRule="auto"/>
        <w:ind w:left="284"/>
        <w:contextualSpacing/>
        <w:jc w:val="both"/>
        <w:rPr>
          <w:rFonts w:ascii="Calibri" w:eastAsia="Calibri" w:hAnsi="Calibri" w:cs="Calibri"/>
          <w:sz w:val="22"/>
          <w:szCs w:val="22"/>
        </w:rPr>
      </w:pPr>
      <w:r>
        <w:rPr>
          <w:rFonts w:ascii="Calibri" w:hAnsi="Calibri"/>
          <w:sz w:val="22"/>
        </w:rPr>
        <w:lastRenderedPageBreak/>
        <w:t>S</w:t>
      </w:r>
      <w:r>
        <w:rPr>
          <w:rFonts w:ascii="Calibri" w:hAnsi="Calibri"/>
          <w:sz w:val="22"/>
          <w:vertAlign w:val="subscript"/>
        </w:rPr>
        <w:t>c</w:t>
      </w:r>
      <w:r>
        <w:rPr>
          <w:rFonts w:ascii="Calibri" w:hAnsi="Calibri"/>
          <w:sz w:val="22"/>
        </w:rPr>
        <w:tab/>
        <w:t>povrchová plocha střechy nevhodné k provozu nebo přístupné pouze pro údržbu [m</w:t>
      </w:r>
      <w:r>
        <w:rPr>
          <w:rFonts w:ascii="Calibri" w:hAnsi="Calibri"/>
          <w:sz w:val="22"/>
          <w:vertAlign w:val="superscript"/>
        </w:rPr>
        <w:t>2</w:t>
      </w:r>
      <w:r>
        <w:rPr>
          <w:rFonts w:ascii="Calibri" w:hAnsi="Calibri"/>
          <w:sz w:val="22"/>
        </w:rPr>
        <w:t>];</w:t>
      </w:r>
    </w:p>
    <w:p w14:paraId="6D8AB5FA"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S</w:t>
      </w:r>
      <w:r>
        <w:rPr>
          <w:rFonts w:ascii="Calibri" w:hAnsi="Calibri"/>
          <w:sz w:val="22"/>
          <w:vertAlign w:val="subscript"/>
        </w:rPr>
        <w:t>oc</w:t>
      </w:r>
      <w:r>
        <w:rPr>
          <w:rFonts w:ascii="Calibri" w:hAnsi="Calibri"/>
          <w:sz w:val="22"/>
        </w:rPr>
        <w:tab/>
        <w:t>povrchová plocha střechy nevhodné k provozu nebo přístupné pouze pro údržbu tepelných solárních kolektorů [m</w:t>
      </w:r>
      <w:r>
        <w:rPr>
          <w:rFonts w:ascii="Calibri" w:hAnsi="Calibri"/>
          <w:sz w:val="22"/>
          <w:vertAlign w:val="superscript"/>
        </w:rPr>
        <w:t>2</w:t>
      </w:r>
      <w:r>
        <w:rPr>
          <w:rFonts w:ascii="Calibri" w:hAnsi="Calibri"/>
          <w:sz w:val="22"/>
        </w:rPr>
        <w:t>].</w:t>
      </w:r>
    </w:p>
    <w:p w14:paraId="7D742656"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2</w:t>
      </w:r>
      <w:r>
        <w:rPr>
          <w:rFonts w:ascii="Calibri" w:hAnsi="Calibri"/>
          <w:sz w:val="22"/>
        </w:rPr>
        <w:tab/>
        <w:t xml:space="preserve">V budovách, kde z městských nebo architektonických důvodů nebo z důvodu, že se jedná o úředně chráněné budovy, kde orgán, který uděluje úřední ochranu, určuje neměnné prvky, nelze dosáhnout minimálního </w:t>
      </w:r>
      <w:r>
        <w:rPr>
          <w:rFonts w:ascii="Calibri" w:hAnsi="Calibri"/>
          <w:i/>
          <w:sz w:val="22"/>
        </w:rPr>
        <w:t>výkonu k instalaci</w:t>
      </w:r>
      <w:r>
        <w:rPr>
          <w:rFonts w:ascii="Calibri" w:hAnsi="Calibri"/>
          <w:sz w:val="22"/>
        </w:rPr>
        <w:t>, musí být tato nemožnost odůvodněna analýzou různých alternativ a musí být přijato řešení, které dosáhne maximálního možného instalovaného výkonu.“</w:t>
      </w:r>
    </w:p>
    <w:p w14:paraId="6BEFAE72" w14:textId="77777777" w:rsidR="000760AB" w:rsidRPr="000760AB" w:rsidRDefault="000760AB" w:rsidP="000760AB">
      <w:pPr>
        <w:numPr>
          <w:ilvl w:val="0"/>
          <w:numId w:val="17"/>
        </w:numPr>
        <w:spacing w:before="60" w:after="160" w:line="259" w:lineRule="auto"/>
        <w:ind w:left="284" w:firstLine="0"/>
        <w:contextualSpacing/>
        <w:jc w:val="both"/>
        <w:rPr>
          <w:rFonts w:ascii="Calibri" w:eastAsia="Arial" w:hAnsi="Calibri" w:cs="Calibri"/>
          <w:kern w:val="2"/>
          <w:sz w:val="22"/>
        </w:rPr>
      </w:pPr>
      <w:r>
        <w:rPr>
          <w:rFonts w:ascii="Calibri" w:hAnsi="Calibri"/>
          <w:sz w:val="22"/>
        </w:rPr>
        <w:t>V sekci HE 5 se v oddíle 4 „Odůvodnění požadavku“ doplňují slova:</w:t>
      </w:r>
    </w:p>
    <w:p w14:paraId="65043955"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 xml:space="preserve">c) pokud je to vhodné, důvody, které brání dosažení minimálního požadovaného </w:t>
      </w:r>
      <w:r>
        <w:rPr>
          <w:rFonts w:ascii="Calibri" w:hAnsi="Calibri"/>
          <w:i/>
          <w:sz w:val="22"/>
        </w:rPr>
        <w:t>výkonu k instalaci</w:t>
      </w:r>
      <w:r>
        <w:rPr>
          <w:rFonts w:ascii="Calibri" w:hAnsi="Calibri"/>
          <w:sz w:val="22"/>
        </w:rPr>
        <w:t>, analýza alternativ a přijaté řešení pro dosažení maximálního možného instalovaného výkonu.“</w:t>
      </w:r>
    </w:p>
    <w:p w14:paraId="6E185DB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ll) V základním dokumentu DB-HE „Úspora energie“ se doplňuje sekce HE 6 s názvem „Minimální </w:t>
      </w:r>
      <w:r>
        <w:rPr>
          <w:rFonts w:ascii="Calibri" w:hAnsi="Calibri"/>
          <w:i/>
          <w:sz w:val="22"/>
        </w:rPr>
        <w:t>počet zařízení infrastruktury pro nabíjení elektrických vozidel</w:t>
      </w:r>
      <w:r>
        <w:rPr>
          <w:rFonts w:ascii="Calibri" w:hAnsi="Calibri"/>
          <w:sz w:val="22"/>
        </w:rPr>
        <w:t xml:space="preserve">“ a tímto obsahem: </w:t>
      </w:r>
    </w:p>
    <w:p w14:paraId="1807669A" w14:textId="77FE9144" w:rsidR="000760AB" w:rsidRPr="000760AB" w:rsidRDefault="000760AB" w:rsidP="000760AB">
      <w:pPr>
        <w:keepNext/>
        <w:ind w:left="284"/>
        <w:outlineLvl w:val="0"/>
        <w:rPr>
          <w:rFonts w:ascii="Calibri" w:eastAsia="Arial" w:hAnsi="Calibri" w:cs="Calibri"/>
          <w:kern w:val="2"/>
          <w:sz w:val="22"/>
          <w:szCs w:val="22"/>
        </w:rPr>
      </w:pPr>
      <w:bookmarkStart w:id="5" w:name="_Toc530396161"/>
      <w:bookmarkStart w:id="6" w:name="_Toc530395282"/>
      <w:r>
        <w:rPr>
          <w:rFonts w:ascii="Calibri" w:hAnsi="Calibri"/>
          <w:sz w:val="22"/>
        </w:rPr>
        <w:t>„Sekce HE 6</w:t>
      </w:r>
      <w:r>
        <w:rPr>
          <w:rFonts w:ascii="Calibri" w:hAnsi="Calibri"/>
          <w:sz w:val="22"/>
        </w:rPr>
        <w:br/>
        <w:t xml:space="preserve">Minimální </w:t>
      </w:r>
      <w:r>
        <w:rPr>
          <w:rFonts w:ascii="Calibri" w:hAnsi="Calibri"/>
          <w:i/>
          <w:sz w:val="22"/>
        </w:rPr>
        <w:t>počet zařízení infrastruktury pro nabíjení elektrických vozidel</w:t>
      </w:r>
      <w:r>
        <w:rPr>
          <w:rFonts w:ascii="Calibri" w:hAnsi="Calibri"/>
          <w:sz w:val="22"/>
        </w:rPr>
        <w:br/>
      </w:r>
      <w:bookmarkEnd w:id="5"/>
      <w:bookmarkEnd w:id="6"/>
    </w:p>
    <w:p w14:paraId="6EF7E441" w14:textId="77777777" w:rsidR="000760AB" w:rsidRPr="000760AB" w:rsidRDefault="000760AB" w:rsidP="000760AB">
      <w:pPr>
        <w:keepNext/>
        <w:widowControl w:val="0"/>
        <w:suppressAutoHyphens/>
        <w:spacing w:before="300" w:after="100"/>
        <w:ind w:left="284"/>
        <w:textAlignment w:val="baseline"/>
        <w:outlineLvl w:val="1"/>
        <w:rPr>
          <w:rFonts w:ascii="Calibri" w:eastAsia="Noto Sans CJK SC Regular" w:hAnsi="Calibri" w:cs="Calibri"/>
          <w:kern w:val="2"/>
          <w:sz w:val="22"/>
          <w:szCs w:val="22"/>
        </w:rPr>
      </w:pPr>
      <w:bookmarkStart w:id="7" w:name="_Toc530396162"/>
      <w:bookmarkStart w:id="8" w:name="_Toc530395283"/>
      <w:r>
        <w:rPr>
          <w:rFonts w:ascii="Calibri" w:hAnsi="Calibri"/>
          <w:sz w:val="22"/>
        </w:rPr>
        <w:t>1 Oblast působnosti</w:t>
      </w:r>
      <w:bookmarkEnd w:id="7"/>
      <w:bookmarkEnd w:id="8"/>
    </w:p>
    <w:p w14:paraId="36FC884D"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Požadavky stanovené v tomto oddíle se vztahují na budovy, které mají parkovací plochu uvnitř budovy nebo vně budovy, v těchto případech:</w:t>
      </w:r>
    </w:p>
    <w:p w14:paraId="1105C106"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nově postavené budovy;</w:t>
      </w:r>
    </w:p>
    <w:p w14:paraId="24CACEDC"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stávající budovy v těchto případech:</w:t>
      </w:r>
    </w:p>
    <w:p w14:paraId="136E92EF"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změny charakteristického užívání budovy;</w:t>
      </w:r>
    </w:p>
    <w:p w14:paraId="14079978"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rozšíření, v případech, které zahrnují zásahy do parkoviště a povrchové plochy nebo zastavěný objem jednotky nebo</w:t>
      </w:r>
      <w:r>
        <w:rPr>
          <w:rFonts w:ascii="Calibri" w:hAnsi="Calibri"/>
          <w:i/>
          <w:sz w:val="22"/>
        </w:rPr>
        <w:t xml:space="preserve"> jednotek použití</w:t>
      </w:r>
      <w:r>
        <w:rPr>
          <w:rFonts w:ascii="Calibri" w:hAnsi="Calibri"/>
          <w:sz w:val="22"/>
        </w:rPr>
        <w:t>, na kterých se zásah uskutečňuje, se zvyšuje o více než 10 % a zvětšená využitelná plocha je větší než 50 m</w:t>
      </w:r>
      <w:r>
        <w:rPr>
          <w:rFonts w:ascii="Calibri" w:hAnsi="Calibri"/>
          <w:sz w:val="22"/>
          <w:vertAlign w:val="superscript"/>
        </w:rPr>
        <w:t>2</w:t>
      </w:r>
      <w:r>
        <w:rPr>
          <w:rFonts w:ascii="Calibri" w:hAnsi="Calibri"/>
          <w:sz w:val="22"/>
        </w:rPr>
        <w:t>;</w:t>
      </w:r>
    </w:p>
    <w:p w14:paraId="02973E6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 xml:space="preserve">renovace, které zahrnují zásahy do parkoviště a při nichž se renovuje více než 25 % celkové plochy konečného </w:t>
      </w:r>
      <w:r>
        <w:rPr>
          <w:rFonts w:ascii="Calibri" w:hAnsi="Calibri"/>
          <w:i/>
          <w:sz w:val="22"/>
        </w:rPr>
        <w:t>tepelného pláště</w:t>
      </w:r>
      <w:r>
        <w:rPr>
          <w:rFonts w:ascii="Calibri" w:hAnsi="Calibri"/>
          <w:sz w:val="22"/>
        </w:rPr>
        <w:t xml:space="preserve"> budovy;</w:t>
      </w:r>
    </w:p>
    <w:p w14:paraId="7F40C209"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zásahy do elektrické instalace budovy, které mají vliv na více než 50 % výkonu instalovaného v budově před zásahem, v případech, kdy se parkoviště nachází uvnitř budovy;</w:t>
      </w:r>
      <w:r>
        <w:rPr>
          <w:rFonts w:ascii="Calibri" w:hAnsi="Calibri"/>
          <w:sz w:val="22"/>
          <w:u w:color="FF0000"/>
        </w:rPr>
        <w:t>, za předpokladu, že stavebník provádějící takový zásah má právo takto na parkovišti jednat</w:t>
      </w:r>
      <w:r>
        <w:rPr>
          <w:rFonts w:ascii="Calibri" w:hAnsi="Calibri"/>
          <w:sz w:val="22"/>
        </w:rPr>
        <w:t>;</w:t>
      </w:r>
    </w:p>
    <w:p w14:paraId="7260D95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strike/>
          <w:kern w:val="2"/>
          <w:sz w:val="22"/>
          <w:szCs w:val="22"/>
        </w:rPr>
      </w:pPr>
      <w:r>
        <w:rPr>
          <w:rFonts w:ascii="Calibri" w:hAnsi="Calibri"/>
          <w:sz w:val="22"/>
        </w:rPr>
        <w:t>zásahy do elektrické instalace parkoviště ovlivňující více než 50 % výkonu instalovaného na parkovišti před zásahem.</w:t>
      </w:r>
    </w:p>
    <w:p w14:paraId="087DE78C" w14:textId="77777777" w:rsidR="000760AB" w:rsidRPr="000760AB" w:rsidRDefault="000760AB" w:rsidP="00FD453F">
      <w:pPr>
        <w:numPr>
          <w:ilvl w:val="0"/>
          <w:numId w:val="34"/>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Do oblasti působnosti nespadají tyto prvky:</w:t>
      </w:r>
    </w:p>
    <w:p w14:paraId="6128A7B8" w14:textId="77777777" w:rsidR="000760AB" w:rsidRPr="000760AB" w:rsidRDefault="000760AB" w:rsidP="00FD453F">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budovy určené k jinému použití než k soukromému bydlení s parkovištěm s nejvýše 10 parkovacími místy;</w:t>
      </w:r>
    </w:p>
    <w:p w14:paraId="6FB73115"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 xml:space="preserve">b) stávající budovy určené k jinému použití než k soukromému bydlení s parkovací plochou nejvýše 20 parkovacích míst a stávající budovy pro </w:t>
      </w:r>
      <w:r>
        <w:rPr>
          <w:rFonts w:ascii="Calibri" w:hAnsi="Calibri"/>
          <w:i/>
          <w:sz w:val="22"/>
        </w:rPr>
        <w:t>soukromé bydlení</w:t>
      </w:r>
      <w:r>
        <w:rPr>
          <w:rFonts w:ascii="Calibri" w:hAnsi="Calibri"/>
          <w:sz w:val="22"/>
        </w:rPr>
        <w:t>, pokud v obou případech náklady na splnění tohoto odstavce převyšují 7 % nákladů na rozšíření, změnu využití nebo renovační zásah, což vede k povinnosti splnit požadavky. Za účelem stanovení výše uvedených nákladů na zásahy se zohledňují jejich skutečné a efektivní náklady, kterými se rozumí náklady na jejich fyzické provedení;</w:t>
      </w:r>
    </w:p>
    <w:p w14:paraId="61E2DA67"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lastRenderedPageBreak/>
        <w:t>c) budovy, které jsou úředně chráněny, protože jsou součástí deklarovaného prostředí nebo z důvodu jejich zvláštní architektonické nebo historické hodnoty, jsou z těchto povinností vyloučeny, pokud by splnění požadavků stanovených v této části mohlo nepřiměřeně změnit jejich charakter nebo vzhled, přičemž neměnné prvky určí orgán pro úřední ochranu.</w:t>
      </w:r>
      <w:bookmarkStart w:id="9" w:name="_Toc530396163"/>
      <w:bookmarkStart w:id="10" w:name="_Toc530395284"/>
    </w:p>
    <w:p w14:paraId="56E19149" w14:textId="77777777" w:rsidR="000760AB" w:rsidRPr="000760AB" w:rsidRDefault="000760AB" w:rsidP="000760AB">
      <w:pPr>
        <w:spacing w:before="60" w:after="60"/>
        <w:ind w:left="567"/>
        <w:jc w:val="both"/>
        <w:rPr>
          <w:rFonts w:ascii="Calibri" w:hAnsi="Calibri" w:cs="Calibri"/>
          <w:sz w:val="22"/>
          <w:szCs w:val="22"/>
        </w:rPr>
      </w:pPr>
    </w:p>
    <w:p w14:paraId="268F7EA1" w14:textId="77777777" w:rsidR="000760AB" w:rsidRPr="000760AB" w:rsidRDefault="000760AB" w:rsidP="000760AB">
      <w:pPr>
        <w:spacing w:before="60" w:after="60"/>
        <w:ind w:left="284"/>
        <w:jc w:val="both"/>
        <w:rPr>
          <w:rFonts w:ascii="Calibri" w:hAnsi="Calibri" w:cs="Calibri"/>
          <w:sz w:val="22"/>
          <w:szCs w:val="22"/>
        </w:rPr>
      </w:pPr>
      <w:r>
        <w:rPr>
          <w:rFonts w:ascii="Calibri" w:hAnsi="Calibri"/>
          <w:sz w:val="22"/>
        </w:rPr>
        <w:t>2</w:t>
      </w:r>
      <w:r>
        <w:rPr>
          <w:rFonts w:ascii="Calibri" w:hAnsi="Calibri"/>
          <w:sz w:val="22"/>
        </w:rPr>
        <w:tab/>
        <w:t>Popis požadavku</w:t>
      </w:r>
      <w:bookmarkEnd w:id="9"/>
      <w:bookmarkEnd w:id="10"/>
    </w:p>
    <w:p w14:paraId="69F9A98C"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1</w:t>
      </w:r>
      <w:r>
        <w:rPr>
          <w:rFonts w:ascii="Calibri" w:hAnsi="Calibri"/>
          <w:sz w:val="22"/>
        </w:rPr>
        <w:tab/>
        <w:t xml:space="preserve">Budovy musí mít minimální infrastrukturu umožňující dobíjení </w:t>
      </w:r>
      <w:r>
        <w:rPr>
          <w:rFonts w:ascii="Calibri" w:hAnsi="Calibri"/>
          <w:i/>
          <w:sz w:val="22"/>
        </w:rPr>
        <w:t>elektrických vozidel</w:t>
      </w:r>
      <w:r>
        <w:rPr>
          <w:rFonts w:ascii="Calibri" w:hAnsi="Calibri"/>
          <w:sz w:val="22"/>
        </w:rPr>
        <w:t>.</w:t>
      </w:r>
    </w:p>
    <w:p w14:paraId="29EA4F8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Tato</w:t>
      </w:r>
      <w:r>
        <w:rPr>
          <w:rFonts w:ascii="Calibri" w:hAnsi="Calibri"/>
          <w:i/>
          <w:sz w:val="22"/>
        </w:rPr>
        <w:t xml:space="preserve"> infrastruktura pro nabíjení elektrických vozidel</w:t>
      </w:r>
      <w:r>
        <w:rPr>
          <w:rFonts w:ascii="Calibri" w:hAnsi="Calibri"/>
          <w:sz w:val="22"/>
        </w:rPr>
        <w:t xml:space="preserve"> musí být v souladu s ustanoveními stávajícího předpisu pro nízkonapěťové elektrotechnické systémy a jeho dodatečného technického pokynu (ITC) BT 52 „Zařízení pro zvláštní účely. Infrastruktura pro nabíjení </w:t>
      </w:r>
      <w:r>
        <w:rPr>
          <w:rFonts w:ascii="Calibri" w:hAnsi="Calibri"/>
          <w:i/>
          <w:sz w:val="22"/>
        </w:rPr>
        <w:t>elektrických vozidel</w:t>
      </w:r>
      <w:r>
        <w:rPr>
          <w:rFonts w:ascii="Calibri" w:hAnsi="Calibri"/>
          <w:sz w:val="22"/>
        </w:rPr>
        <w:t>“.</w:t>
      </w:r>
      <w:bookmarkStart w:id="11" w:name="_Toc530396164"/>
      <w:bookmarkStart w:id="12" w:name="_Toc530395285"/>
    </w:p>
    <w:p w14:paraId="1CF8D41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lang w:eastAsia="zh-CN" w:bidi="hi-IN"/>
        </w:rPr>
      </w:pPr>
    </w:p>
    <w:p w14:paraId="10EC5F9A"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3</w:t>
      </w:r>
      <w:r>
        <w:rPr>
          <w:rFonts w:ascii="Calibri" w:hAnsi="Calibri"/>
          <w:sz w:val="22"/>
        </w:rPr>
        <w:tab/>
        <w:t>Kvantifikace požadavku</w:t>
      </w:r>
      <w:bookmarkEnd w:id="11"/>
      <w:bookmarkEnd w:id="12"/>
    </w:p>
    <w:p w14:paraId="571C5F1A"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1</w:t>
      </w:r>
      <w:r>
        <w:rPr>
          <w:rFonts w:ascii="Calibri" w:hAnsi="Calibri"/>
          <w:sz w:val="22"/>
        </w:rPr>
        <w:tab/>
        <w:t xml:space="preserve">V budovách pro </w:t>
      </w:r>
      <w:r>
        <w:rPr>
          <w:rFonts w:ascii="Calibri" w:hAnsi="Calibri"/>
          <w:i/>
          <w:sz w:val="22"/>
        </w:rPr>
        <w:t>soukromé bydlení</w:t>
      </w:r>
      <w:r>
        <w:rPr>
          <w:rFonts w:ascii="Calibri" w:hAnsi="Calibri"/>
          <w:sz w:val="22"/>
        </w:rPr>
        <w:t xml:space="preserve"> musí být instalovány systémy pro vedení kabelů, které umožní budoucí dodávání elektřiny do </w:t>
      </w:r>
      <w:r>
        <w:rPr>
          <w:rFonts w:ascii="Calibri" w:hAnsi="Calibri"/>
          <w:i/>
          <w:sz w:val="22"/>
        </w:rPr>
        <w:t>dobíjecích stanic</w:t>
      </w:r>
      <w:r>
        <w:rPr>
          <w:rFonts w:ascii="Calibri" w:hAnsi="Calibri"/>
          <w:sz w:val="22"/>
        </w:rPr>
        <w:t xml:space="preserve"> pro 100 % parkovacích míst.</w:t>
      </w:r>
    </w:p>
    <w:p w14:paraId="76793F36"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2</w:t>
      </w:r>
      <w:r>
        <w:rPr>
          <w:rFonts w:ascii="Calibri" w:hAnsi="Calibri"/>
          <w:sz w:val="22"/>
        </w:rPr>
        <w:tab/>
        <w:t xml:space="preserve">V budovách určených k jinému použití než k soukromému bydlení musí být instalovány systémy pro vedení kabelů, které umožní budoucí dodávání elektřiny do </w:t>
      </w:r>
      <w:r>
        <w:rPr>
          <w:rFonts w:ascii="Calibri" w:hAnsi="Calibri"/>
          <w:i/>
          <w:sz w:val="22"/>
        </w:rPr>
        <w:t>dobíjecích stanic</w:t>
      </w:r>
      <w:r>
        <w:rPr>
          <w:rFonts w:ascii="Calibri" w:hAnsi="Calibri"/>
          <w:sz w:val="22"/>
        </w:rPr>
        <w:t xml:space="preserve"> pro nejméně 20 % parkovacích míst.</w:t>
      </w:r>
    </w:p>
    <w:p w14:paraId="247AE17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Kromě toho musí být na každých 40 parkovacích míst nebo jejich část instalována </w:t>
      </w:r>
      <w:r>
        <w:rPr>
          <w:rFonts w:ascii="Calibri" w:hAnsi="Calibri"/>
          <w:i/>
          <w:sz w:val="22"/>
        </w:rPr>
        <w:t>dobíjecí stanice</w:t>
      </w:r>
      <w:r>
        <w:rPr>
          <w:rFonts w:ascii="Calibri" w:hAnsi="Calibri"/>
          <w:sz w:val="22"/>
        </w:rPr>
        <w:t>.</w:t>
      </w:r>
    </w:p>
    <w:p w14:paraId="192987C0"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V budovách určených k jinému použití než k soukromému bydlení vlastněných všeobecnou státní správou nebo veřejnými subjekty, které jsou s ní spojeny nebo jsou na ní závislé, musí být minimální počet zařízení vyšší, než je obecně stanovený minimální počet zařízení, přičemž na každých 20 parkovacích míst nebo jejich část musí být instalována</w:t>
      </w:r>
      <w:r>
        <w:rPr>
          <w:rFonts w:ascii="Calibri" w:hAnsi="Calibri"/>
          <w:color w:val="1F497D"/>
          <w:sz w:val="22"/>
        </w:rPr>
        <w:t xml:space="preserve"> </w:t>
      </w:r>
      <w:r>
        <w:rPr>
          <w:rFonts w:ascii="Calibri" w:hAnsi="Calibri"/>
          <w:sz w:val="22"/>
        </w:rPr>
        <w:t xml:space="preserve">jedna </w:t>
      </w:r>
      <w:r>
        <w:rPr>
          <w:rFonts w:ascii="Calibri" w:hAnsi="Calibri"/>
          <w:i/>
          <w:sz w:val="22"/>
        </w:rPr>
        <w:t>dobíjecí stanice</w:t>
      </w:r>
      <w:r>
        <w:rPr>
          <w:rFonts w:ascii="Calibri" w:hAnsi="Calibri"/>
          <w:sz w:val="22"/>
        </w:rPr>
        <w:t>.</w:t>
      </w:r>
    </w:p>
    <w:p w14:paraId="69499695"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V případě parkovišť s přístupnými parkovacími místy, jak je stanoveno v základním dokumentu o bezpečnosti při používání a přístupnosti (DB SUA), musí být na každých 5 přístupných parkovacích místech instalována jedna </w:t>
      </w:r>
      <w:r>
        <w:rPr>
          <w:rFonts w:ascii="Calibri" w:hAnsi="Calibri"/>
          <w:i/>
          <w:sz w:val="22"/>
        </w:rPr>
        <w:t>dobíjecí stanice</w:t>
      </w:r>
      <w:r>
        <w:rPr>
          <w:rFonts w:ascii="Calibri" w:hAnsi="Calibri"/>
          <w:sz w:val="22"/>
        </w:rPr>
        <w:t xml:space="preserve">. </w:t>
      </w:r>
      <w:r>
        <w:rPr>
          <w:rFonts w:ascii="Calibri" w:hAnsi="Calibri"/>
          <w:i/>
          <w:sz w:val="22"/>
        </w:rPr>
        <w:t>Dobíjecí stanice</w:t>
      </w:r>
      <w:r>
        <w:rPr>
          <w:rFonts w:ascii="Calibri" w:hAnsi="Calibri"/>
          <w:sz w:val="22"/>
        </w:rPr>
        <w:t xml:space="preserve"> u těchto míst se započítávají pro účely splnění kvantifikace požadavku.</w:t>
      </w:r>
    </w:p>
    <w:p w14:paraId="4722B70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3</w:t>
      </w:r>
      <w:r>
        <w:rPr>
          <w:rFonts w:ascii="Calibri" w:hAnsi="Calibri"/>
          <w:sz w:val="22"/>
        </w:rPr>
        <w:tab/>
        <w:t xml:space="preserve">Na budovy, které mají jednotky pro </w:t>
      </w:r>
      <w:r>
        <w:rPr>
          <w:rFonts w:ascii="Calibri" w:hAnsi="Calibri"/>
          <w:i/>
          <w:sz w:val="22"/>
        </w:rPr>
        <w:t xml:space="preserve">soukromé bydlení </w:t>
      </w:r>
      <w:r>
        <w:rPr>
          <w:rFonts w:ascii="Calibri" w:hAnsi="Calibri"/>
          <w:sz w:val="22"/>
        </w:rPr>
        <w:t>společně s jednotkami pro jiné použití, kde parkovací plochy spojené s jednotlivými druhy užívání nejsou jasně rozlišeny, se použije kritérium charakteristického užívání budovy.</w:t>
      </w:r>
      <w:bookmarkStart w:id="13" w:name="_Toc530396167"/>
      <w:bookmarkStart w:id="14" w:name="_Toc530395288"/>
    </w:p>
    <w:p w14:paraId="19D587A1" w14:textId="77777777" w:rsidR="000760AB" w:rsidRPr="000760AB" w:rsidRDefault="000760AB" w:rsidP="000760AB">
      <w:pPr>
        <w:spacing w:before="120" w:after="60"/>
        <w:ind w:left="567"/>
        <w:jc w:val="both"/>
        <w:rPr>
          <w:rFonts w:ascii="Calibri" w:hAnsi="Calibri" w:cs="Calibri"/>
          <w:sz w:val="22"/>
          <w:szCs w:val="22"/>
        </w:rPr>
      </w:pPr>
    </w:p>
    <w:p w14:paraId="2FC0E269"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4</w:t>
      </w:r>
      <w:r>
        <w:rPr>
          <w:rFonts w:ascii="Calibri" w:hAnsi="Calibri"/>
          <w:sz w:val="22"/>
        </w:rPr>
        <w:tab/>
        <w:t>Odůvodnění požadavku</w:t>
      </w:r>
      <w:bookmarkEnd w:id="13"/>
      <w:bookmarkEnd w:id="14"/>
    </w:p>
    <w:p w14:paraId="15BAB575" w14:textId="77777777" w:rsidR="000760AB" w:rsidRPr="000760AB" w:rsidRDefault="000760AB" w:rsidP="000760AB">
      <w:pPr>
        <w:spacing w:before="240" w:after="100"/>
        <w:ind w:left="284"/>
        <w:jc w:val="both"/>
        <w:rPr>
          <w:rFonts w:ascii="Calibri" w:eastAsia="Arial" w:hAnsi="Calibri" w:cs="Calibri"/>
          <w:kern w:val="2"/>
          <w:sz w:val="22"/>
          <w:szCs w:val="22"/>
        </w:rPr>
      </w:pPr>
      <w:r>
        <w:rPr>
          <w:rFonts w:ascii="Calibri" w:hAnsi="Calibri"/>
          <w:sz w:val="22"/>
        </w:rPr>
        <w:t>1</w:t>
      </w:r>
      <w:r>
        <w:rPr>
          <w:rFonts w:ascii="Calibri" w:hAnsi="Calibri"/>
          <w:sz w:val="22"/>
        </w:rPr>
        <w:tab/>
        <w:t>K prokázání, že budova splňuje požadavky tohoto základního dokumentu, musí projektová dokumentace obsahovat tyto informace o budově nebo její příslušné části:</w:t>
      </w:r>
    </w:p>
    <w:p w14:paraId="36CFFEC7"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schéma zapojení používané pro dimenzování, jak je popsáno v předpisu pro nízkonapěťové elektrotechnické systémy;</w:t>
      </w:r>
    </w:p>
    <w:p w14:paraId="646DF7C0"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popis hlavního vedení a připravených kabelovodů s uvedením procentního podílu parkovacích míst se systémy pro vedení kabelů a minimálního požadovaného procentního podílu;</w:t>
      </w:r>
    </w:p>
    <w:p w14:paraId="69C66A52"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c) počet instalovaných </w:t>
      </w:r>
      <w:r>
        <w:rPr>
          <w:rFonts w:ascii="Calibri" w:hAnsi="Calibri"/>
          <w:i/>
          <w:sz w:val="22"/>
        </w:rPr>
        <w:t>dobíjecích stanic</w:t>
      </w:r>
      <w:r>
        <w:rPr>
          <w:rFonts w:ascii="Calibri" w:hAnsi="Calibri"/>
          <w:sz w:val="22"/>
        </w:rPr>
        <w:t xml:space="preserve"> a minimální počet vyplývající z kvantifikace požadavku;</w:t>
      </w:r>
    </w:p>
    <w:p w14:paraId="7BE9C95E"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d) typy </w:t>
      </w:r>
      <w:r>
        <w:rPr>
          <w:rFonts w:ascii="Calibri" w:hAnsi="Calibri"/>
          <w:i/>
          <w:sz w:val="22"/>
        </w:rPr>
        <w:t>dobíjecích stanic</w:t>
      </w:r>
      <w:r>
        <w:rPr>
          <w:rFonts w:ascii="Calibri" w:hAnsi="Calibri"/>
          <w:sz w:val="22"/>
        </w:rPr>
        <w:t xml:space="preserve"> a jejich hodnoty výkonu.</w:t>
      </w:r>
      <w:bookmarkStart w:id="15" w:name="_Toc530396168"/>
      <w:bookmarkStart w:id="16" w:name="_Toc530395289"/>
    </w:p>
    <w:p w14:paraId="52DF0579" w14:textId="77777777" w:rsidR="000760AB" w:rsidRPr="000760AB" w:rsidRDefault="000760AB" w:rsidP="000760AB">
      <w:pPr>
        <w:suppressAutoHyphens/>
        <w:spacing w:before="60" w:after="60"/>
        <w:ind w:left="567"/>
        <w:jc w:val="both"/>
        <w:textAlignment w:val="baseline"/>
        <w:rPr>
          <w:rFonts w:ascii="Calibri" w:eastAsia="Arial" w:hAnsi="Calibri" w:cs="Calibri"/>
          <w:kern w:val="2"/>
          <w:sz w:val="22"/>
          <w:szCs w:val="22"/>
          <w:lang w:eastAsia="zh-CN" w:bidi="hi-IN"/>
        </w:rPr>
      </w:pPr>
    </w:p>
    <w:p w14:paraId="50E1C334"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lastRenderedPageBreak/>
        <w:t>5</w:t>
      </w:r>
      <w:r>
        <w:rPr>
          <w:rFonts w:ascii="Calibri" w:hAnsi="Calibri"/>
          <w:sz w:val="22"/>
        </w:rPr>
        <w:tab/>
        <w:t>Výstavba, údržba a udržování</w:t>
      </w:r>
      <w:bookmarkEnd w:id="15"/>
      <w:bookmarkEnd w:id="16"/>
    </w:p>
    <w:p w14:paraId="000A9057"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7" w:name="_Toc530396169"/>
      <w:bookmarkStart w:id="18" w:name="_Toc530395290"/>
      <w:r>
        <w:rPr>
          <w:rFonts w:ascii="Calibri" w:hAnsi="Calibri"/>
          <w:sz w:val="22"/>
        </w:rPr>
        <w:t>5.1 Provádění</w:t>
      </w:r>
      <w:bookmarkEnd w:id="17"/>
      <w:bookmarkEnd w:id="18"/>
    </w:p>
    <w:p w14:paraId="3050030B"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Stavební práce na budově se provádějí v souladu s projektem a jeho úpravami schválenými vedoucím stavby se souhlasem stavebníka a v souladu s použitelnými právními předpisy, specifikacemi předpisu pro nízkonapěťové elektrotechnické systémy a jeho dodatečného technického pokynu ITC BT-52 „Zařízení pro zvláštní účely“. Infrastruktura pro nabíjení </w:t>
      </w:r>
      <w:r>
        <w:rPr>
          <w:rFonts w:ascii="Calibri" w:hAnsi="Calibri"/>
          <w:i/>
          <w:sz w:val="22"/>
        </w:rPr>
        <w:t>elektrických vozidel</w:t>
      </w:r>
      <w:r>
        <w:rPr>
          <w:rFonts w:ascii="Calibri" w:hAnsi="Calibri"/>
          <w:sz w:val="22"/>
        </w:rPr>
        <w:t>“, podle norem správné stavební praxe a pokynů vedoucího stavby a vedoucího realizace projektu, jak je uvedeno v článku 7 části I technického stavebního řádu.</w:t>
      </w:r>
    </w:p>
    <w:p w14:paraId="089181A3"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9" w:name="_Toc530396170"/>
      <w:bookmarkStart w:id="20" w:name="_Toc530395291"/>
      <w:r>
        <w:rPr>
          <w:rFonts w:ascii="Calibri" w:hAnsi="Calibri"/>
          <w:sz w:val="22"/>
        </w:rPr>
        <w:t>5.2 Sledování provádění prací</w:t>
      </w:r>
      <w:bookmarkEnd w:id="19"/>
      <w:bookmarkEnd w:id="20"/>
    </w:p>
    <w:p w14:paraId="5126F3A6"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Provádění prací </w:t>
      </w:r>
      <w:r>
        <w:rPr>
          <w:rFonts w:ascii="Calibri" w:hAnsi="Calibri"/>
          <w:color w:val="FF0000"/>
          <w:sz w:val="22"/>
        </w:rPr>
        <w:t xml:space="preserve"> </w:t>
      </w:r>
      <w:r>
        <w:rPr>
          <w:rFonts w:ascii="Calibri" w:hAnsi="Calibri"/>
          <w:sz w:val="22"/>
        </w:rPr>
        <w:t>musí být sledováno v souladu se specifikacemi projektu, jeho přílohami a úpravami autorizovanými vedoucím stavby a s pokyny vedoucího realizace projektu podle specifikací předpisů pro nízkonapěťové elektrotechnické systémy, v souladu s čl. 7 odst. 3 části I technického stavebního řádu a dalšími platnými předpisy.</w:t>
      </w:r>
    </w:p>
    <w:p w14:paraId="5E5E124D"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Provádění prací se kontroluje s cílem zajistit, že kontroly jsou prováděny v požadované četnosti podle specifikací projektu.</w:t>
      </w:r>
    </w:p>
    <w:p w14:paraId="59F0FC7F"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3</w:t>
      </w:r>
      <w:r>
        <w:rPr>
          <w:rFonts w:ascii="Calibri" w:hAnsi="Calibri"/>
          <w:sz w:val="22"/>
        </w:rPr>
        <w:tab/>
        <w:t>Veškeré změny provedené během provádění prací se zaznamenají v dokumentaci dokončených prací a ve všech případech musí být splněny minimální podmínky stanovené v tomto základním dokumentu.</w:t>
      </w:r>
    </w:p>
    <w:p w14:paraId="0D137CE4"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4</w:t>
      </w:r>
      <w:r>
        <w:rPr>
          <w:rFonts w:ascii="Calibri" w:hAnsi="Calibri"/>
          <w:sz w:val="22"/>
        </w:rPr>
        <w:tab/>
        <w:t>Dokumentace týkající se vlastností výrobků, zařízení a systémů zabudovaných do budovy musí být uvedena ve stavebním deníku.</w:t>
      </w:r>
    </w:p>
    <w:p w14:paraId="3FAAE7C2"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1" w:name="_Toc530396171"/>
      <w:bookmarkStart w:id="22" w:name="_Toc530395292"/>
      <w:r>
        <w:rPr>
          <w:rFonts w:ascii="Calibri" w:hAnsi="Calibri"/>
          <w:sz w:val="22"/>
        </w:rPr>
        <w:t>5.3 Kontrola dokončených prací</w:t>
      </w:r>
      <w:bookmarkEnd w:id="21"/>
      <w:bookmarkEnd w:id="22"/>
    </w:p>
    <w:p w14:paraId="1A89C868"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Kontrola dokončených prací musí splňovat kritéria uvedená v čl. 7 odst. 4 části I technického stavebního řádu.</w:t>
      </w:r>
    </w:p>
    <w:p w14:paraId="32DA09D6"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Tento oddíl základního dokumentu nepředepisuje závěrečné zkoušky.</w:t>
      </w:r>
    </w:p>
    <w:p w14:paraId="71B8183A"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3" w:name="_Toc530396172"/>
      <w:bookmarkStart w:id="24" w:name="_Toc530395293"/>
      <w:r>
        <w:rPr>
          <w:rFonts w:ascii="Calibri" w:hAnsi="Calibri"/>
          <w:sz w:val="22"/>
        </w:rPr>
        <w:t>5.4 Údržba a udržování budovy</w:t>
      </w:r>
      <w:bookmarkEnd w:id="23"/>
      <w:bookmarkEnd w:id="24"/>
    </w:p>
    <w:p w14:paraId="3E865FD5"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Plán údržby zahrnutý do stavebního deníku zahrnuje provádění a četnost potřebné údržby, v průběhu času, konstrukčních a výkonnostních parametrů </w:t>
      </w:r>
      <w:r>
        <w:rPr>
          <w:rFonts w:ascii="Calibri" w:hAnsi="Calibri"/>
          <w:i/>
          <w:sz w:val="22"/>
        </w:rPr>
        <w:t>infrastruktury pro nabíjení elektrických vozidel</w:t>
      </w:r>
      <w:r>
        <w:rPr>
          <w:rFonts w:ascii="Calibri" w:hAnsi="Calibri"/>
          <w:sz w:val="22"/>
        </w:rPr>
        <w:t>.</w:t>
      </w:r>
    </w:p>
    <w:p w14:paraId="44174479"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Rovněž musí stavební deník dokumentovat veškeré zásahy, ať už opravy, renovace nebo sanace, provedené po celou dobu životnosti budovy.“</w:t>
      </w:r>
    </w:p>
    <w:p w14:paraId="4BAAA47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mm) V příloze A se zrušují výrazy „počáteční osvětlení“ a „odrazivost“.</w:t>
      </w:r>
    </w:p>
    <w:p w14:paraId="6C74EA4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nn) V příloze A se v definici pojmu „</w:t>
      </w:r>
      <w:r>
        <w:rPr>
          <w:rFonts w:ascii="Calibri" w:hAnsi="Calibri"/>
          <w:i/>
          <w:sz w:val="22"/>
        </w:rPr>
        <w:t>Celkový koeficient přenosu tepla (přes tepelný plášť budovy</w:t>
      </w:r>
      <w:r>
        <w:rPr>
          <w:rFonts w:ascii="Calibri" w:hAnsi="Calibri"/>
          <w:sz w:val="22"/>
        </w:rPr>
        <w:t>) (K)“ se text: “... K = X Hx/Aint..." nahrazuje textem s „x", „x" a „int" v indexu: “... K = Σ</w:t>
      </w:r>
      <w:r>
        <w:rPr>
          <w:rFonts w:ascii="Calibri" w:hAnsi="Calibri"/>
          <w:sz w:val="22"/>
          <w:vertAlign w:val="subscript"/>
        </w:rPr>
        <w:t>x</w:t>
      </w:r>
      <w:r>
        <w:rPr>
          <w:rFonts w:ascii="Calibri" w:hAnsi="Calibri"/>
          <w:sz w:val="22"/>
        </w:rPr>
        <w:t xml:space="preserve"> H</w:t>
      </w:r>
      <w:r>
        <w:rPr>
          <w:rFonts w:ascii="Calibri" w:hAnsi="Calibri"/>
          <w:sz w:val="22"/>
          <w:vertAlign w:val="subscript"/>
        </w:rPr>
        <w:t>x</w:t>
      </w:r>
      <w:r>
        <w:rPr>
          <w:rFonts w:ascii="Calibri" w:hAnsi="Calibri"/>
          <w:sz w:val="22"/>
        </w:rPr>
        <w:t xml:space="preserve"> / A</w:t>
      </w:r>
      <w:r>
        <w:rPr>
          <w:rFonts w:ascii="Calibri" w:hAnsi="Calibri"/>
          <w:sz w:val="22"/>
          <w:vertAlign w:val="subscript"/>
        </w:rPr>
        <w:t>int</w:t>
      </w:r>
      <w:r>
        <w:rPr>
          <w:rFonts w:ascii="Calibri" w:hAnsi="Calibri"/>
          <w:sz w:val="22"/>
        </w:rPr>
        <w:t>...“, se slova „parietodynamické stěny“ a „Trombeho stěny’ uvádějí kurzívou.</w:t>
      </w:r>
    </w:p>
    <w:p w14:paraId="5C4DBA8E"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2CFABC1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ññ) V příloze A Terminologie se v definici pojmu „Kompaktnost“ slovo „kompaktnost“ ve druhém odstavci uvádí kurzívou.</w:t>
      </w:r>
    </w:p>
    <w:p w14:paraId="2A0F9F45"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oo) V příloze A Terminologie se v definici pojmu „provozní podmínky“ slova „soukromé bydlení“ uvádějí kurzívou.</w:t>
      </w:r>
    </w:p>
    <w:p w14:paraId="345DE1C6"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pp) V příloze A Terminologie se v definici pojmu „spotřeba primární energie z neobnovitelných zdrojů“ slova: “... Spotřeba primární energie z neobnovitelných zdrojů..." nahrazují slovy s „ep,nren" v indexu: “... Spotřeba primární energie z neobnovitelných zdrojů (C</w:t>
      </w:r>
      <w:r>
        <w:rPr>
          <w:rFonts w:ascii="Calibri" w:hAnsi="Calibri"/>
          <w:sz w:val="22"/>
          <w:vertAlign w:val="subscript"/>
        </w:rPr>
        <w:t>ep,nren</w:t>
      </w:r>
      <w:r>
        <w:rPr>
          <w:rFonts w:ascii="Calibri" w:hAnsi="Calibri"/>
          <w:sz w:val="22"/>
        </w:rPr>
        <w:t>)...“.</w:t>
      </w:r>
    </w:p>
    <w:p w14:paraId="10AB3C41"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14333C7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lastRenderedPageBreak/>
        <w:t>qq) V příloze A Terminologie se v definici pojmu „Celková spotřeba primární energie“ slova: “... Celková spotřeba primární energie..." nahrazují slovy s „ep,tot" v indexu: “... Celková spotřeba primární energie (C</w:t>
      </w:r>
      <w:r>
        <w:rPr>
          <w:rFonts w:ascii="Calibri" w:hAnsi="Calibri"/>
          <w:sz w:val="22"/>
          <w:vertAlign w:val="subscript"/>
        </w:rPr>
        <w:t>ep,tot</w:t>
      </w:r>
      <w:r>
        <w:rPr>
          <w:rFonts w:ascii="Calibri" w:hAnsi="Calibri"/>
          <w:sz w:val="22"/>
        </w:rPr>
        <w:t>)...“.</w:t>
      </w:r>
    </w:p>
    <w:p w14:paraId="0CA46E11"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1B1F2FC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rr) V příloze A se v definici pojmu „solární regulace (q</w:t>
      </w:r>
      <w:r>
        <w:rPr>
          <w:rFonts w:ascii="Calibri" w:hAnsi="Calibri"/>
          <w:sz w:val="22"/>
          <w:vertAlign w:val="subscript"/>
        </w:rPr>
        <w:t>sol;jul</w:t>
      </w:r>
      <w:r>
        <w:rPr>
          <w:rFonts w:ascii="Calibri" w:hAnsi="Calibri"/>
          <w:sz w:val="22"/>
        </w:rPr>
        <w:t>)“ se slova: „... užitečná podlahová plocha prostor...“ nahrazují slovy: „... užitečná podlahová plocha obytných prostor...“. Tečka a nový odstavec na konci definice složky vzorce „Hsol;jul“ se nahrazují středníkem a doplňuje se definice jiné složky vzorce, která zní:</w:t>
      </w:r>
    </w:p>
    <w:p w14:paraId="1679E36E"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„Oblast A</w:t>
      </w:r>
      <w:r>
        <w:rPr>
          <w:rFonts w:ascii="Calibri" w:hAnsi="Calibri"/>
          <w:sz w:val="22"/>
          <w:vertAlign w:val="subscript"/>
        </w:rPr>
        <w:t>util</w:t>
      </w:r>
      <w:r>
        <w:rPr>
          <w:rFonts w:ascii="Calibri" w:hAnsi="Calibri"/>
          <w:sz w:val="22"/>
        </w:rPr>
        <w:t xml:space="preserve"> považovaná za vyhovující oddílu 4.6 HE 0.“</w:t>
      </w:r>
    </w:p>
    <w:p w14:paraId="5D16B4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ss) V příloze A se v definici pojmu „konečná energie“ slova „je to, co spotřebitelé nakupují ve formě elektřiny nebo paliv používaných přímo“ nahrazují slovy „Je to ta, která je dodávána do systémů budov za účelem poskytování služeb; tyto dodávky jsou obvykle poskytovány prostřednictvím paliv, výrobou na místě nebo zvláštními sítěmi (elektřina, plyn, dálkové vytápění nebo chlazení atd.)“.</w:t>
      </w:r>
    </w:p>
    <w:p w14:paraId="4B18500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tt) V příloze A Terminologie se v definici pojmu „Klimatizovaný obytný prostor“ slova „soukromé bydlení“ uvádějí kurzívou.</w:t>
      </w:r>
    </w:p>
    <w:p w14:paraId="7EC3AE4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uu) V příloze A Terminologie se v definici pojmu „Doba užívání“ ve druhém odstavci slova „soukromé bydlení“ uvádějí kurzívou.</w:t>
      </w:r>
    </w:p>
    <w:p w14:paraId="3400E1E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vv) V příloze A se v definici pojmu „Tepelná propustnost (hodnota U)“ na konci definice doplňuje nová věta, která zní:</w:t>
      </w:r>
    </w:p>
    <w:p w14:paraId="20E76982"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„Vyjádřeno v W/m</w:t>
      </w:r>
      <w:r>
        <w:rPr>
          <w:rFonts w:ascii="Calibri" w:hAnsi="Calibri"/>
          <w:sz w:val="22"/>
          <w:vertAlign w:val="superscript"/>
        </w:rPr>
        <w:t>2</w:t>
      </w:r>
      <w:r>
        <w:rPr>
          <w:rFonts w:ascii="Calibri" w:hAnsi="Calibri"/>
          <w:sz w:val="22"/>
        </w:rPr>
        <w:t>K.“</w:t>
      </w:r>
    </w:p>
    <w:p w14:paraId="68C76D1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ww) V příloze A Terminologie se v definici pojmu „Hodnota energetické účinnosti zařízení (VEEI)“ slova „soukromé bydlení“ uvádějí kurzívou.</w:t>
      </w:r>
    </w:p>
    <w:p w14:paraId="45B16639" w14:textId="77777777" w:rsidR="000760AB" w:rsidRPr="000760AB" w:rsidRDefault="000760AB" w:rsidP="000760AB">
      <w:pPr>
        <w:spacing w:after="160" w:line="259" w:lineRule="auto"/>
        <w:ind w:left="567" w:hanging="283"/>
        <w:jc w:val="both"/>
        <w:rPr>
          <w:rFonts w:ascii="Calibri" w:eastAsia="Calibri" w:hAnsi="Calibri" w:cs="Calibri"/>
          <w:sz w:val="22"/>
          <w:szCs w:val="22"/>
        </w:rPr>
      </w:pPr>
      <w:r>
        <w:rPr>
          <w:rFonts w:ascii="Calibri" w:hAnsi="Calibri"/>
          <w:sz w:val="22"/>
        </w:rPr>
        <w:t>xx) Do přílohy A „Terminologie“ se zařazují tyto pojmy:</w:t>
      </w:r>
    </w:p>
    <w:p w14:paraId="41AB6223" w14:textId="77777777" w:rsidR="000760AB" w:rsidRPr="000760AB" w:rsidRDefault="000760AB" w:rsidP="00FD453F">
      <w:pPr>
        <w:spacing w:before="200" w:after="120"/>
        <w:ind w:left="284"/>
        <w:jc w:val="both"/>
        <w:rPr>
          <w:rFonts w:ascii="Calibri" w:eastAsia="Arial" w:hAnsi="Calibri" w:cs="Calibri"/>
          <w:kern w:val="2"/>
          <w:sz w:val="22"/>
        </w:rPr>
      </w:pPr>
      <w:r>
        <w:rPr>
          <w:rFonts w:ascii="Calibri" w:hAnsi="Calibri"/>
          <w:sz w:val="22"/>
        </w:rPr>
        <w:t>„</w:t>
      </w:r>
      <w:r>
        <w:rPr>
          <w:rFonts w:ascii="Calibri" w:hAnsi="Calibri"/>
          <w:b/>
          <w:i/>
          <w:sz w:val="22"/>
        </w:rPr>
        <w:t>Pomocné vybavení</w:t>
      </w:r>
      <w:r>
        <w:rPr>
          <w:rFonts w:ascii="Calibri" w:hAnsi="Calibri"/>
          <w:b/>
          <w:sz w:val="22"/>
        </w:rPr>
        <w:t xml:space="preserve">: </w:t>
      </w:r>
      <w:r>
        <w:rPr>
          <w:rFonts w:ascii="Calibri" w:hAnsi="Calibri"/>
          <w:sz w:val="22"/>
        </w:rPr>
        <w:t>elektrické nebo elektronické zařízení spojené s osvětlením, odlišné pro každý typ osvětlení, jehož funkcí je zapnutí světla a řízení provozních podmínek. Toto pomocné zařízení, pokud není elektronické, je tvořeno kombinací startéru, předřadníku a kondenzátoru.</w:t>
      </w:r>
    </w:p>
    <w:p w14:paraId="66E0B2DA"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w:t>
      </w:r>
      <w:r>
        <w:rPr>
          <w:rFonts w:ascii="Calibri" w:hAnsi="Calibri"/>
          <w:b/>
          <w:i/>
          <w:sz w:val="22"/>
        </w:rPr>
        <w:t>Dobíjecí stanice</w:t>
      </w:r>
      <w:r>
        <w:rPr>
          <w:rFonts w:ascii="Calibri" w:hAnsi="Calibri"/>
          <w:b/>
          <w:sz w:val="22"/>
        </w:rPr>
        <w:t xml:space="preserve">: </w:t>
      </w:r>
      <w:r>
        <w:rPr>
          <w:rFonts w:ascii="Calibri" w:hAnsi="Calibri"/>
          <w:sz w:val="22"/>
        </w:rPr>
        <w:t xml:space="preserve">sada prvků potřebných pro připojení elektrického vozidla k pevné elektrické instalaci potřebné pro dobíjení. </w:t>
      </w:r>
      <w:r>
        <w:rPr>
          <w:rFonts w:ascii="Calibri" w:hAnsi="Calibri"/>
          <w:i/>
          <w:sz w:val="22"/>
        </w:rPr>
        <w:t>Dobíjecí stanice</w:t>
      </w:r>
      <w:r>
        <w:rPr>
          <w:rFonts w:ascii="Calibri" w:hAnsi="Calibri"/>
          <w:sz w:val="22"/>
        </w:rPr>
        <w:t xml:space="preserve"> jsou klasifikovány jako:</w:t>
      </w:r>
    </w:p>
    <w:p w14:paraId="553A42BD"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1.</w:t>
      </w:r>
      <w:r>
        <w:rPr>
          <w:rFonts w:ascii="Calibri" w:hAnsi="Calibri"/>
          <w:sz w:val="22"/>
        </w:rPr>
        <w:tab/>
        <w:t xml:space="preserve">Jedna dobíjecí stanice zahrnující nezbytné ochranné prvky, jednu nebo více zásuvek, které nejsou specifické pro </w:t>
      </w:r>
      <w:r>
        <w:rPr>
          <w:rFonts w:ascii="Calibri" w:hAnsi="Calibri"/>
          <w:i/>
          <w:sz w:val="22"/>
        </w:rPr>
        <w:t>elektrické vozidlo</w:t>
      </w:r>
      <w:r>
        <w:rPr>
          <w:rFonts w:ascii="Calibri" w:hAnsi="Calibri"/>
          <w:sz w:val="22"/>
        </w:rPr>
        <w:t xml:space="preserve"> a případně kryt.</w:t>
      </w:r>
    </w:p>
    <w:p w14:paraId="371F3BEE" w14:textId="77777777" w:rsidR="000760AB" w:rsidRPr="000760AB" w:rsidRDefault="000760AB" w:rsidP="00FD453F">
      <w:pPr>
        <w:spacing w:before="200" w:after="100"/>
        <w:ind w:left="284"/>
        <w:jc w:val="both"/>
        <w:rPr>
          <w:rFonts w:ascii="Calibri" w:eastAsia="Arial" w:hAnsi="Calibri" w:cs="Calibri"/>
          <w:b/>
          <w:bCs/>
          <w:i/>
          <w:iCs/>
          <w:kern w:val="2"/>
          <w:sz w:val="22"/>
          <w:szCs w:val="22"/>
        </w:rPr>
      </w:pPr>
      <w:r>
        <w:rPr>
          <w:rFonts w:ascii="Calibri" w:hAnsi="Calibri"/>
          <w:sz w:val="22"/>
        </w:rPr>
        <w:t>2.</w:t>
      </w:r>
      <w:r>
        <w:rPr>
          <w:rFonts w:ascii="Calibri" w:hAnsi="Calibri"/>
          <w:sz w:val="22"/>
        </w:rPr>
        <w:tab/>
        <w:t xml:space="preserve">Typ dobíjecí stanice SAVE </w:t>
      </w:r>
      <w:r>
        <w:rPr>
          <w:rFonts w:ascii="Calibri" w:hAnsi="Calibri"/>
          <w:i/>
          <w:sz w:val="22"/>
        </w:rPr>
        <w:t>(Systém napájení specifický pro elektrické vozidlo)</w:t>
      </w:r>
      <w:r>
        <w:rPr>
          <w:rFonts w:ascii="Calibri" w:hAnsi="Calibri"/>
          <w:sz w:val="22"/>
        </w:rPr>
        <w:t>.“</w:t>
      </w:r>
    </w:p>
    <w:p w14:paraId="444AE92F"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Infrastruktura pro nabíjení elektrických vozidel</w:t>
      </w:r>
      <w:r>
        <w:rPr>
          <w:rFonts w:ascii="Calibri" w:hAnsi="Calibri"/>
          <w:b/>
          <w:sz w:val="22"/>
        </w:rPr>
        <w:t xml:space="preserve">: </w:t>
      </w:r>
      <w:r>
        <w:rPr>
          <w:rFonts w:ascii="Calibri" w:hAnsi="Calibri"/>
          <w:sz w:val="22"/>
        </w:rPr>
        <w:t xml:space="preserve">sada fyzických a logických zařízení určených k dobíjení elektrických vozidel splňujících požadavky na bezpečnost a dostupnost stanovené pro každý případ předpisem pro nízkonapěťové elektrotechnické systémy, které jsou schopné poskytovat plnou a komplexní dobíjecí službu. Zahrnuje </w:t>
      </w:r>
      <w:r>
        <w:rPr>
          <w:rFonts w:ascii="Calibri" w:hAnsi="Calibri"/>
          <w:i/>
          <w:sz w:val="22"/>
        </w:rPr>
        <w:t>dobíjecí stanice</w:t>
      </w:r>
      <w:r>
        <w:rPr>
          <w:rFonts w:ascii="Calibri" w:hAnsi="Calibri"/>
          <w:sz w:val="22"/>
        </w:rPr>
        <w:t>, řídicí systém, elektrické rozvody, elektrické ovládací a ochranné panely a měřicí zařízení, pokud jsou určeny výhradně pro nabíjení</w:t>
      </w:r>
      <w:r>
        <w:rPr>
          <w:rFonts w:ascii="Calibri" w:hAnsi="Calibri"/>
          <w:i/>
          <w:sz w:val="22"/>
        </w:rPr>
        <w:t xml:space="preserve"> elektrických vozidel</w:t>
      </w:r>
      <w:r>
        <w:rPr>
          <w:rFonts w:ascii="Calibri" w:hAnsi="Calibri"/>
          <w:sz w:val="22"/>
        </w:rPr>
        <w:t>.“</w:t>
      </w:r>
    </w:p>
    <w:p w14:paraId="08E0941B"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Systém napájení specifický pro elektrické vozidlo (SAVE)</w:t>
      </w:r>
      <w:r>
        <w:rPr>
          <w:rFonts w:ascii="Calibri" w:hAnsi="Calibri"/>
          <w:b/>
          <w:sz w:val="22"/>
        </w:rPr>
        <w:t>:</w:t>
      </w:r>
      <w:r>
        <w:rPr>
          <w:rFonts w:ascii="Calibri" w:hAnsi="Calibri"/>
          <w:sz w:val="22"/>
        </w:rPr>
        <w:t xml:space="preserve"> soubor zařízení sestavených pro dodávky elektrické energie pro nabíjení elektrického vozidla včetně ochrany dobíjecí stanice, propojovacího kabelu (s fázovým, neutrálním a ochranným vodičem), základny nebo konektoru zásuvky a případně převodníku </w:t>
      </w:r>
      <w:r>
        <w:rPr>
          <w:rFonts w:ascii="Calibri" w:hAnsi="Calibri"/>
          <w:sz w:val="22"/>
        </w:rPr>
        <w:lastRenderedPageBreak/>
        <w:t xml:space="preserve">střídavého/stejnosměrného proudu. Tento systém musí případně umožňovat komunikaci mezi </w:t>
      </w:r>
      <w:r>
        <w:rPr>
          <w:rFonts w:ascii="Calibri" w:hAnsi="Calibri"/>
          <w:i/>
          <w:sz w:val="22"/>
        </w:rPr>
        <w:t>elektrickým vozidlem</w:t>
      </w:r>
      <w:r>
        <w:rPr>
          <w:rFonts w:ascii="Calibri" w:hAnsi="Calibri"/>
          <w:sz w:val="22"/>
        </w:rPr>
        <w:t xml:space="preserve"> a stacionárním zařízením.“</w:t>
      </w:r>
    </w:p>
    <w:p w14:paraId="2A9E9618" w14:textId="77777777" w:rsidR="000760AB" w:rsidRPr="000760AB" w:rsidRDefault="000760AB" w:rsidP="00FD453F">
      <w:pPr>
        <w:spacing w:before="200" w:after="100"/>
        <w:ind w:left="284"/>
        <w:jc w:val="both"/>
        <w:rPr>
          <w:rFonts w:ascii="Calibri" w:eastAsia="Arial" w:hAnsi="Calibri" w:cs="Calibri"/>
          <w:strike/>
          <w:kern w:val="2"/>
          <w:sz w:val="22"/>
          <w:szCs w:val="22"/>
        </w:rPr>
      </w:pPr>
      <w:r>
        <w:rPr>
          <w:rFonts w:ascii="Calibri" w:hAnsi="Calibri"/>
          <w:sz w:val="22"/>
        </w:rPr>
        <w:t>„</w:t>
      </w:r>
      <w:r>
        <w:rPr>
          <w:rFonts w:ascii="Calibri" w:hAnsi="Calibri"/>
          <w:b/>
          <w:i/>
          <w:sz w:val="22"/>
        </w:rPr>
        <w:t>Soukromé bydlení</w:t>
      </w:r>
      <w:r>
        <w:rPr>
          <w:rFonts w:ascii="Calibri" w:hAnsi="Calibri"/>
          <w:sz w:val="22"/>
        </w:rPr>
        <w:t>: Budova nebo plocha určená k trvalému bydlení, bez ohledu na typ budovy: samostatný dům, bytový dům atd., jak pro veřejný, tak pro soukromý rozvoj.“</w:t>
      </w:r>
    </w:p>
    <w:p w14:paraId="20F0D8BC" w14:textId="77777777" w:rsidR="000760AB" w:rsidRPr="000760AB" w:rsidRDefault="000760AB" w:rsidP="00FD453F">
      <w:pPr>
        <w:spacing w:before="200" w:after="100"/>
        <w:ind w:left="284"/>
        <w:jc w:val="both"/>
        <w:rPr>
          <w:rFonts w:ascii="Calibri" w:eastAsia="Arial" w:hAnsi="Calibri" w:cs="Calibri"/>
          <w:kern w:val="2"/>
          <w:sz w:val="22"/>
        </w:rPr>
      </w:pPr>
      <w:r>
        <w:rPr>
          <w:rFonts w:ascii="Calibri" w:hAnsi="Calibri"/>
          <w:sz w:val="22"/>
        </w:rPr>
        <w:t>„</w:t>
      </w:r>
      <w:r>
        <w:rPr>
          <w:rFonts w:ascii="Calibri" w:hAnsi="Calibri"/>
          <w:b/>
          <w:i/>
          <w:sz w:val="22"/>
        </w:rPr>
        <w:t>Elektrické vozidlo</w:t>
      </w:r>
      <w:r>
        <w:rPr>
          <w:rFonts w:ascii="Calibri" w:hAnsi="Calibri"/>
          <w:sz w:val="22"/>
        </w:rPr>
        <w:t>: motorové vozidlo vybavené pohonným ústrojím s alespoň jedním neperiferním elektrickým mechanismem pracujícím jako měnič energie a vybaveném dobíjecím systémem pro uchovávání elektrické energie, který lze dobíjet z vnějšku.“</w:t>
      </w:r>
    </w:p>
    <w:p w14:paraId="52B758BF"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yy) V příloze C se slova „tepelný plášť“ v názvu a výraz „jiné než obyvatelné prostory“ v oddíle 1 písm. a) uvádějí kurzívou.</w:t>
      </w:r>
    </w:p>
    <w:p w14:paraId="5ED476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zz) V příloze D se slova „Provozní podmínky“, „profily použití“ a „soukromé bydlení“ uvádějí kurzívou v nadpisu, v odstavci 2 a v tabulkách tabulka a-příloha D, tabulka b-příloha D a tabulka c-příloha D. </w:t>
      </w:r>
    </w:p>
    <w:p w14:paraId="17E305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aaa) V příloze D se odstavec „2 </w:t>
      </w:r>
      <w:r>
        <w:rPr>
          <w:rFonts w:ascii="Calibri" w:hAnsi="Calibri"/>
          <w:i/>
          <w:sz w:val="22"/>
        </w:rPr>
        <w:t>Provozní podmínky</w:t>
      </w:r>
      <w:r>
        <w:rPr>
          <w:rFonts w:ascii="Calibri" w:hAnsi="Calibri"/>
          <w:sz w:val="22"/>
        </w:rPr>
        <w:t xml:space="preserve"> a </w:t>
      </w:r>
      <w:r>
        <w:rPr>
          <w:rFonts w:ascii="Calibri" w:hAnsi="Calibri"/>
          <w:i/>
          <w:sz w:val="22"/>
        </w:rPr>
        <w:t>profil použití</w:t>
      </w:r>
      <w:r>
        <w:rPr>
          <w:rFonts w:ascii="Calibri" w:hAnsi="Calibri"/>
          <w:sz w:val="22"/>
        </w:rPr>
        <w:t xml:space="preserve">,...“ označuje jako „3 </w:t>
      </w:r>
      <w:r>
        <w:rPr>
          <w:rFonts w:ascii="Calibri" w:hAnsi="Calibri"/>
          <w:i/>
          <w:sz w:val="22"/>
        </w:rPr>
        <w:t>Provozní podmínky</w:t>
      </w:r>
      <w:r>
        <w:rPr>
          <w:rFonts w:ascii="Calibri" w:hAnsi="Calibri"/>
          <w:sz w:val="22"/>
        </w:rPr>
        <w:t xml:space="preserve"> a </w:t>
      </w:r>
      <w:r>
        <w:rPr>
          <w:rFonts w:ascii="Calibri" w:hAnsi="Calibri"/>
          <w:i/>
          <w:sz w:val="22"/>
        </w:rPr>
        <w:t>profil použití</w:t>
      </w:r>
      <w:r>
        <w:rPr>
          <w:rFonts w:ascii="Calibri" w:hAnsi="Calibri"/>
          <w:sz w:val="22"/>
        </w:rPr>
        <w:t>…“</w:t>
      </w:r>
    </w:p>
    <w:p w14:paraId="7B66B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bbb) V příloze D odstavci 4 se slova „uznaný dokument“ nahrazují slovy „uznaný dokument pro energetickou certifikaci budov“.</w:t>
      </w:r>
    </w:p>
    <w:p w14:paraId="2E3E9125"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ccc) V příloze E se slova „soukromé bydlení“ v oddíle 1 uvádějí kurzívou.</w:t>
      </w:r>
    </w:p>
    <w:p w14:paraId="31530518"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ddd) V příloze F se slova „soukromé bydlení“ uvádějí kurzívou jak v oddíle 1, tak v tabulce a-příloha F.</w:t>
      </w:r>
    </w:p>
    <w:p w14:paraId="58F73C97" w14:textId="77777777" w:rsidR="000760AB" w:rsidRPr="000760AB" w:rsidRDefault="000760AB" w:rsidP="000760AB">
      <w:pPr>
        <w:spacing w:after="160" w:line="259" w:lineRule="auto"/>
        <w:ind w:left="567" w:hanging="283"/>
        <w:jc w:val="both"/>
        <w:rPr>
          <w:rFonts w:ascii="Calibri" w:eastAsia="Arial" w:hAnsi="Calibri" w:cs="Calibri"/>
          <w:kern w:val="2"/>
          <w:sz w:val="22"/>
          <w:szCs w:val="22"/>
        </w:rPr>
      </w:pPr>
      <w:r>
        <w:rPr>
          <w:rFonts w:ascii="Calibri" w:hAnsi="Calibri"/>
          <w:sz w:val="22"/>
        </w:rPr>
        <w:t xml:space="preserve">eee) V příloze H se za název sekce vkládá toto:  </w:t>
      </w:r>
    </w:p>
    <w:p w14:paraId="1FDC42A7"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 xml:space="preserve">„Stanovení </w:t>
      </w:r>
      <w:r>
        <w:rPr>
          <w:rFonts w:ascii="Calibri" w:hAnsi="Calibri"/>
          <w:i/>
          <w:sz w:val="22"/>
        </w:rPr>
        <w:t>vzduchové propustnosti</w:t>
      </w:r>
      <w:r>
        <w:rPr>
          <w:rFonts w:ascii="Calibri" w:hAnsi="Calibri"/>
          <w:sz w:val="22"/>
        </w:rPr>
        <w:t xml:space="preserve"> budovy musí být provedeno jednou z následujících metod.“ </w:t>
      </w:r>
    </w:p>
    <w:p w14:paraId="5FF5B3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fff) V příloze H se slova „Hodnotu poměru výměny vzduchu při 50 Pa, n50, lze získat zkoušením podle metody B normy UNE-EN 13829:2002 Stanovení průvzdušnosti budov. Tlaková metoda." nahrazují slovy: „Hodnota </w:t>
      </w:r>
      <w:r>
        <w:rPr>
          <w:rFonts w:ascii="Calibri" w:hAnsi="Calibri"/>
          <w:i/>
          <w:sz w:val="22"/>
        </w:rPr>
        <w:t>poměru výměny vzduchu</w:t>
      </w:r>
      <w:r>
        <w:rPr>
          <w:rFonts w:ascii="Calibri" w:hAnsi="Calibri"/>
          <w:sz w:val="22"/>
        </w:rPr>
        <w:t xml:space="preserve"> při 50 Pa, n</w:t>
      </w:r>
      <w:r>
        <w:rPr>
          <w:rFonts w:ascii="Calibri" w:hAnsi="Calibri"/>
          <w:sz w:val="22"/>
          <w:vertAlign w:val="subscript"/>
        </w:rPr>
        <w:t>50</w:t>
      </w:r>
      <w:r>
        <w:rPr>
          <w:rFonts w:ascii="Calibri" w:hAnsi="Calibri"/>
          <w:sz w:val="22"/>
        </w:rPr>
        <w:t xml:space="preserve"> pomocí zkoušky se získá metodou 1 nebo 2 normy UNE-EN ISO 9972: 2019 </w:t>
      </w:r>
      <w:r>
        <w:rPr>
          <w:rFonts w:ascii="Calibri" w:hAnsi="Calibri"/>
          <w:i/>
          <w:sz w:val="22"/>
        </w:rPr>
        <w:t>Tepelné chování budov. Stanovení průvzdušnosti budov. Tlaková metoda.“.</w:t>
      </w:r>
    </w:p>
    <w:p w14:paraId="6FED2289"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ggg) V sekci H oddílu 2 se slova: „... 2. Hodnotu poměru výměny vzduchu při 50 Pa, n</w:t>
      </w:r>
      <w:r>
        <w:rPr>
          <w:rFonts w:ascii="Calibri" w:hAnsi="Calibri"/>
          <w:sz w:val="22"/>
          <w:vertAlign w:val="subscript"/>
        </w:rPr>
        <w:t>50</w:t>
      </w:r>
      <w:r>
        <w:rPr>
          <w:rFonts w:ascii="Calibri" w:hAnsi="Calibri"/>
          <w:sz w:val="22"/>
        </w:rPr>
        <w:t xml:space="preserve">, lze vypočítat z následující rovnice:" nahrazují slovy: „... 1. Hodnota </w:t>
      </w:r>
      <w:r>
        <w:rPr>
          <w:rFonts w:ascii="Calibri" w:hAnsi="Calibri"/>
          <w:i/>
          <w:sz w:val="22"/>
        </w:rPr>
        <w:t>poměru výměny vzduchu</w:t>
      </w:r>
      <w:r>
        <w:rPr>
          <w:rFonts w:ascii="Calibri" w:hAnsi="Calibri"/>
          <w:sz w:val="22"/>
        </w:rPr>
        <w:t xml:space="preserve"> při 50 Pa a n</w:t>
      </w:r>
      <w:r>
        <w:rPr>
          <w:rFonts w:ascii="Calibri" w:hAnsi="Calibri"/>
          <w:sz w:val="22"/>
          <w:vertAlign w:val="subscript"/>
        </w:rPr>
        <w:t>50</w:t>
      </w:r>
      <w:r>
        <w:rPr>
          <w:rFonts w:ascii="Calibri" w:hAnsi="Calibri"/>
          <w:sz w:val="22"/>
        </w:rPr>
        <w:t xml:space="preserve"> k referenčním hodnotám se získá z následujícího vyjádření:“ se slova: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 nahrazují slovy: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w:t>
      </w:r>
      <w:r>
        <w:rPr>
          <w:rFonts w:ascii="Calibri" w:hAnsi="Calibri"/>
          <w:sz w:val="22"/>
          <w:vertAlign w:val="subscript"/>
        </w:rPr>
        <w:t>int</w:t>
      </w:r>
      <w:r>
        <w:rPr>
          <w:rFonts w:ascii="Calibri" w:hAnsi="Calibri"/>
          <w:sz w:val="22"/>
        </w:rPr>
        <w:t>“, se slova: „V je vnitřní objem tepelného pláště v [m</w:t>
      </w:r>
      <w:r>
        <w:rPr>
          <w:rFonts w:ascii="Calibri" w:hAnsi="Calibri"/>
          <w:sz w:val="22"/>
          <w:vertAlign w:val="superscript"/>
        </w:rPr>
        <w:t>3</w:t>
      </w:r>
      <w:r>
        <w:rPr>
          <w:rFonts w:ascii="Calibri" w:hAnsi="Calibri"/>
          <w:sz w:val="22"/>
        </w:rPr>
        <w:t>]“ nahrazují slovy: „V</w:t>
      </w:r>
      <w:r>
        <w:rPr>
          <w:rFonts w:ascii="Calibri" w:hAnsi="Calibri"/>
          <w:sz w:val="22"/>
          <w:vertAlign w:val="subscript"/>
        </w:rPr>
        <w:t>int</w:t>
      </w:r>
      <w:r>
        <w:rPr>
          <w:rFonts w:ascii="Calibri" w:hAnsi="Calibri"/>
          <w:sz w:val="22"/>
        </w:rPr>
        <w:t xml:space="preserve"> je vnitřní objem vzduchu </w:t>
      </w:r>
      <w:r>
        <w:rPr>
          <w:rFonts w:ascii="Calibri" w:hAnsi="Calibri"/>
          <w:i/>
          <w:sz w:val="22"/>
        </w:rPr>
        <w:t>tepelného pláště</w:t>
      </w:r>
      <w:r>
        <w:rPr>
          <w:rFonts w:ascii="Calibri" w:hAnsi="Calibri"/>
          <w:sz w:val="22"/>
        </w:rPr>
        <w:t>, v [m</w:t>
      </w:r>
      <w:r>
        <w:rPr>
          <w:rFonts w:ascii="Calibri" w:hAnsi="Calibri"/>
          <w:sz w:val="22"/>
          <w:vertAlign w:val="superscript"/>
        </w:rPr>
        <w:t>3</w:t>
      </w:r>
      <w:r>
        <w:rPr>
          <w:rFonts w:ascii="Calibri" w:hAnsi="Calibri"/>
          <w:sz w:val="22"/>
        </w:rPr>
        <w:t>]“ a slova: „A</w:t>
      </w:r>
      <w:r>
        <w:rPr>
          <w:rFonts w:ascii="Calibri" w:hAnsi="Calibri"/>
          <w:sz w:val="22"/>
          <w:vertAlign w:val="subscript"/>
        </w:rPr>
        <w:t>o</w:t>
      </w:r>
      <w:r>
        <w:rPr>
          <w:rFonts w:ascii="Calibri" w:hAnsi="Calibri"/>
          <w:sz w:val="22"/>
        </w:rPr>
        <w:t xml:space="preserve"> je povrch neprůhledné části </w:t>
      </w:r>
      <w:r>
        <w:rPr>
          <w:rFonts w:ascii="Calibri" w:hAnsi="Calibri"/>
          <w:i/>
          <w:sz w:val="22"/>
        </w:rPr>
        <w:t>tepelného pláště</w:t>
      </w:r>
      <w:r>
        <w:rPr>
          <w:rFonts w:ascii="Calibri" w:hAnsi="Calibri"/>
          <w:sz w:val="22"/>
        </w:rPr>
        <w:t xml:space="preserve"> v [m</w:t>
      </w:r>
      <w:r>
        <w:rPr>
          <w:rFonts w:ascii="Calibri" w:hAnsi="Calibri"/>
          <w:sz w:val="22"/>
          <w:vertAlign w:val="superscript"/>
        </w:rPr>
        <w:t>2</w:t>
      </w:r>
      <w:r>
        <w:rPr>
          <w:rFonts w:ascii="Calibri" w:hAnsi="Calibri"/>
          <w:sz w:val="22"/>
        </w:rPr>
        <w:t>]“ se nahrazují slovy: „A</w:t>
      </w:r>
      <w:r>
        <w:rPr>
          <w:rFonts w:ascii="Calibri" w:hAnsi="Calibri"/>
          <w:sz w:val="22"/>
          <w:vertAlign w:val="subscript"/>
        </w:rPr>
        <w:t>o</w:t>
      </w:r>
      <w:r>
        <w:rPr>
          <w:rFonts w:ascii="Calibri" w:hAnsi="Calibri"/>
          <w:sz w:val="22"/>
        </w:rPr>
        <w:t xml:space="preserve"> je povrch neprůhledné části </w:t>
      </w:r>
      <w:r>
        <w:rPr>
          <w:rFonts w:ascii="Calibri" w:hAnsi="Calibri"/>
          <w:i/>
          <w:sz w:val="22"/>
        </w:rPr>
        <w:t>tepelného pláště</w:t>
      </w:r>
      <w:r>
        <w:rPr>
          <w:rFonts w:ascii="Calibri" w:hAnsi="Calibri"/>
          <w:sz w:val="22"/>
        </w:rPr>
        <w:t xml:space="preserve"> v kontaktu s venkovním vzduchem v [m</w:t>
      </w:r>
      <w:r>
        <w:rPr>
          <w:rFonts w:ascii="Calibri" w:hAnsi="Calibri"/>
          <w:sz w:val="22"/>
          <w:vertAlign w:val="superscript"/>
        </w:rPr>
        <w:t>2</w:t>
      </w:r>
      <w:r>
        <w:rPr>
          <w:rFonts w:ascii="Calibri" w:hAnsi="Calibri"/>
          <w:sz w:val="22"/>
        </w:rPr>
        <w:t xml:space="preserve">]“. </w:t>
      </w:r>
    </w:p>
    <w:p w14:paraId="7752C220"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hhh) V příloze H se slova „tepelný plášť“ a „otvory“ v popisu pojmů C</w:t>
      </w:r>
      <w:r>
        <w:rPr>
          <w:rFonts w:ascii="Calibri" w:hAnsi="Calibri"/>
          <w:sz w:val="22"/>
          <w:vertAlign w:val="subscript"/>
        </w:rPr>
        <w:t>o</w:t>
      </w:r>
      <w:r>
        <w:rPr>
          <w:rFonts w:ascii="Calibri" w:hAnsi="Calibri"/>
          <w:sz w:val="22"/>
        </w:rPr>
        <w:t>, C</w:t>
      </w:r>
      <w:r>
        <w:rPr>
          <w:rFonts w:ascii="Calibri" w:hAnsi="Calibri"/>
          <w:sz w:val="22"/>
          <w:vertAlign w:val="subscript"/>
        </w:rPr>
        <w:t>h</w:t>
      </w:r>
      <w:r>
        <w:rPr>
          <w:rFonts w:ascii="Calibri" w:hAnsi="Calibri"/>
          <w:sz w:val="22"/>
        </w:rPr>
        <w:t>, A</w:t>
      </w:r>
      <w:r>
        <w:rPr>
          <w:rFonts w:ascii="Calibri" w:hAnsi="Calibri"/>
          <w:sz w:val="22"/>
          <w:vertAlign w:val="subscript"/>
        </w:rPr>
        <w:t>h</w:t>
      </w:r>
      <w:r>
        <w:rPr>
          <w:rFonts w:ascii="Calibri" w:hAnsi="Calibri"/>
          <w:sz w:val="22"/>
        </w:rPr>
        <w:t xml:space="preserve"> a v tabulce a-příloha H uvádějí kurzívou.</w:t>
      </w:r>
    </w:p>
    <w:p w14:paraId="3CEE363E" w14:textId="77777777" w:rsidR="000760AB" w:rsidRPr="000760AB" w:rsidRDefault="000760AB" w:rsidP="00FD453F">
      <w:pPr>
        <w:spacing w:after="160" w:line="259" w:lineRule="auto"/>
        <w:ind w:left="13" w:hanging="13"/>
        <w:jc w:val="both"/>
        <w:rPr>
          <w:rFonts w:ascii="Calibri" w:eastAsia="Calibri" w:hAnsi="Calibri" w:cs="Calibri"/>
          <w:sz w:val="22"/>
          <w:szCs w:val="22"/>
        </w:rPr>
      </w:pPr>
      <w:r>
        <w:rPr>
          <w:rFonts w:ascii="Calibri" w:hAnsi="Calibri"/>
          <w:sz w:val="22"/>
        </w:rPr>
        <w:t>Začtvrté.</w:t>
      </w:r>
      <w:r>
        <w:rPr>
          <w:rFonts w:ascii="Calibri" w:hAnsi="Calibri"/>
          <w:b/>
          <w:sz w:val="22"/>
        </w:rPr>
        <w:t xml:space="preserve"> </w:t>
      </w:r>
      <w:r>
        <w:rPr>
          <w:rFonts w:ascii="Calibri" w:hAnsi="Calibri"/>
          <w:sz w:val="22"/>
        </w:rPr>
        <w:t xml:space="preserve">Následující úpravy jsou uvedeny v základním dokumentu DB-SUA „Bezpečnost při používání a přístupnost“, který je součástí části II technického stavebního řádu: </w:t>
      </w:r>
    </w:p>
    <w:p w14:paraId="19A3C2A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V příloze A definice „Přístupného parkovacího místa“ zahrnuje pomlčku a slova:</w:t>
      </w:r>
    </w:p>
    <w:p w14:paraId="3A6FBAF1"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lastRenderedPageBreak/>
        <w:t xml:space="preserve">‘- V případě, že je na </w:t>
      </w:r>
      <w:r>
        <w:rPr>
          <w:rFonts w:ascii="Calibri" w:hAnsi="Calibri"/>
          <w:i/>
          <w:sz w:val="22"/>
        </w:rPr>
        <w:t>přístupném parkovací místě</w:t>
      </w:r>
      <w:r>
        <w:rPr>
          <w:rFonts w:ascii="Calibri" w:hAnsi="Calibri"/>
          <w:sz w:val="22"/>
        </w:rPr>
        <w:t xml:space="preserve"> je dobíjecí stanice pro elektromobily, zahrnuje </w:t>
      </w:r>
      <w:r>
        <w:rPr>
          <w:rFonts w:ascii="Calibri" w:hAnsi="Calibri"/>
          <w:i/>
          <w:iCs/>
          <w:sz w:val="22"/>
        </w:rPr>
        <w:t>přístupná trasa</w:t>
      </w:r>
      <w:r>
        <w:rPr>
          <w:rFonts w:ascii="Calibri" w:hAnsi="Calibri"/>
          <w:sz w:val="22"/>
        </w:rPr>
        <w:t xml:space="preserve"> i tuto dobíjecí stanici. Elektrické zásuvky a konektory těchto dobíjecích stanic musí být v barevném kontrastu s prostředím, musí být umístěny ve výšce od 80 do 120 cm a vzdálenost od rohů musí být nejméně 35 cm.“</w:t>
      </w:r>
    </w:p>
    <w:p w14:paraId="6B637874"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Zapáté. Základní dokument DB-HS „Nezávadnost“, který je součástí části II, se mění takto:</w:t>
      </w:r>
    </w:p>
    <w:p w14:paraId="6210F03A"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bookmarkStart w:id="25" w:name="_Hlk103704636"/>
      <w:r>
        <w:rPr>
          <w:rFonts w:ascii="Calibri" w:hAnsi="Calibri"/>
          <w:sz w:val="22"/>
        </w:rPr>
        <w:t>a) V sekci HS 4 se v bodu 2 oddílu 3.2.2.1 věta „minimální podíl solární energie na výrobě teplé užitkové vody“ nahrazuje větou „minimální podíl energie z obnovitelných zdrojů k pokrytí poptávky po teplé užitkové vodě“.</w:t>
      </w:r>
    </w:p>
    <w:p w14:paraId="3EDCC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 V sekci HS 4 oddílu 6.2 se písmeno „e) chlorované polyvinylchloridové (PVC-C) potrubí podle norem UNE-EN ISO 15874-1:2013, UNE-EN ISO 15874-2:2013 a UNE-EN ISO 15874-3:2013;“ nahrazuje písmenem „e) chlorované polyvinylchloridové (PVC-C) potrubí podle norem UNE-EN ISO 15877-1:2009 (+UNE-EN ISO 15877-1:2009/A1): 2011), UNE-EN ISO 15877-2:2009 (+UNE-EN ISO 15877-2:2009/A1: 2011) a UNE-EN ISO 15877-3:2009 (+UNE-EN ISO 15877-3:2009/A1: 2011);“.</w:t>
      </w:r>
    </w:p>
    <w:p w14:paraId="36823CBB"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 V sekci HS 4 oddílu 6.2 se písmeno „h) polybutylenové (PB) potrubí podle norem UNE-EN ISO 15876-1:2017, UNE-EN ISO 15876-2:2017 a UNE-EN ISO 15876-3:2017;“ nahrazuje písmenem „h) polybutenové (PB) potrubí podle norem UNE-EN ISO 15876-1:2017, UNE-EN ISO 15876-2:2017 a UNE-EN ISO 15876-3:2017;“.</w:t>
      </w:r>
    </w:p>
    <w:p w14:paraId="3D6093F2"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 V</w:t>
      </w:r>
      <w:r>
        <w:rPr>
          <w:rFonts w:ascii="Calibri" w:hAnsi="Calibri"/>
          <w:b/>
          <w:sz w:val="22"/>
        </w:rPr>
        <w:t xml:space="preserve"> </w:t>
      </w:r>
      <w:r>
        <w:rPr>
          <w:rFonts w:ascii="Calibri" w:hAnsi="Calibri"/>
          <w:sz w:val="22"/>
        </w:rPr>
        <w:t>sekci HS 4 dodatku C se slova: „Plastové potrubní systémy pro rozvod horké a studené vody. Polybutylen (PB). Část 1: Obecně" nahrazují slovy: „Plastové potrubní systémy pro rozvod horké a studené vody. Polybuten (PB). Část 1: Obecně</w:t>
      </w:r>
    </w:p>
    <w:p w14:paraId="3D1885B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e) V</w:t>
      </w:r>
      <w:r>
        <w:rPr>
          <w:rFonts w:ascii="Calibri" w:hAnsi="Calibri"/>
          <w:b/>
          <w:sz w:val="22"/>
        </w:rPr>
        <w:t xml:space="preserve"> </w:t>
      </w:r>
      <w:r>
        <w:rPr>
          <w:rFonts w:ascii="Calibri" w:hAnsi="Calibri"/>
          <w:sz w:val="22"/>
        </w:rPr>
        <w:t>sekci HS 4 dodatku C, se slova: „Plastové potrubní systémy pro rozvod horké a studené vody. Polybutylen (PB). Část 2: Trubky" nahrazují slovy: „Plastové potrubní systémy pro rozvod horké a studené vody. Polybuten (PB). Část 2: Trubky.</w:t>
      </w:r>
    </w:p>
    <w:p w14:paraId="70CF10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f) V</w:t>
      </w:r>
      <w:r>
        <w:rPr>
          <w:rFonts w:ascii="Calibri" w:hAnsi="Calibri"/>
          <w:b/>
          <w:sz w:val="22"/>
        </w:rPr>
        <w:t xml:space="preserve"> </w:t>
      </w:r>
      <w:r>
        <w:rPr>
          <w:rFonts w:ascii="Calibri" w:hAnsi="Calibri"/>
          <w:sz w:val="22"/>
        </w:rPr>
        <w:t>sekci HS 4 dodatku C, se slova: „Plastové potrubní systémy pro rozvod horké a studené vody. Polybutylen (PB). Část 3: Tvarovky" nahrazují slovy: „Plastové potrubní systémy pro rozvod horké a studené vody. Polybuten (PB). Část 3: Tvarovky.</w:t>
      </w:r>
    </w:p>
    <w:p w14:paraId="52A9A5FD"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 V sekci HS 4 dodatku C se níže uvedené začleňuje za odkaz na normu „UNE-EN ISO 15876-3: 2017</w:t>
      </w:r>
      <w:r>
        <w:rPr>
          <w:rFonts w:ascii="Calibri" w:hAnsi="Calibri"/>
          <w:sz w:val="22"/>
        </w:rPr>
        <w:tab/>
        <w:t>Plastové potrubní systémy pro rozvod horké a studené vody. Polybuten (PB). Část 3: Tvarovky" tyto normy:</w:t>
      </w:r>
    </w:p>
    <w:p w14:paraId="5151AE28"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15877-1:2009 Plastové potrubní systémy pro rozvod horké a studené vody. Chlorovaný polyvinylchlorid (PVC-C). Část 1: Všeobecně (+UNE-EN ISO 15877-1:2009/A1:2011)  </w:t>
      </w:r>
    </w:p>
    <w:p w14:paraId="459306CD"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3478D13F"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15877-2:2009 Plastové potrubní systémy pro rozvod horké a studené vody. Chlorovaný polyvinylchlorid (PVC-C). Část 2: Trubky. (+UNE-EN ISO 15877-2:2009/A1:2011) </w:t>
      </w:r>
    </w:p>
    <w:p w14:paraId="1A003182"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147816FB" w14:textId="3B192627" w:rsid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UNE-EN ISO 15877-3:2009 Plastové potrubní systémy pro rozvod horké a studené vody. Chlorovaný polyvinylchlorid (PVC-C). Část 3: Tvarovky. (+UNE-EN ISO 15877-3:2009/A1:2011)</w:t>
      </w:r>
    </w:p>
    <w:p w14:paraId="4ED97A3D" w14:textId="77777777" w:rsidR="00FD453F" w:rsidRPr="000760AB" w:rsidRDefault="00FD453F" w:rsidP="000760AB">
      <w:pPr>
        <w:spacing w:after="120" w:line="259" w:lineRule="auto"/>
        <w:ind w:left="284"/>
        <w:contextualSpacing/>
        <w:jc w:val="both"/>
        <w:rPr>
          <w:rFonts w:ascii="Calibri" w:eastAsia="Calibri" w:hAnsi="Calibri"/>
          <w:sz w:val="22"/>
          <w:szCs w:val="22"/>
          <w:lang w:eastAsia="en-US"/>
        </w:rPr>
      </w:pPr>
    </w:p>
    <w:bookmarkEnd w:id="25"/>
    <w:p w14:paraId="5E164AFD"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První přechodné ustanovení. </w:t>
      </w:r>
      <w:r>
        <w:rPr>
          <w:rFonts w:ascii="Calibri" w:hAnsi="Calibri"/>
          <w:i/>
          <w:sz w:val="22"/>
        </w:rPr>
        <w:t>Budovy vyňaté z působnosti tohoto královského výnosu.</w:t>
      </w:r>
    </w:p>
    <w:p w14:paraId="1847A16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Změny technického stavebního řádu přijaté tímto královským výnosem se nevztahují na nové budovy nebo práce na stávajících budovách, u kterých v obou případech již byla podána žádost o obecní povolení ke stavebním pracím v době nabytí účinnosti tohoto královského výnosu. </w:t>
      </w:r>
    </w:p>
    <w:p w14:paraId="0F07CFE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lastRenderedPageBreak/>
        <w:t>Tyto práce musí být zahájeny v maximální době účinnosti uvedeného povolení v souladu s příslušnými správními předpisy, nebo pokud to není možné, do šesti měsíců od udělení uvedeného povolení. Pokud tomu tak není, musí být projekty přizpůsobeny změnám technického stavebního řádu schváleným tímto královským výnosem.</w:t>
      </w:r>
    </w:p>
    <w:p w14:paraId="39C072F7"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Druhé přechodné ustanovení. </w:t>
      </w:r>
      <w:r>
        <w:rPr>
          <w:rFonts w:ascii="Calibri" w:hAnsi="Calibri"/>
          <w:i/>
          <w:sz w:val="22"/>
        </w:rPr>
        <w:t>Budovy, u nichž je použití ustanovení tohoto královského výnosu dobrovolné.</w:t>
      </w:r>
    </w:p>
    <w:p w14:paraId="27074C9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Změny technického stavebního řádu schválené tímto královským výnosem se dobrovolně použijí na nové stavební práce a na stavební práce na stávajících budovách, u kterých v obou případech již byla podána žádost o obecní povolení ke stavebním pracím v době nabytí účinnosti tohoto královského výnosu. </w:t>
      </w:r>
    </w:p>
    <w:p w14:paraId="5E12150B"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Tyto práce musí být zahájeny v maximální době účinnosti uvedeného povolení v souladu s příslušnými správními předpisy, nebo pokud to není možné, do šesti měsíců od udělení uvedeného povolení. Pokud tomu tak není, musí být projekty přizpůsobeny změnám technického stavebního řádu schváleným tímto královským výnosem.</w:t>
      </w:r>
    </w:p>
    <w:p w14:paraId="76BE3F2E"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Třetí přechodné ustanovení. </w:t>
      </w:r>
      <w:r>
        <w:rPr>
          <w:rFonts w:ascii="Calibri" w:hAnsi="Calibri"/>
          <w:i/>
          <w:sz w:val="22"/>
        </w:rPr>
        <w:t>Budovy, u nichž je použití ustanovení tohoto královského výnosu povinné.</w:t>
      </w:r>
    </w:p>
    <w:p w14:paraId="7B8AAF09"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Použití změn technického stavebního řádu přijatých tímto královským výnosem je povinné pro nové budovy nebo práce na stávajících budovách, u kterých byla v obou případech podána žádost o obecní povolení ke stavebním pracím později než devět měsíců po nabytí účinnosti tohoto předpisu.</w:t>
      </w:r>
    </w:p>
    <w:p w14:paraId="1269D8B2"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První závěrečné ustanovení. </w:t>
      </w:r>
      <w:r>
        <w:rPr>
          <w:rFonts w:ascii="Calibri" w:hAnsi="Calibri"/>
          <w:i/>
          <w:sz w:val="22"/>
        </w:rPr>
        <w:t>Změna královského výnosu č. 1053/2014 ze dne 12. prosince 2014, kterým se schvaluje nový dodatečný technický pokyn BT 52 „Zařízení pro zvláštní účely“. Infrastruktura pro nabíjení elektrických vozidel", předpisů pro nízkonapěťové elektrotechnické systémy, schválených královským výnosem 842/2002 ze dne 2. srpna 2002, a mění se jeho další dodatečné technické pokyny.</w:t>
      </w:r>
    </w:p>
    <w:p w14:paraId="01AAD1DA"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Královský výnos 1053/2014 ze dne 12. prosince 2014, kterým se schvaluje nový dodatečný technický pokyn (ITC) BT 52 „Zařízení pro zvláštní účely. Infrastruktura pro nabíjení elektrických vozidel“ předpisů pro nízkonapěťové elektrotechnické systémy, schválených královským výnosem 842/2002 ze dne 2. srpna 2002, a jeho další dodatečné technické pokyny se mění takto: </w:t>
      </w:r>
    </w:p>
    <w:p w14:paraId="1141399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Zaprvé. První dodatečné ustanovení se mění takto:</w:t>
      </w:r>
    </w:p>
    <w:p w14:paraId="0E4C1654"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„První dodatečné ustanovení. Minimální strukturální zařízení pro nabíjení elektrických vozidel na parkovištích, která nejsou přidělena nově postaveným budovám nebo těm, které procházejí větší renovací, a na veřejných komunikacích.</w:t>
      </w:r>
    </w:p>
    <w:p w14:paraId="18015A47"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 xml:space="preserve">1. Na nově postavených parkovištích nebo u parkovišť procházejících větší renovací, která se nenacházejí v budově nebo s ní sousedí, a tudíž mimo oblast působnosti základního dokumentu o úsporách energie (DB HE) technického stavebního řádu, musí být instalována alespoň jedna dobíjecí stanice na každých 40 parkovacích míst nebo jejich část. Parkoviště je považováno za nově postavené, pokud je stavební projekt předložen příslušné veřejné správě ke zpracování po nabytí účinnosti tohoto královského výnosu. </w:t>
      </w:r>
    </w:p>
    <w:p w14:paraId="06F10D65"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2. Musí být zaručena zařízení nezbytná k dodávání elektrické energie do dobíjecích stanic umístěných v prostorách pro elektrická vozidla na veřejných komunikacích stanovených v plánech udržitelné mobility na nadměstské úrovni nebo na úrovni obcí.“</w:t>
      </w:r>
    </w:p>
    <w:p w14:paraId="689B86A0"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Zadruhé. Oddíl 3.2 DODATEČNÝ TECHNICKÝ POKYN (ITC) BT-52 se mění takto:</w:t>
      </w:r>
    </w:p>
    <w:p w14:paraId="3188850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„3.2 Zařízení na parkovištích nebo společných parkovacích místech sousedících s budovami nebo komplexy budov. </w:t>
      </w:r>
    </w:p>
    <w:p w14:paraId="5D648D1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Elektrická zařízení pro nabíjení </w:t>
      </w:r>
      <w:r>
        <w:rPr>
          <w:rFonts w:ascii="Calibri" w:hAnsi="Calibri"/>
          <w:color w:val="000000"/>
          <w:sz w:val="22"/>
        </w:rPr>
        <w:t>elektrických vozidel</w:t>
      </w:r>
      <w:r>
        <w:rPr>
          <w:rFonts w:ascii="Calibri" w:hAnsi="Calibri"/>
          <w:sz w:val="22"/>
        </w:rPr>
        <w:t xml:space="preserve"> nacházející se na parkovištích nebo parkovištích uvnitř budov nebo komplexů budov nebo k nim připojených se řídí kterýmkoli z výše popsaných schémat.</w:t>
      </w:r>
      <w:r>
        <w:rPr>
          <w:rFonts w:ascii="Calibri" w:hAnsi="Calibri"/>
          <w:color w:val="000000"/>
          <w:sz w:val="22"/>
        </w:rPr>
        <w:t xml:space="preserve"> </w:t>
      </w:r>
      <w:r>
        <w:rPr>
          <w:rFonts w:ascii="Calibri" w:hAnsi="Calibri"/>
          <w:sz w:val="22"/>
        </w:rPr>
        <w:t xml:space="preserve">V téže budově mohou </w:t>
      </w:r>
      <w:r>
        <w:rPr>
          <w:rFonts w:ascii="Calibri" w:hAnsi="Calibri"/>
          <w:sz w:val="22"/>
        </w:rPr>
        <w:lastRenderedPageBreak/>
        <w:t>být použita různá schémata za předpokladu, že jsou splněny všechny požadavky stanovené v tomto dokumentu (ITC) BT-52.</w:t>
      </w:r>
    </w:p>
    <w:p w14:paraId="7585E852"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Ve schématu 4a se dobíjecí obvod řídí instalačními podmínkami popsanými v dokumentu (ITC) BT-15 za použití kabelů a vodicích systémů stejného typu a vlastností jako pro individuální přemostění a průřez kabelu se vypočítá v souladu s obecnými požadavky oddílu 5 tohoto dokumentu ITC. Pro určení průměru nebo příčných rozměrů systému vedení, který má být použit, není nutné stanovit rozšíření průřezu kabelů.</w:t>
      </w:r>
    </w:p>
    <w:p w14:paraId="2D2E95B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Schéma 4b se použije, pokud je dodávání elektrické energie do dobíjecích stanic navrženo jako nedílná součást nebo rozšíření elektrické instalace sloužící pro všeobecné služby garáží.</w:t>
      </w:r>
    </w:p>
    <w:p w14:paraId="6F33488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Jak ve stávajících, tak v nových zařízeních mohou být s cílem usnadnit používání vybraného elektrického schématu přítomny panely s obecnými ochrannými prvky a další zařízení pro dobíjení elektrických vozidel umístěny v místnostech určených k tomuto účelu nebo ve společných prostorách.</w:t>
      </w:r>
    </w:p>
    <w:p w14:paraId="1D7341B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Elektrická předinstalace pro dobíjení elektrických vozidel na parkovištích umístěných v budovách nebo komplexech budov nebo s nimi sousedících usnadní následné použití kteréhokoli z možných systémů instalace. To zahrnuje tyto prvky: </w:t>
      </w:r>
    </w:p>
    <w:p w14:paraId="69AC999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a) Instalace kabelových systémů vedení z centrály elektroměrů a podél hlavních komunikací parkovišť, aby bylo možné později napájet dobíjecí stanice, které mohou být umístěny na jednotlivých parkovacích místech nebo parkovištích. Pokud se předinstalace plánuje pro 100 % míst, musí se kabelové vodiče zavést do každého místa. Pokud se předinstalace neplánuje pro 100 % míst, musí být vymezeny prostory, u nichž se má za to, že jsou v souladu s předpisem pro kabelové systémy vedení, a tyto systémy musí být zavedeny na každé z těchto míst.</w:t>
      </w:r>
    </w:p>
    <w:p w14:paraId="1D8D11B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 Centrála elektroměrů musí být dimenzována podle elektrického schématu zvoleného pro nabíjení elektrického vozidla a podle dokumentu (ITC) BT-16. Záložní moduly musí být instalovány alespoň pro 20 % garážových míst, která nejsou spojena s obydlím, a v případě, že jsou všechna místa spojena s obydlími, musí být přítomen alespoň jeden záložní modul. Tyto záložní moduly musí mít kapacitu pro umístění hlavního elektroměru a nadproudových ochranných zařízení spojených s elektroměrem, a to buď s pojistkami nebo jističi.</w:t>
      </w:r>
    </w:p>
    <w:p w14:paraId="47ED8DD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Zásuvky nebo konektory instalované v dobíjecí stanici a její jističe musí splňovat jednu z možností uvedených v oddíle 5.4.“</w:t>
      </w:r>
    </w:p>
    <w:p w14:paraId="7F6774A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Zatřetí. První pododstavec oddílu 5.4 DODATEČNÉHO TECHNICKÉHO POKYNU (ITC) BT-52 se mění takto:</w:t>
      </w:r>
    </w:p>
    <w:p w14:paraId="3EF40F8D"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„5.4 Připojovací bod. </w:t>
      </w:r>
      <w:bookmarkStart w:id="26" w:name="_Hlk81468651"/>
      <w:r>
        <w:rPr>
          <w:rFonts w:ascii="Calibri" w:hAnsi="Calibri"/>
          <w:sz w:val="22"/>
        </w:rPr>
        <w:t xml:space="preserve">Připojovací bod musí být umístěn vedle prostoru, který má být napájen, a musí být trvale instalován v uzavřeném prostoru. </w:t>
      </w:r>
    </w:p>
    <w:bookmarkEnd w:id="26"/>
    <w:p w14:paraId="3405740F"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Minimální montážní výška pro zásuvky a konektory musí být 60 cm nad zemí. </w:t>
      </w:r>
      <w:bookmarkStart w:id="27" w:name="_Hlk81468224"/>
      <w:r>
        <w:rPr>
          <w:rFonts w:ascii="Calibri" w:hAnsi="Calibri"/>
          <w:sz w:val="22"/>
        </w:rPr>
        <w:t>Pokud je dobíjecí stanice určena pro veřejné použití, musí být maximální výška 120 cm. Na přístupných parkovacích místech musí zásuvky a konektory být v barevném kontrastu s okolím, musí být umístěny ve výšce 80 až 120 cm a vzdálenost od rohů musí být nejméně 35 cm.“</w:t>
      </w:r>
      <w:bookmarkEnd w:id="27"/>
    </w:p>
    <w:p w14:paraId="504223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Druhé závěrečné ustanovení. </w:t>
      </w:r>
      <w:r>
        <w:rPr>
          <w:rFonts w:ascii="Calibri" w:hAnsi="Calibri"/>
          <w:i/>
          <w:sz w:val="22"/>
        </w:rPr>
        <w:t>Provádění právních předpisů Evropské unie.</w:t>
      </w:r>
    </w:p>
    <w:p w14:paraId="144ADEB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Tímto královským výnosem se provádí do španělského práva čl. 8 odst. 2, 4, 5 a 6 směrnice Evropského parlamentu a Rady 2010/31/EU o energetické náročnosti budov, ve znění směrnice Evropského parlamentu a Rady (EU) 2018/844 ze dne 30. května 2018, kterou se mění směrnice 2010/31/EU</w:t>
      </w:r>
      <w:r>
        <w:t xml:space="preserve"> </w:t>
      </w:r>
      <w:bookmarkStart w:id="28" w:name="_Hlk92814279"/>
      <w:r>
        <w:rPr>
          <w:rFonts w:ascii="Calibri" w:hAnsi="Calibri"/>
          <w:sz w:val="22"/>
        </w:rPr>
        <w:t>o energetické náročnosti budov</w:t>
      </w:r>
      <w:r>
        <w:t xml:space="preserve"> </w:t>
      </w:r>
      <w:bookmarkEnd w:id="28"/>
      <w:r>
        <w:t xml:space="preserve"> </w:t>
      </w:r>
      <w:r>
        <w:rPr>
          <w:rFonts w:ascii="Calibri" w:hAnsi="Calibri"/>
          <w:sz w:val="22"/>
        </w:rPr>
        <w:t>a směrnice 2012/27/EU o energetické účinnosti.</w:t>
      </w:r>
    </w:p>
    <w:p w14:paraId="174DF2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Třetí závěrečné ustanovení. </w:t>
      </w:r>
      <w:r>
        <w:rPr>
          <w:rFonts w:ascii="Calibri" w:hAnsi="Calibri"/>
          <w:i/>
          <w:sz w:val="22"/>
        </w:rPr>
        <w:t>Nabytí účinnosti.</w:t>
      </w:r>
    </w:p>
    <w:p w14:paraId="244EE74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lastRenderedPageBreak/>
        <w:t>Tento královský výnos nabývá účinnosti dnem následujícím po dni jeho vyhlášení v Úředním věstníku.</w:t>
      </w:r>
    </w:p>
    <w:p w14:paraId="020B8256" w14:textId="77777777" w:rsidR="000760AB" w:rsidRPr="000760AB" w:rsidRDefault="000760AB" w:rsidP="000760AB">
      <w:pPr>
        <w:spacing w:after="160" w:line="259" w:lineRule="auto"/>
        <w:jc w:val="both"/>
        <w:rPr>
          <w:rFonts w:ascii="Calibri" w:eastAsia="Calibri" w:hAnsi="Calibri" w:cs="Calibri"/>
          <w:sz w:val="20"/>
          <w:szCs w:val="20"/>
          <w:lang w:eastAsia="en-US"/>
        </w:rPr>
      </w:pPr>
    </w:p>
    <w:p w14:paraId="05F2435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BUDE PŘEDLOŽEN RADĚ MINISTRŮ</w:t>
      </w:r>
    </w:p>
    <w:p w14:paraId="3A0D8D70" w14:textId="77777777" w:rsidR="001F7365" w:rsidRPr="00081F25" w:rsidRDefault="001F7365" w:rsidP="001F7365">
      <w:pPr>
        <w:autoSpaceDE w:val="0"/>
        <w:autoSpaceDN w:val="0"/>
        <w:adjustRightInd w:val="0"/>
        <w:jc w:val="center"/>
        <w:rPr>
          <w:rFonts w:asciiTheme="minorHAnsi" w:hAnsiTheme="minorHAnsi" w:cstheme="minorHAnsi"/>
          <w:sz w:val="22"/>
          <w:szCs w:val="22"/>
        </w:rPr>
      </w:pPr>
    </w:p>
    <w:p w14:paraId="34F7C3B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V Madridu, dne</w:t>
      </w:r>
      <w:r>
        <w:rPr>
          <w:rFonts w:asciiTheme="minorHAnsi" w:hAnsiTheme="minorHAnsi"/>
          <w:sz w:val="22"/>
        </w:rPr>
        <w:tab/>
      </w:r>
      <w:r>
        <w:rPr>
          <w:rFonts w:asciiTheme="minorHAnsi" w:hAnsiTheme="minorHAnsi"/>
          <w:sz w:val="22"/>
        </w:rPr>
        <w:tab/>
        <w:t>2022</w:t>
      </w:r>
    </w:p>
    <w:p w14:paraId="201B84D8"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p w14:paraId="5AC40BA3"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1"/>
        <w:gridCol w:w="5141"/>
      </w:tblGrid>
      <w:tr w:rsidR="001F7365" w:rsidRPr="00081F25" w14:paraId="26BBB77F" w14:textId="77777777" w:rsidTr="000D4A40">
        <w:trPr>
          <w:trHeight w:val="2150"/>
        </w:trPr>
        <w:tc>
          <w:tcPr>
            <w:tcW w:w="5141" w:type="dxa"/>
            <w:tcBorders>
              <w:top w:val="nil"/>
              <w:left w:val="nil"/>
              <w:bottom w:val="nil"/>
              <w:right w:val="nil"/>
            </w:tcBorders>
            <w:shd w:val="clear" w:color="auto" w:fill="auto"/>
          </w:tcPr>
          <w:p w14:paraId="2DFF5CC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MINISTRYNĚ DOPRAVY, MOBILITY A MĚSTSKÉ AGENDY</w:t>
            </w:r>
          </w:p>
          <w:p w14:paraId="38965193"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9C438BC"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7C1774F"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540B0B0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46B22890"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3BCAF82D"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Raquel Sánchez Jiménez</w:t>
            </w:r>
          </w:p>
        </w:tc>
        <w:tc>
          <w:tcPr>
            <w:tcW w:w="5141" w:type="dxa"/>
            <w:tcBorders>
              <w:top w:val="nil"/>
              <w:left w:val="nil"/>
              <w:bottom w:val="nil"/>
              <w:right w:val="nil"/>
            </w:tcBorders>
          </w:tcPr>
          <w:p w14:paraId="749FA458" w14:textId="77777777" w:rsidR="001F7365" w:rsidRPr="004A2722"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TŘETÍ MÍSTOPŘEDSEDKYNĚ VLÁDY A MINISTRYNĚ PRO EKOLOGICKOU TRANSFORMACI A DEMOGRAFICKOU VÝZVU</w:t>
            </w:r>
          </w:p>
          <w:p w14:paraId="2B70C78B"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A3F7D7"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4D67AC80"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1D518996"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5C180639"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B3A488"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Teresa Ribera Rodríguez</w:t>
            </w:r>
          </w:p>
        </w:tc>
      </w:tr>
    </w:tbl>
    <w:p w14:paraId="15FD4F1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sectPr w:rsidR="008577E8">
      <w:headerReference w:type="default" r:id="rId7"/>
      <w:footerReference w:type="even" r:id="rId8"/>
      <w:footerReference w:type="default" r:id="rId9"/>
      <w:headerReference w:type="first" r:id="rId10"/>
      <w:pgSz w:w="11906" w:h="16838" w:code="9"/>
      <w:pgMar w:top="1701" w:right="737" w:bottom="726" w:left="737" w:header="567"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3317D" w14:textId="77777777" w:rsidR="00E3004D" w:rsidRDefault="00E3004D">
      <w:r>
        <w:separator/>
      </w:r>
    </w:p>
  </w:endnote>
  <w:endnote w:type="continuationSeparator" w:id="0">
    <w:p w14:paraId="5DA34E81" w14:textId="77777777" w:rsidR="00E3004D" w:rsidRDefault="00E3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Gill Sans MT">
    <w:altName w:val="Gill Sans MT"/>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ADC" w14:textId="77777777"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A43C3" w14:textId="77777777" w:rsidR="00C93CCC" w:rsidRDefault="00C93C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B7FA" w14:textId="7ED610BC"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3417">
      <w:rPr>
        <w:rStyle w:val="PageNumber"/>
      </w:rPr>
      <w:t>2</w:t>
    </w:r>
    <w:r>
      <w:rPr>
        <w:rStyle w:val="PageNumber"/>
      </w:rPr>
      <w:fldChar w:fldCharType="end"/>
    </w:r>
  </w:p>
  <w:p w14:paraId="7719E668" w14:textId="77777777" w:rsidR="00C93CCC" w:rsidRDefault="00C93C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7A354" w14:textId="77777777" w:rsidR="00E3004D" w:rsidRDefault="00E3004D">
      <w:r>
        <w:separator/>
      </w:r>
    </w:p>
  </w:footnote>
  <w:footnote w:type="continuationSeparator" w:id="0">
    <w:p w14:paraId="0E07F827" w14:textId="77777777" w:rsidR="00E3004D" w:rsidRDefault="00E30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C93CCC" w14:paraId="19D5BC5E" w14:textId="77777777">
      <w:trPr>
        <w:cantSplit/>
        <w:trHeight w:val="991"/>
        <w:jc w:val="center"/>
      </w:trPr>
      <w:tc>
        <w:tcPr>
          <w:tcW w:w="1346" w:type="dxa"/>
        </w:tcPr>
        <w:p w14:paraId="7D1E4812" w14:textId="77777777" w:rsidR="00C93CCC" w:rsidRDefault="00C93CCC">
          <w:pPr>
            <w:pStyle w:val="Header"/>
            <w:tabs>
              <w:tab w:val="clear" w:pos="4252"/>
              <w:tab w:val="clear" w:pos="8504"/>
            </w:tabs>
          </w:pPr>
        </w:p>
      </w:tc>
      <w:tc>
        <w:tcPr>
          <w:tcW w:w="7726" w:type="dxa"/>
        </w:tcPr>
        <w:p w14:paraId="0DBFE409" w14:textId="77777777" w:rsidR="00C93CCC" w:rsidRDefault="00C93CCC">
          <w:pPr>
            <w:pStyle w:val="Header"/>
            <w:tabs>
              <w:tab w:val="clear" w:pos="4252"/>
              <w:tab w:val="left" w:pos="2127"/>
              <w:tab w:val="left" w:pos="6521"/>
            </w:tabs>
          </w:pPr>
        </w:p>
      </w:tc>
      <w:bookmarkStart w:id="29" w:name="_MON_1030527131"/>
      <w:bookmarkEnd w:id="29"/>
      <w:tc>
        <w:tcPr>
          <w:tcW w:w="1843" w:type="dxa"/>
        </w:tcPr>
        <w:p w14:paraId="159BECBD" w14:textId="77777777" w:rsidR="00C93CCC" w:rsidRDefault="00C93CCC">
          <w:pPr>
            <w:pStyle w:val="Header"/>
            <w:tabs>
              <w:tab w:val="clear" w:pos="4252"/>
              <w:tab w:val="left" w:pos="6521"/>
            </w:tabs>
            <w:spacing w:before="120" w:after="120"/>
            <w:jc w:val="right"/>
            <w:rPr>
              <w:rFonts w:ascii="Gill Sans MT" w:hAnsi="Gill Sans MT"/>
              <w:sz w:val="10"/>
            </w:rPr>
          </w:pPr>
          <w:r>
            <w:object w:dxaOrig="1081" w:dyaOrig="1141" w14:anchorId="41648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44.35pt" fillcolor="window">
                <v:imagedata r:id="rId1" o:title=""/>
              </v:shape>
              <o:OLEObject Type="Embed" ProgID="Word.Picture.8" ShapeID="_x0000_i1025" DrawAspect="Content" ObjectID="_1724479254" r:id="rId2"/>
            </w:object>
          </w:r>
        </w:p>
      </w:tc>
    </w:tr>
  </w:tbl>
  <w:p w14:paraId="37A83458" w14:textId="77777777" w:rsidR="00C93CCC" w:rsidRDefault="00C93CCC">
    <w:pPr>
      <w:pStyle w:val="Header"/>
    </w:pPr>
  </w:p>
  <w:p w14:paraId="4AECF7C6" w14:textId="6EDD15A4" w:rsidR="00C93CCC" w:rsidRDefault="00FD453F">
    <w:pPr>
      <w:pStyle w:val="Header"/>
    </w:pPr>
    <w:r>
      <w:rPr>
        <w:noProof/>
        <w:sz w:val="20"/>
      </w:rPr>
      <mc:AlternateContent>
        <mc:Choice Requires="wps">
          <w:drawing>
            <wp:anchor distT="0" distB="0" distL="114300" distR="114300" simplePos="0" relativeHeight="251658240" behindDoc="0" locked="0" layoutInCell="0" allowOverlap="1" wp14:anchorId="4819963E" wp14:editId="4FA1022B">
              <wp:simplePos x="0" y="0"/>
              <wp:positionH relativeFrom="margin">
                <wp:posOffset>-107950</wp:posOffset>
              </wp:positionH>
              <wp:positionV relativeFrom="page">
                <wp:posOffset>1423035</wp:posOffset>
              </wp:positionV>
              <wp:extent cx="6840220" cy="8686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86800"/>
                      </a:xfrm>
                      <a:prstGeom prst="rect">
                        <a:avLst/>
                      </a:prstGeom>
                      <a:solidFill>
                        <a:srgbClr val="FFFFFF"/>
                      </a:solidFill>
                      <a:ln w="9525">
                        <a:solidFill>
                          <a:srgbClr val="000000"/>
                        </a:solidFill>
                        <a:miter lim="800000"/>
                        <a:headEnd/>
                        <a:tailEnd/>
                      </a:ln>
                    </wps:spPr>
                    <wps:txbx>
                      <w:txbxContent>
                        <w:p w14:paraId="0C89DAC6"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9963E" id="_x0000_t202" coordsize="21600,21600" o:spt="202" path="m,l,21600r21600,l21600,xe">
              <v:stroke joinstyle="miter"/>
              <v:path gradientshapeok="t" o:connecttype="rect"/>
            </v:shapetype>
            <v:shape id="Text Box 2" o:spid="_x0000_s1026" type="#_x0000_t202" style="position:absolute;margin-left:-8.5pt;margin-top:112.05pt;width:538.6pt;height:6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" o:allowincell="f">
              <v:textbox>
                <w:txbxContent>
                  <w:p w14:paraId="0C89DAC6" w14:textId="77777777" w:rsidR="00C93CCC" w:rsidRDefault="00C93CCC"/>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77" w:type="dxa"/>
      <w:jc w:val="center"/>
      <w:tblLayout w:type="fixed"/>
      <w:tblCellMar>
        <w:left w:w="70" w:type="dxa"/>
        <w:right w:w="70" w:type="dxa"/>
      </w:tblCellMar>
      <w:tblLook w:val="0000" w:firstRow="0" w:lastRow="0" w:firstColumn="0" w:lastColumn="0" w:noHBand="0" w:noVBand="0"/>
    </w:tblPr>
    <w:tblGrid>
      <w:gridCol w:w="1357"/>
      <w:gridCol w:w="3728"/>
      <w:gridCol w:w="2020"/>
      <w:gridCol w:w="3772"/>
    </w:tblGrid>
    <w:tr w:rsidR="00546D77" w14:paraId="1E577442" w14:textId="77777777" w:rsidTr="00546D77">
      <w:trPr>
        <w:cantSplit/>
        <w:trHeight w:val="427"/>
        <w:jc w:val="center"/>
      </w:trPr>
      <w:tc>
        <w:tcPr>
          <w:tcW w:w="1357" w:type="dxa"/>
          <w:vMerge w:val="restart"/>
        </w:tcPr>
        <w:p w14:paraId="6CB9E49B" w14:textId="77777777" w:rsidR="00546D77" w:rsidRDefault="00546D77">
          <w:pPr>
            <w:pStyle w:val="Header"/>
            <w:tabs>
              <w:tab w:val="clear" w:pos="4252"/>
              <w:tab w:val="clear" w:pos="8504"/>
            </w:tabs>
            <w:ind w:left="-41" w:right="1318"/>
          </w:pPr>
          <w:r>
            <w:object w:dxaOrig="1081" w:dyaOrig="1141" w14:anchorId="18A5A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95pt;height:59.45pt" fillcolor="window">
                <v:imagedata r:id="rId1" o:title=""/>
              </v:shape>
              <o:OLEObject Type="Embed" ProgID="Word.Picture.8" ShapeID="_x0000_i1026" DrawAspect="Content" ObjectID="_1724479255" r:id="rId2"/>
            </w:object>
          </w:r>
        </w:p>
      </w:tc>
      <w:tc>
        <w:tcPr>
          <w:tcW w:w="3728" w:type="dxa"/>
          <w:vMerge w:val="restart"/>
        </w:tcPr>
        <w:p w14:paraId="6198FA01" w14:textId="77777777" w:rsidR="00546D77" w:rsidRPr="008D3E08" w:rsidRDefault="00546D77">
          <w:pPr>
            <w:pStyle w:val="Header"/>
            <w:tabs>
              <w:tab w:val="clear" w:pos="4252"/>
              <w:tab w:val="left" w:pos="-819"/>
              <w:tab w:val="left" w:pos="6521"/>
            </w:tabs>
            <w:ind w:right="-7"/>
            <w:rPr>
              <w:sz w:val="22"/>
              <w:szCs w:val="22"/>
            </w:rPr>
          </w:pPr>
          <w:r>
            <w:rPr>
              <w:sz w:val="22"/>
            </w:rPr>
            <w:t xml:space="preserve">MINISTERSTVO </w:t>
          </w:r>
        </w:p>
        <w:p w14:paraId="72B91BEF" w14:textId="0FE9D540" w:rsidR="00546D77" w:rsidRPr="008D3E08" w:rsidRDefault="00546D77">
          <w:pPr>
            <w:pStyle w:val="Header"/>
            <w:tabs>
              <w:tab w:val="clear" w:pos="4252"/>
              <w:tab w:val="left" w:pos="-819"/>
              <w:tab w:val="left" w:pos="6521"/>
            </w:tabs>
            <w:ind w:right="-7"/>
            <w:rPr>
              <w:sz w:val="22"/>
              <w:szCs w:val="22"/>
            </w:rPr>
          </w:pPr>
          <w:r>
            <w:rPr>
              <w:sz w:val="22"/>
            </w:rPr>
            <w:t>DOPRAVY, MOBILITY A MĚSTSKÉ AGENDY</w:t>
          </w:r>
        </w:p>
        <w:p w14:paraId="17DC2EEB" w14:textId="77777777" w:rsidR="008D3E08" w:rsidRPr="008D3E08" w:rsidRDefault="008D3E08">
          <w:pPr>
            <w:pStyle w:val="Header"/>
            <w:tabs>
              <w:tab w:val="clear" w:pos="4252"/>
              <w:tab w:val="left" w:pos="-819"/>
              <w:tab w:val="left" w:pos="6521"/>
            </w:tabs>
            <w:ind w:right="-7"/>
            <w:rPr>
              <w:sz w:val="22"/>
              <w:szCs w:val="22"/>
            </w:rPr>
          </w:pPr>
        </w:p>
        <w:p w14:paraId="76421220" w14:textId="2838AE55" w:rsidR="008D3E08" w:rsidRDefault="008D3E08">
          <w:pPr>
            <w:pStyle w:val="Header"/>
            <w:tabs>
              <w:tab w:val="clear" w:pos="4252"/>
              <w:tab w:val="left" w:pos="-819"/>
              <w:tab w:val="left" w:pos="6521"/>
            </w:tabs>
            <w:ind w:right="-7"/>
            <w:rPr>
              <w:rFonts w:ascii="Gill Sans MT" w:hAnsi="Gill Sans MT"/>
              <w:sz w:val="16"/>
            </w:rPr>
          </w:pPr>
          <w:r>
            <w:rPr>
              <w:sz w:val="22"/>
            </w:rPr>
            <w:t>MINISTERSTVO PRO EKOLOGICKOU TRANSFORMACI A DEMOGRAFICKÉ VÝZVY</w:t>
          </w:r>
        </w:p>
      </w:tc>
      <w:tc>
        <w:tcPr>
          <w:tcW w:w="2020" w:type="dxa"/>
          <w:vMerge w:val="restart"/>
        </w:tcPr>
        <w:p w14:paraId="5FBE566D"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40676BB" w14:textId="77777777" w:rsidR="00546D77" w:rsidRDefault="00546D77">
          <w:pPr>
            <w:pStyle w:val="Header"/>
            <w:tabs>
              <w:tab w:val="clear" w:pos="4252"/>
              <w:tab w:val="left" w:pos="6521"/>
            </w:tabs>
            <w:spacing w:before="100"/>
          </w:pPr>
        </w:p>
        <w:p w14:paraId="2705A353" w14:textId="77777777" w:rsidR="00546D77" w:rsidRDefault="00546D77">
          <w:pPr>
            <w:pStyle w:val="Header"/>
            <w:tabs>
              <w:tab w:val="clear" w:pos="4252"/>
              <w:tab w:val="left" w:pos="6521"/>
            </w:tabs>
            <w:spacing w:before="100"/>
          </w:pPr>
        </w:p>
      </w:tc>
    </w:tr>
    <w:tr w:rsidR="00546D77" w14:paraId="4DD47A0F" w14:textId="77777777" w:rsidTr="00546D77">
      <w:trPr>
        <w:cantSplit/>
        <w:trHeight w:hRule="exact" w:val="100"/>
        <w:jc w:val="center"/>
      </w:trPr>
      <w:tc>
        <w:tcPr>
          <w:tcW w:w="1357" w:type="dxa"/>
          <w:vMerge/>
        </w:tcPr>
        <w:p w14:paraId="1C13B7EF" w14:textId="77777777" w:rsidR="00546D77" w:rsidRDefault="00546D77">
          <w:pPr>
            <w:pStyle w:val="Header"/>
            <w:tabs>
              <w:tab w:val="clear" w:pos="4252"/>
              <w:tab w:val="clear" w:pos="8504"/>
            </w:tabs>
            <w:ind w:left="-41" w:right="1176"/>
          </w:pPr>
        </w:p>
      </w:tc>
      <w:tc>
        <w:tcPr>
          <w:tcW w:w="3728" w:type="dxa"/>
          <w:vMerge/>
        </w:tcPr>
        <w:p w14:paraId="3B8408E4"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5355EE17"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29BCB56" w14:textId="77777777" w:rsidR="00546D77" w:rsidRDefault="00546D77">
          <w:pPr>
            <w:pStyle w:val="Header"/>
            <w:tabs>
              <w:tab w:val="clear" w:pos="4252"/>
              <w:tab w:val="left" w:pos="6521"/>
            </w:tabs>
            <w:ind w:right="782"/>
            <w:rPr>
              <w:rFonts w:ascii="Gill Sans MT" w:hAnsi="Gill Sans MT"/>
              <w:sz w:val="14"/>
            </w:rPr>
          </w:pPr>
        </w:p>
      </w:tc>
    </w:tr>
    <w:tr w:rsidR="00546D77" w14:paraId="5B3C05C1" w14:textId="77777777" w:rsidTr="00546D77">
      <w:trPr>
        <w:cantSplit/>
        <w:trHeight w:hRule="exact" w:val="427"/>
        <w:jc w:val="center"/>
      </w:trPr>
      <w:tc>
        <w:tcPr>
          <w:tcW w:w="1357" w:type="dxa"/>
          <w:vMerge/>
        </w:tcPr>
        <w:p w14:paraId="6B5B66CA" w14:textId="77777777" w:rsidR="00546D77" w:rsidRDefault="00546D77">
          <w:pPr>
            <w:pStyle w:val="Header"/>
            <w:tabs>
              <w:tab w:val="clear" w:pos="4252"/>
              <w:tab w:val="clear" w:pos="8504"/>
            </w:tabs>
            <w:ind w:left="-41" w:right="1176"/>
          </w:pPr>
        </w:p>
      </w:tc>
      <w:tc>
        <w:tcPr>
          <w:tcW w:w="3728" w:type="dxa"/>
          <w:vMerge/>
        </w:tcPr>
        <w:p w14:paraId="2C834F51"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869AAF"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AE9179E" w14:textId="77777777" w:rsidR="00546D77" w:rsidRDefault="00546D77">
          <w:pPr>
            <w:pStyle w:val="Header"/>
            <w:tabs>
              <w:tab w:val="clear" w:pos="4252"/>
              <w:tab w:val="left" w:pos="6521"/>
            </w:tabs>
            <w:spacing w:before="100"/>
            <w:ind w:right="782"/>
          </w:pPr>
          <w:r>
            <w:rPr>
              <w:rFonts w:ascii="Gill Sans MT" w:hAnsi="Gill Sans MT"/>
              <w:sz w:val="14"/>
            </w:rPr>
            <w:t>REF. Č.:</w:t>
          </w:r>
        </w:p>
      </w:tc>
    </w:tr>
    <w:tr w:rsidR="00546D77" w14:paraId="245FEC80" w14:textId="77777777" w:rsidTr="00546D77">
      <w:trPr>
        <w:cantSplit/>
        <w:trHeight w:hRule="exact" w:val="600"/>
        <w:jc w:val="center"/>
      </w:trPr>
      <w:tc>
        <w:tcPr>
          <w:tcW w:w="1357" w:type="dxa"/>
          <w:vMerge/>
        </w:tcPr>
        <w:p w14:paraId="28B5929C" w14:textId="77777777" w:rsidR="00546D77" w:rsidRDefault="00546D77">
          <w:pPr>
            <w:pStyle w:val="Header"/>
            <w:tabs>
              <w:tab w:val="clear" w:pos="4252"/>
              <w:tab w:val="clear" w:pos="8504"/>
            </w:tabs>
            <w:ind w:left="-41" w:right="1176"/>
          </w:pPr>
        </w:p>
      </w:tc>
      <w:tc>
        <w:tcPr>
          <w:tcW w:w="3728" w:type="dxa"/>
          <w:vMerge/>
        </w:tcPr>
        <w:p w14:paraId="58C627D0"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F238CB"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1B79A29C" w14:textId="77777777" w:rsidR="00546D77" w:rsidRDefault="00546D77">
          <w:pPr>
            <w:pStyle w:val="Header"/>
            <w:tabs>
              <w:tab w:val="clear" w:pos="4252"/>
              <w:tab w:val="left" w:pos="6521"/>
            </w:tabs>
            <w:spacing w:before="100"/>
            <w:ind w:right="782"/>
          </w:pPr>
          <w:r>
            <w:rPr>
              <w:rFonts w:ascii="Gill Sans MT" w:hAnsi="Gill Sans MT"/>
              <w:sz w:val="14"/>
            </w:rPr>
            <w:t>REF.C.M.:</w:t>
          </w:r>
        </w:p>
      </w:tc>
    </w:tr>
  </w:tbl>
  <w:p w14:paraId="0F00BC53" w14:textId="5A2A6B0E" w:rsidR="00C93CCC" w:rsidRDefault="00FD453F">
    <w:pPr>
      <w:pStyle w:val="Header"/>
    </w:pPr>
    <w:r>
      <w:rPr>
        <w:noProof/>
        <w:sz w:val="20"/>
      </w:rPr>
      <mc:AlternateContent>
        <mc:Choice Requires="wps">
          <w:drawing>
            <wp:anchor distT="0" distB="0" distL="114300" distR="114300" simplePos="0" relativeHeight="251657216" behindDoc="0" locked="0" layoutInCell="0" allowOverlap="1" wp14:anchorId="25F39437" wp14:editId="6D6516D9">
              <wp:simplePos x="0" y="0"/>
              <wp:positionH relativeFrom="margin">
                <wp:posOffset>-107950</wp:posOffset>
              </wp:positionH>
              <wp:positionV relativeFrom="page">
                <wp:posOffset>5080000</wp:posOffset>
              </wp:positionV>
              <wp:extent cx="6840220" cy="51695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solidFill>
                        <a:srgbClr val="FFFFFF"/>
                      </a:solidFill>
                      <a:ln w="9525">
                        <a:solidFill>
                          <a:srgbClr val="000000"/>
                        </a:solidFill>
                        <a:miter lim="800000"/>
                        <a:headEnd/>
                        <a:tailEnd/>
                      </a:ln>
                    </wps:spPr>
                    <wps:txbx>
                      <w:txbxContent>
                        <w:p w14:paraId="0930644B"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39437" id="_x0000_t202" coordsize="21600,21600" o:spt="202" path="m,l,21600r21600,l21600,xe">
              <v:stroke joinstyle="miter"/>
              <v:path gradientshapeok="t" o:connecttype="rect"/>
            </v:shapetype>
            <v:shape id="Text Box 1" o:spid="_x0000_s1027" type="#_x0000_t202" style="position:absolute;margin-left:-8.5pt;margin-top:400pt;width:538.6pt;height:40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" o:allowincell="f">
              <v:textbox>
                <w:txbxContent>
                  <w:p w14:paraId="0930644B" w14:textId="77777777" w:rsidR="00C93CCC" w:rsidRDefault="00C93CCC"/>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29115" w:hanging="840"/>
      </w:pPr>
      <w:rPr>
        <w:rFonts w:hint="default"/>
      </w:rPr>
    </w:lvl>
    <w:lvl w:ilvl="1" w:tplc="0C0A0019" w:tentative="1">
      <w:start w:val="1"/>
      <w:numFmt w:val="lowerLetter"/>
      <w:lvlText w:val="%2."/>
      <w:lvlJc w:val="left"/>
      <w:pPr>
        <w:ind w:left="29355" w:hanging="360"/>
      </w:pPr>
    </w:lvl>
    <w:lvl w:ilvl="2" w:tplc="0C0A001B" w:tentative="1">
      <w:start w:val="1"/>
      <w:numFmt w:val="lowerRoman"/>
      <w:lvlText w:val="%3."/>
      <w:lvlJc w:val="right"/>
      <w:pPr>
        <w:ind w:left="30075" w:hanging="180"/>
      </w:pPr>
    </w:lvl>
    <w:lvl w:ilvl="3" w:tplc="0C0A000F" w:tentative="1">
      <w:start w:val="1"/>
      <w:numFmt w:val="decimal"/>
      <w:lvlText w:val="%4."/>
      <w:lvlJc w:val="left"/>
      <w:pPr>
        <w:ind w:left="30795" w:hanging="360"/>
      </w:pPr>
    </w:lvl>
    <w:lvl w:ilvl="4" w:tplc="0C0A0019" w:tentative="1">
      <w:start w:val="1"/>
      <w:numFmt w:val="lowerLetter"/>
      <w:lvlText w:val="%5."/>
      <w:lvlJc w:val="left"/>
      <w:pPr>
        <w:ind w:left="31515" w:hanging="360"/>
      </w:pPr>
    </w:lvl>
    <w:lvl w:ilvl="5" w:tplc="0C0A001B" w:tentative="1">
      <w:start w:val="1"/>
      <w:numFmt w:val="lowerRoman"/>
      <w:lvlText w:val="%6."/>
      <w:lvlJc w:val="right"/>
      <w:pPr>
        <w:ind w:left="32235" w:hanging="180"/>
      </w:pPr>
    </w:lvl>
    <w:lvl w:ilvl="6" w:tplc="0C0A000F" w:tentative="1">
      <w:start w:val="1"/>
      <w:numFmt w:val="decimal"/>
      <w:lvlText w:val="%7."/>
      <w:lvlJc w:val="left"/>
      <w:pPr>
        <w:ind w:left="-32581" w:hanging="360"/>
      </w:pPr>
    </w:lvl>
    <w:lvl w:ilvl="7" w:tplc="0C0A0019" w:tentative="1">
      <w:start w:val="1"/>
      <w:numFmt w:val="lowerLetter"/>
      <w:lvlText w:val="%8."/>
      <w:lvlJc w:val="left"/>
      <w:pPr>
        <w:ind w:left="-31861" w:hanging="360"/>
      </w:pPr>
    </w:lvl>
    <w:lvl w:ilvl="8" w:tplc="0C0A001B" w:tentative="1">
      <w:start w:val="1"/>
      <w:numFmt w:val="lowerRoman"/>
      <w:lvlText w:val="%9."/>
      <w:lvlJc w:val="right"/>
      <w:pPr>
        <w:ind w:left="-31141"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A45B39"/>
    <w:multiLevelType w:val="hybridMultilevel"/>
    <w:tmpl w:val="C6BEE674"/>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0">
    <w:nsid w:val="0885190B"/>
    <w:multiLevelType w:val="hybridMultilevel"/>
    <w:tmpl w:val="EDF21534"/>
    <w:lvl w:ilvl="0" w:tplc="0C0A0017">
      <w:start w:val="1"/>
      <w:numFmt w:val="lowerLetter"/>
      <w:lvlText w:val="%1)"/>
      <w:lvlJc w:val="lef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4"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7253EF"/>
    <w:multiLevelType w:val="multilevel"/>
    <w:tmpl w:val="666816CA"/>
    <w:lvl w:ilvl="0">
      <w:start w:val="1"/>
      <w:numFmt w:val="bullet"/>
      <w:lvlText w:val=""/>
      <w:lvlJc w:val="left"/>
      <w:pPr>
        <w:ind w:left="1069" w:hanging="360"/>
      </w:pPr>
      <w:rPr>
        <w:rFonts w:ascii="Symbol" w:hAnsi="Symbol" w:cs="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8" w15:restartNumberingAfterBreak="0">
    <w:nsid w:val="19FA4502"/>
    <w:multiLevelType w:val="multilevel"/>
    <w:tmpl w:val="F062902C"/>
    <w:lvl w:ilvl="0">
      <w:start w:val="1"/>
      <w:numFmt w:val="lowerLetter"/>
      <w:lvlText w:val="%1)"/>
      <w:lvlJc w:val="left"/>
      <w:pPr>
        <w:ind w:left="644"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FBB6F6B"/>
    <w:multiLevelType w:val="hybridMultilevel"/>
    <w:tmpl w:val="68A05250"/>
    <w:lvl w:ilvl="0" w:tplc="0C0A0017">
      <w:start w:val="1"/>
      <w:numFmt w:val="lowerLetter"/>
      <w:lvlText w:val="%1)"/>
      <w:lvlJc w:val="left"/>
      <w:pPr>
        <w:ind w:left="333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13" w15:restartNumberingAfterBreak="0">
    <w:nsid w:val="26D74DAF"/>
    <w:multiLevelType w:val="hybridMultilevel"/>
    <w:tmpl w:val="CBD8B54E"/>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4"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5"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3F1E1148"/>
    <w:multiLevelType w:val="hybridMultilevel"/>
    <w:tmpl w:val="5922E64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9"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6AF73D0"/>
    <w:multiLevelType w:val="hybridMultilevel"/>
    <w:tmpl w:val="4B264938"/>
    <w:lvl w:ilvl="0" w:tplc="0C0A0017">
      <w:start w:val="1"/>
      <w:numFmt w:val="lowerLetter"/>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AB7108E"/>
    <w:multiLevelType w:val="hybridMultilevel"/>
    <w:tmpl w:val="B512019C"/>
    <w:lvl w:ilvl="0" w:tplc="9F2A7DC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5" w15:restartNumberingAfterBreak="0">
    <w:nsid w:val="54742056"/>
    <w:multiLevelType w:val="hybridMultilevel"/>
    <w:tmpl w:val="E222D0B2"/>
    <w:lvl w:ilvl="0" w:tplc="6FDEFA3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65F81EE4"/>
    <w:multiLevelType w:val="hybridMultilevel"/>
    <w:tmpl w:val="C4CAF34C"/>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2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abstractNum w:abstractNumId="33" w15:restartNumberingAfterBreak="0">
    <w:nsid w:val="7BBB7816"/>
    <w:multiLevelType w:val="hybridMultilevel"/>
    <w:tmpl w:val="4EE4F8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806165444">
    <w:abstractNumId w:val="13"/>
  </w:num>
  <w:num w:numId="2" w16cid:durableId="640647079">
    <w:abstractNumId w:val="3"/>
  </w:num>
  <w:num w:numId="3" w16cid:durableId="776681883">
    <w:abstractNumId w:val="2"/>
  </w:num>
  <w:num w:numId="4" w16cid:durableId="295841785">
    <w:abstractNumId w:val="18"/>
  </w:num>
  <w:num w:numId="5" w16cid:durableId="838276280">
    <w:abstractNumId w:val="28"/>
  </w:num>
  <w:num w:numId="6" w16cid:durableId="571279413">
    <w:abstractNumId w:val="31"/>
  </w:num>
  <w:num w:numId="7" w16cid:durableId="782578975">
    <w:abstractNumId w:val="12"/>
  </w:num>
  <w:num w:numId="8" w16cid:durableId="1270163073">
    <w:abstractNumId w:val="12"/>
    <w:lvlOverride w:ilvl="0">
      <w:startOverride w:val="1"/>
    </w:lvlOverride>
  </w:num>
  <w:num w:numId="9" w16cid:durableId="158887420">
    <w:abstractNumId w:val="1"/>
  </w:num>
  <w:num w:numId="10" w16cid:durableId="1676878742">
    <w:abstractNumId w:val="29"/>
  </w:num>
  <w:num w:numId="11" w16cid:durableId="2055226268">
    <w:abstractNumId w:val="5"/>
  </w:num>
  <w:num w:numId="12" w16cid:durableId="1522432203">
    <w:abstractNumId w:val="20"/>
  </w:num>
  <w:num w:numId="13" w16cid:durableId="291982446">
    <w:abstractNumId w:val="19"/>
  </w:num>
  <w:num w:numId="14" w16cid:durableId="2104302648">
    <w:abstractNumId w:val="0"/>
  </w:num>
  <w:num w:numId="15" w16cid:durableId="594635587">
    <w:abstractNumId w:val="24"/>
  </w:num>
  <w:num w:numId="16" w16cid:durableId="649208695">
    <w:abstractNumId w:val="9"/>
  </w:num>
  <w:num w:numId="17" w16cid:durableId="1010789022">
    <w:abstractNumId w:val="11"/>
  </w:num>
  <w:num w:numId="18" w16cid:durableId="772552138">
    <w:abstractNumId w:val="14"/>
  </w:num>
  <w:num w:numId="19" w16cid:durableId="338392972">
    <w:abstractNumId w:val="16"/>
  </w:num>
  <w:num w:numId="20" w16cid:durableId="677078459">
    <w:abstractNumId w:val="22"/>
  </w:num>
  <w:num w:numId="21" w16cid:durableId="888809413">
    <w:abstractNumId w:val="15"/>
  </w:num>
  <w:num w:numId="22" w16cid:durableId="487944804">
    <w:abstractNumId w:val="10"/>
  </w:num>
  <w:num w:numId="23" w16cid:durableId="1331299523">
    <w:abstractNumId w:val="32"/>
  </w:num>
  <w:num w:numId="24" w16cid:durableId="262542336">
    <w:abstractNumId w:val="6"/>
  </w:num>
  <w:num w:numId="25" w16cid:durableId="669719516">
    <w:abstractNumId w:val="4"/>
  </w:num>
  <w:num w:numId="26" w16cid:durableId="809595804">
    <w:abstractNumId w:val="17"/>
  </w:num>
  <w:num w:numId="27" w16cid:durableId="940382160">
    <w:abstractNumId w:val="30"/>
  </w:num>
  <w:num w:numId="28" w16cid:durableId="644630731">
    <w:abstractNumId w:val="27"/>
  </w:num>
  <w:num w:numId="29" w16cid:durableId="438450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5157183">
    <w:abstractNumId w:val="26"/>
  </w:num>
  <w:num w:numId="31" w16cid:durableId="681014506">
    <w:abstractNumId w:val="33"/>
  </w:num>
  <w:num w:numId="32" w16cid:durableId="82923998">
    <w:abstractNumId w:val="8"/>
  </w:num>
  <w:num w:numId="33" w16cid:durableId="609434477">
    <w:abstractNumId w:val="7"/>
  </w:num>
  <w:num w:numId="34" w16cid:durableId="1394111462">
    <w:abstractNumId w:val="23"/>
  </w:num>
  <w:num w:numId="35" w16cid:durableId="581530033">
    <w:abstractNumId w:val="25"/>
  </w:num>
  <w:num w:numId="36" w16cid:durableId="9846294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CC"/>
    <w:rsid w:val="000370F1"/>
    <w:rsid w:val="000760AB"/>
    <w:rsid w:val="000C089F"/>
    <w:rsid w:val="001F7365"/>
    <w:rsid w:val="002A5CC6"/>
    <w:rsid w:val="002B64A6"/>
    <w:rsid w:val="004D344F"/>
    <w:rsid w:val="00513973"/>
    <w:rsid w:val="00546D77"/>
    <w:rsid w:val="00717198"/>
    <w:rsid w:val="007C6042"/>
    <w:rsid w:val="008577E8"/>
    <w:rsid w:val="008D3E08"/>
    <w:rsid w:val="00991C0F"/>
    <w:rsid w:val="009B305A"/>
    <w:rsid w:val="00B00277"/>
    <w:rsid w:val="00B369EC"/>
    <w:rsid w:val="00BC3417"/>
    <w:rsid w:val="00C93CCC"/>
    <w:rsid w:val="00CE0018"/>
    <w:rsid w:val="00D60A1D"/>
    <w:rsid w:val="00E3004D"/>
    <w:rsid w:val="00E379B2"/>
    <w:rsid w:val="00E605F9"/>
    <w:rsid w:val="00EA33B6"/>
    <w:rsid w:val="00EB4797"/>
    <w:rsid w:val="00F00583"/>
    <w:rsid w:val="00F34379"/>
    <w:rsid w:val="00F43C1F"/>
    <w:rsid w:val="00F96586"/>
    <w:rsid w:val="00FD4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B9D97"/>
  <w15:chartTrackingRefBased/>
  <w15:docId w15:val="{D5C0325E-C9FD-4E76-A1D4-6A1D1B83B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760AB"/>
    <w:pPr>
      <w:keepNext/>
      <w:spacing w:before="240" w:after="60"/>
      <w:outlineLvl w:val="0"/>
    </w:pPr>
    <w:rPr>
      <w:rFonts w:ascii="Calibri Light" w:hAnsi="Calibri Light"/>
      <w:color w:val="2E74B5"/>
      <w:sz w:val="32"/>
      <w:szCs w:val="32"/>
    </w:rPr>
  </w:style>
  <w:style w:type="paragraph" w:styleId="Heading2">
    <w:name w:val="heading 2"/>
    <w:basedOn w:val="Normal"/>
    <w:next w:val="Normal"/>
    <w:link w:val="Heading2Char"/>
    <w:uiPriority w:val="9"/>
    <w:semiHidden/>
    <w:unhideWhenUsed/>
    <w:qFormat/>
    <w:rsid w:val="000760AB"/>
    <w:pPr>
      <w:keepNext/>
      <w:spacing w:before="240" w:after="60"/>
      <w:outlineLvl w:val="1"/>
    </w:pPr>
    <w:rPr>
      <w:rFonts w:ascii="Calibri Light" w:hAnsi="Calibri Light"/>
      <w:color w:val="2E74B5"/>
      <w:sz w:val="26"/>
      <w:szCs w:val="26"/>
    </w:rPr>
  </w:style>
  <w:style w:type="paragraph" w:styleId="Heading4">
    <w:name w:val="heading 4"/>
    <w:basedOn w:val="Normal"/>
    <w:next w:val="Normal"/>
    <w:link w:val="Heading4Char"/>
    <w:uiPriority w:val="9"/>
    <w:unhideWhenUsed/>
    <w:qFormat/>
    <w:rsid w:val="000760AB"/>
    <w:pPr>
      <w:keepNext/>
      <w:suppressAutoHyphens/>
      <w:spacing w:before="240" w:after="60"/>
      <w:outlineLvl w:val="3"/>
    </w:pPr>
    <w:rPr>
      <w:rFonts w:ascii="Calibri" w:hAnsi="Calibri"/>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252"/>
        <w:tab w:val="right" w:pos="8504"/>
      </w:tabs>
    </w:pPr>
  </w:style>
  <w:style w:type="paragraph" w:styleId="Footer">
    <w:name w:val="footer"/>
    <w:basedOn w:val="Normal"/>
    <w:link w:val="FooterChar"/>
    <w:uiPriority w:val="99"/>
    <w:pPr>
      <w:tabs>
        <w:tab w:val="center" w:pos="4252"/>
        <w:tab w:val="right" w:pos="8504"/>
      </w:tabs>
    </w:pPr>
  </w:style>
  <w:style w:type="character" w:styleId="PageNumber">
    <w:name w:val="page number"/>
    <w:basedOn w:val="DefaultParagraphFont"/>
  </w:style>
  <w:style w:type="paragraph" w:styleId="BlockText">
    <w:name w:val="Block Text"/>
    <w:basedOn w:val="Normal"/>
    <w:pPr>
      <w:ind w:left="540" w:right="892"/>
      <w:jc w:val="both"/>
    </w:pPr>
    <w:rPr>
      <w:rFonts w:ascii="Arial" w:hAnsi="Arial"/>
      <w:sz w:val="28"/>
    </w:rPr>
  </w:style>
  <w:style w:type="paragraph" w:styleId="FootnoteText">
    <w:name w:val="footnote text"/>
    <w:basedOn w:val="Normal"/>
    <w:link w:val="FootnoteTextChar"/>
    <w:rsid w:val="008577E8"/>
    <w:rPr>
      <w:sz w:val="20"/>
      <w:szCs w:val="20"/>
    </w:rPr>
  </w:style>
  <w:style w:type="character" w:customStyle="1" w:styleId="FootnoteTextChar">
    <w:name w:val="Footnote Text Char"/>
    <w:link w:val="FootnoteText"/>
    <w:rsid w:val="008577E8"/>
    <w:rPr>
      <w:lang w:val="cs-CZ" w:eastAsia="es-ES" w:bidi="ar-SA"/>
    </w:rPr>
  </w:style>
  <w:style w:type="paragraph" w:customStyle="1" w:styleId="Ttulo11">
    <w:name w:val="Título 11"/>
    <w:basedOn w:val="Normal"/>
    <w:next w:val="Normal"/>
    <w:uiPriority w:val="9"/>
    <w:qFormat/>
    <w:rsid w:val="000760AB"/>
    <w:pPr>
      <w:keepNext/>
      <w:keepLines/>
      <w:spacing w:before="240" w:line="259" w:lineRule="auto"/>
      <w:outlineLvl w:val="0"/>
    </w:pPr>
    <w:rPr>
      <w:rFonts w:ascii="Calibri Light" w:hAnsi="Calibri Light"/>
      <w:color w:val="2E74B5"/>
      <w:sz w:val="32"/>
      <w:szCs w:val="32"/>
      <w:lang w:eastAsia="en-US"/>
    </w:rPr>
  </w:style>
  <w:style w:type="paragraph" w:customStyle="1" w:styleId="Ttulo21">
    <w:name w:val="Título 21"/>
    <w:basedOn w:val="Normal"/>
    <w:next w:val="Normal"/>
    <w:uiPriority w:val="9"/>
    <w:semiHidden/>
    <w:unhideWhenUsed/>
    <w:qFormat/>
    <w:rsid w:val="000760AB"/>
    <w:pPr>
      <w:keepNext/>
      <w:keepLines/>
      <w:spacing w:before="40" w:line="259" w:lineRule="auto"/>
      <w:outlineLvl w:val="1"/>
    </w:pPr>
    <w:rPr>
      <w:rFonts w:ascii="Calibri Light" w:hAnsi="Calibri Light"/>
      <w:color w:val="2E74B5"/>
      <w:sz w:val="26"/>
      <w:szCs w:val="26"/>
      <w:lang w:eastAsia="en-US"/>
    </w:rPr>
  </w:style>
  <w:style w:type="character" w:customStyle="1" w:styleId="Heading4Char">
    <w:name w:val="Heading 4 Char"/>
    <w:basedOn w:val="DefaultParagraphFont"/>
    <w:link w:val="Heading4"/>
    <w:uiPriority w:val="9"/>
    <w:rsid w:val="000760AB"/>
    <w:rPr>
      <w:rFonts w:ascii="Calibri" w:hAnsi="Calibri"/>
      <w:b/>
      <w:bCs/>
      <w:sz w:val="28"/>
      <w:szCs w:val="28"/>
      <w:lang w:eastAsia="zh-CN"/>
    </w:rPr>
  </w:style>
  <w:style w:type="numbering" w:customStyle="1" w:styleId="Sinlista1">
    <w:name w:val="Sin lista1"/>
    <w:next w:val="NoList"/>
    <w:uiPriority w:val="99"/>
    <w:semiHidden/>
    <w:unhideWhenUsed/>
    <w:rsid w:val="000760AB"/>
  </w:style>
  <w:style w:type="character" w:customStyle="1" w:styleId="Heading1Char">
    <w:name w:val="Heading 1 Char"/>
    <w:link w:val="Heading1"/>
    <w:uiPriority w:val="9"/>
    <w:rsid w:val="000760AB"/>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sid w:val="000760AB"/>
    <w:rPr>
      <w:rFonts w:ascii="Calibri Light" w:eastAsia="Times New Roman" w:hAnsi="Calibri Light" w:cs="Times New Roman"/>
      <w:color w:val="2E74B5"/>
      <w:sz w:val="26"/>
      <w:szCs w:val="26"/>
    </w:rPr>
  </w:style>
  <w:style w:type="paragraph" w:customStyle="1" w:styleId="Prrafodelista1">
    <w:name w:val="Párrafo de lista1"/>
    <w:basedOn w:val="Normal"/>
    <w:next w:val="ListParagraph"/>
    <w:uiPriority w:val="34"/>
    <w:qFormat/>
    <w:rsid w:val="000760AB"/>
    <w:pPr>
      <w:spacing w:after="160" w:line="259" w:lineRule="auto"/>
      <w:ind w:left="720"/>
      <w:contextualSpacing/>
    </w:pPr>
    <w:rPr>
      <w:rFonts w:ascii="Calibri" w:eastAsia="Calibri" w:hAnsi="Calibri"/>
      <w:sz w:val="22"/>
      <w:szCs w:val="22"/>
      <w:lang w:eastAsia="en-US"/>
    </w:rPr>
  </w:style>
  <w:style w:type="character" w:styleId="CommentReference">
    <w:name w:val="annotation reference"/>
    <w:unhideWhenUsed/>
    <w:rsid w:val="000760AB"/>
    <w:rPr>
      <w:sz w:val="16"/>
      <w:szCs w:val="16"/>
    </w:rPr>
  </w:style>
  <w:style w:type="paragraph" w:customStyle="1" w:styleId="Textocomentario1">
    <w:name w:val="Texto comentario1"/>
    <w:basedOn w:val="Normal"/>
    <w:next w:val="CommentText"/>
    <w:link w:val="TextocomentarioCar"/>
    <w:unhideWhenUsed/>
    <w:qFormat/>
    <w:rsid w:val="000760AB"/>
    <w:pPr>
      <w:spacing w:after="160"/>
    </w:pPr>
    <w:rPr>
      <w:sz w:val="20"/>
      <w:szCs w:val="20"/>
    </w:rPr>
  </w:style>
  <w:style w:type="character" w:customStyle="1" w:styleId="TextocomentarioCar">
    <w:name w:val="Texto comentario Car"/>
    <w:link w:val="Textocomentario1"/>
    <w:rsid w:val="000760AB"/>
    <w:rPr>
      <w:sz w:val="20"/>
      <w:szCs w:val="20"/>
    </w:rPr>
  </w:style>
  <w:style w:type="paragraph" w:customStyle="1" w:styleId="Textodeglobo1">
    <w:name w:val="Texto de globo1"/>
    <w:basedOn w:val="Normal"/>
    <w:next w:val="BalloonText"/>
    <w:link w:val="TextodegloboCar"/>
    <w:uiPriority w:val="99"/>
    <w:semiHidden/>
    <w:unhideWhenUsed/>
    <w:rsid w:val="000760AB"/>
    <w:rPr>
      <w:rFonts w:ascii="Segoe UI" w:hAnsi="Segoe UI" w:cs="Segoe UI"/>
      <w:sz w:val="18"/>
      <w:szCs w:val="18"/>
    </w:rPr>
  </w:style>
  <w:style w:type="character" w:customStyle="1" w:styleId="TextodegloboCar">
    <w:name w:val="Texto de globo Car"/>
    <w:link w:val="Textodeglobo1"/>
    <w:uiPriority w:val="99"/>
    <w:semiHidden/>
    <w:rsid w:val="000760AB"/>
    <w:rPr>
      <w:rFonts w:ascii="Segoe UI" w:hAnsi="Segoe UI" w:cs="Segoe UI"/>
      <w:sz w:val="18"/>
      <w:szCs w:val="18"/>
    </w:rPr>
  </w:style>
  <w:style w:type="paragraph" w:customStyle="1" w:styleId="Asuntodelcomentario1">
    <w:name w:val="Asunto del comentario1"/>
    <w:basedOn w:val="CommentText"/>
    <w:next w:val="CommentText"/>
    <w:uiPriority w:val="99"/>
    <w:semiHidden/>
    <w:unhideWhenUsed/>
    <w:rsid w:val="000760AB"/>
    <w:pPr>
      <w:spacing w:after="160"/>
    </w:pPr>
    <w:rPr>
      <w:rFonts w:ascii="Calibri" w:eastAsia="Calibri" w:hAnsi="Calibri"/>
      <w:b/>
      <w:bCs/>
      <w:lang w:eastAsia="en-US"/>
    </w:rPr>
  </w:style>
  <w:style w:type="character" w:customStyle="1" w:styleId="CommentSubjectChar">
    <w:name w:val="Comment Subject Char"/>
    <w:link w:val="CommentSubject"/>
    <w:uiPriority w:val="99"/>
    <w:semiHidden/>
    <w:rsid w:val="000760AB"/>
    <w:rPr>
      <w:b/>
      <w:bCs/>
      <w:sz w:val="20"/>
      <w:szCs w:val="20"/>
    </w:rPr>
  </w:style>
  <w:style w:type="character" w:customStyle="1" w:styleId="HeaderChar">
    <w:name w:val="Header Char"/>
    <w:basedOn w:val="DefaultParagraphFont"/>
    <w:link w:val="Header"/>
    <w:uiPriority w:val="99"/>
    <w:rsid w:val="000760AB"/>
    <w:rPr>
      <w:sz w:val="24"/>
      <w:szCs w:val="24"/>
    </w:rPr>
  </w:style>
  <w:style w:type="character" w:customStyle="1" w:styleId="FooterChar">
    <w:name w:val="Footer Char"/>
    <w:basedOn w:val="DefaultParagraphFont"/>
    <w:link w:val="Footer"/>
    <w:uiPriority w:val="99"/>
    <w:rsid w:val="000760AB"/>
    <w:rPr>
      <w:sz w:val="24"/>
      <w:szCs w:val="24"/>
    </w:rPr>
  </w:style>
  <w:style w:type="table" w:customStyle="1" w:styleId="Tablaconcuadrcula1">
    <w:name w:val="Tabla con cuadrícula1"/>
    <w:basedOn w:val="TableNormal"/>
    <w:next w:val="TableGrid"/>
    <w:uiPriority w:val="39"/>
    <w:rsid w:val="000760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0AB"/>
    <w:pPr>
      <w:autoSpaceDE w:val="0"/>
      <w:autoSpaceDN w:val="0"/>
      <w:adjustRightInd w:val="0"/>
    </w:pPr>
    <w:rPr>
      <w:rFonts w:ascii="Arial" w:eastAsia="Calibri" w:hAnsi="Arial" w:cs="Arial"/>
      <w:color w:val="000000"/>
      <w:sz w:val="24"/>
      <w:szCs w:val="24"/>
      <w:lang w:eastAsia="en-US"/>
    </w:rPr>
  </w:style>
  <w:style w:type="character" w:customStyle="1" w:styleId="st1">
    <w:name w:val="st1"/>
    <w:basedOn w:val="DefaultParagraphFont"/>
    <w:rsid w:val="000760AB"/>
  </w:style>
  <w:style w:type="paragraph" w:customStyle="1" w:styleId="CTENumeracion">
    <w:name w:val="CTE_Numeracion"/>
    <w:basedOn w:val="Normal"/>
    <w:qFormat/>
    <w:rsid w:val="000760AB"/>
    <w:pPr>
      <w:spacing w:before="60" w:after="60"/>
      <w:ind w:left="357" w:hanging="357"/>
      <w:jc w:val="both"/>
    </w:pPr>
    <w:rPr>
      <w:rFonts w:ascii="Arial" w:hAnsi="Arial"/>
      <w:sz w:val="20"/>
    </w:rPr>
  </w:style>
  <w:style w:type="character" w:customStyle="1" w:styleId="CTEModTachaprob">
    <w:name w:val="CTE_Mod_Tach_aprob"/>
    <w:rsid w:val="000760AB"/>
    <w:rPr>
      <w:strike w:val="0"/>
      <w:dstrike w:val="0"/>
      <w:shd w:val="clear" w:color="auto" w:fill="FFFF00"/>
    </w:rPr>
  </w:style>
  <w:style w:type="paragraph" w:styleId="BodyTextIndent2">
    <w:name w:val="Body Text Indent 2"/>
    <w:basedOn w:val="Normal"/>
    <w:link w:val="BodyTextIndent2Char"/>
    <w:uiPriority w:val="99"/>
    <w:unhideWhenUsed/>
    <w:rsid w:val="000760AB"/>
    <w:pPr>
      <w:suppressAutoHyphens/>
      <w:spacing w:after="120" w:line="480" w:lineRule="auto"/>
      <w:ind w:left="283"/>
    </w:pPr>
    <w:rPr>
      <w:sz w:val="20"/>
      <w:szCs w:val="20"/>
      <w:lang w:eastAsia="zh-CN"/>
    </w:rPr>
  </w:style>
  <w:style w:type="character" w:customStyle="1" w:styleId="BodyTextIndent2Char">
    <w:name w:val="Body Text Indent 2 Char"/>
    <w:basedOn w:val="DefaultParagraphFont"/>
    <w:link w:val="BodyTextIndent2"/>
    <w:uiPriority w:val="99"/>
    <w:rsid w:val="000760AB"/>
    <w:rPr>
      <w:lang w:eastAsia="zh-CN"/>
    </w:rPr>
  </w:style>
  <w:style w:type="paragraph" w:customStyle="1" w:styleId="CteTtulo3">
    <w:name w:val="CteTítulo3"/>
    <w:basedOn w:val="Normal"/>
    <w:next w:val="Normal"/>
    <w:autoRedefine/>
    <w:rsid w:val="000760AB"/>
    <w:pPr>
      <w:keepNext/>
      <w:numPr>
        <w:ilvl w:val="2"/>
      </w:numPr>
      <w:spacing w:before="60" w:after="120"/>
      <w:ind w:left="851"/>
      <w:jc w:val="both"/>
      <w:outlineLvl w:val="3"/>
    </w:pPr>
    <w:rPr>
      <w:rFonts w:ascii="Arial" w:hAnsi="Arial"/>
      <w:b/>
      <w:bCs/>
      <w:sz w:val="22"/>
      <w:szCs w:val="22"/>
      <w:lang w:eastAsia="zh-CN"/>
    </w:rPr>
  </w:style>
  <w:style w:type="paragraph" w:customStyle="1" w:styleId="CteAnejo-TituloSeccion">
    <w:name w:val="CteAnejo-TituloSeccion"/>
    <w:basedOn w:val="Normal"/>
    <w:rsid w:val="000760AB"/>
    <w:pPr>
      <w:keepNext/>
      <w:spacing w:before="480" w:after="160"/>
      <w:outlineLvl w:val="0"/>
    </w:pPr>
    <w:rPr>
      <w:rFonts w:ascii="Arial" w:hAnsi="Arial"/>
      <w:b/>
      <w:bCs/>
      <w:sz w:val="32"/>
    </w:rPr>
  </w:style>
  <w:style w:type="character" w:customStyle="1" w:styleId="EstiloCTEModTachaprob16ptNegritaSinTachado">
    <w:name w:val="Estilo CTE_Mod_Tach_aprob + 16 pt Negrita Sin Tachado"/>
    <w:rsid w:val="000760AB"/>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0760AB"/>
    <w:rPr>
      <w:strike/>
      <w:dstrike w:val="0"/>
      <w:bdr w:val="none" w:sz="0" w:space="0" w:color="auto"/>
      <w:shd w:val="clear" w:color="auto" w:fill="auto"/>
    </w:rPr>
  </w:style>
  <w:style w:type="paragraph" w:customStyle="1" w:styleId="Textoindependiente1">
    <w:name w:val="Texto independiente1"/>
    <w:basedOn w:val="Normal"/>
    <w:next w:val="BodyText"/>
    <w:link w:val="TextoindependienteCar"/>
    <w:uiPriority w:val="99"/>
    <w:semiHidden/>
    <w:unhideWhenUsed/>
    <w:rsid w:val="000760AB"/>
    <w:pPr>
      <w:spacing w:after="120" w:line="259" w:lineRule="auto"/>
    </w:pPr>
    <w:rPr>
      <w:sz w:val="20"/>
      <w:szCs w:val="20"/>
    </w:rPr>
  </w:style>
  <w:style w:type="character" w:customStyle="1" w:styleId="TextoindependienteCar">
    <w:name w:val="Texto independiente Car"/>
    <w:basedOn w:val="DefaultParagraphFont"/>
    <w:link w:val="Textoindependiente1"/>
    <w:uiPriority w:val="99"/>
    <w:semiHidden/>
    <w:rsid w:val="000760AB"/>
  </w:style>
  <w:style w:type="paragraph" w:customStyle="1" w:styleId="nota">
    <w:name w:val="nota"/>
    <w:basedOn w:val="Normal"/>
    <w:rsid w:val="000760AB"/>
    <w:pPr>
      <w:tabs>
        <w:tab w:val="left" w:pos="1122"/>
        <w:tab w:val="left" w:pos="1309"/>
      </w:tabs>
      <w:jc w:val="both"/>
    </w:pPr>
    <w:rPr>
      <w:rFonts w:ascii="Arial" w:hAnsi="Arial" w:cs="Arial"/>
      <w:bCs/>
      <w:sz w:val="20"/>
    </w:rPr>
  </w:style>
  <w:style w:type="paragraph" w:customStyle="1" w:styleId="Ttulo1CTE">
    <w:name w:val="Título1CTE"/>
    <w:basedOn w:val="Heading1"/>
    <w:next w:val="Normal"/>
    <w:autoRedefine/>
    <w:rsid w:val="000760AB"/>
  </w:style>
  <w:style w:type="paragraph" w:customStyle="1" w:styleId="artculo-tex">
    <w:name w:val="artículo-tex"/>
    <w:basedOn w:val="Normal"/>
    <w:rsid w:val="000760AB"/>
    <w:pPr>
      <w:pBdr>
        <w:top w:val="single" w:sz="4" w:space="1" w:color="00000A"/>
        <w:left w:val="single" w:sz="4" w:space="4" w:color="00000A"/>
        <w:bottom w:val="single" w:sz="4" w:space="1" w:color="00000A"/>
        <w:right w:val="single" w:sz="4" w:space="4" w:color="00000A"/>
      </w:pBdr>
      <w:suppressAutoHyphens/>
      <w:autoSpaceDN w:val="0"/>
      <w:spacing w:before="60" w:after="60"/>
      <w:textAlignment w:val="baseline"/>
    </w:pPr>
    <w:rPr>
      <w:rFonts w:ascii="Arial" w:eastAsia="Arial" w:hAnsi="Arial" w:cs="Arial"/>
      <w:kern w:val="3"/>
      <w:sz w:val="22"/>
      <w:lang w:bidi="hi-IN"/>
    </w:rPr>
  </w:style>
  <w:style w:type="numbering" w:customStyle="1" w:styleId="WWNum3">
    <w:name w:val="WWNum3"/>
    <w:basedOn w:val="NoList"/>
    <w:rsid w:val="000760AB"/>
    <w:pPr>
      <w:numPr>
        <w:numId w:val="7"/>
      </w:numPr>
    </w:pPr>
  </w:style>
  <w:style w:type="paragraph" w:customStyle="1" w:styleId="Revisin1">
    <w:name w:val="Revisión1"/>
    <w:next w:val="Revision"/>
    <w:hidden/>
    <w:uiPriority w:val="99"/>
    <w:semiHidden/>
    <w:rsid w:val="000760AB"/>
    <w:rPr>
      <w:rFonts w:ascii="Calibri" w:eastAsia="Calibri" w:hAnsi="Calibri"/>
      <w:sz w:val="22"/>
      <w:szCs w:val="22"/>
      <w:lang w:eastAsia="en-US"/>
    </w:rPr>
  </w:style>
  <w:style w:type="paragraph" w:customStyle="1" w:styleId="NormalWeb1">
    <w:name w:val="Normal (Web)1"/>
    <w:basedOn w:val="Normal"/>
    <w:next w:val="NormalWeb"/>
    <w:uiPriority w:val="99"/>
    <w:semiHidden/>
    <w:unhideWhenUsed/>
    <w:rsid w:val="000760AB"/>
    <w:pPr>
      <w:spacing w:before="100" w:beforeAutospacing="1" w:after="100" w:afterAutospacing="1"/>
    </w:pPr>
    <w:rPr>
      <w:rFonts w:eastAsia="Calibri"/>
    </w:rPr>
  </w:style>
  <w:style w:type="paragraph" w:customStyle="1" w:styleId="CTENormal">
    <w:name w:val="CTE_Normal"/>
    <w:basedOn w:val="Normal"/>
    <w:qFormat/>
    <w:rsid w:val="000760AB"/>
    <w:pPr>
      <w:spacing w:before="200" w:after="100"/>
    </w:pPr>
    <w:rPr>
      <w:rFonts w:ascii="Arial" w:eastAsia="Arial" w:hAnsi="Arial" w:cs="Arial"/>
      <w:kern w:val="2"/>
      <w:sz w:val="22"/>
      <w:lang w:eastAsia="zh-CN" w:bidi="hi-IN"/>
    </w:rPr>
  </w:style>
  <w:style w:type="paragraph" w:customStyle="1" w:styleId="CteTtulo2">
    <w:name w:val="CteTítulo2"/>
    <w:basedOn w:val="Heading2"/>
    <w:qFormat/>
    <w:rsid w:val="000760AB"/>
  </w:style>
  <w:style w:type="character" w:customStyle="1" w:styleId="Ninguno">
    <w:name w:val="Ninguno"/>
    <w:rsid w:val="000760AB"/>
  </w:style>
  <w:style w:type="character" w:customStyle="1" w:styleId="Ttulo1Car1">
    <w:name w:val="Título 1 Car1"/>
    <w:basedOn w:val="DefaultParagraphFont"/>
    <w:rsid w:val="000760AB"/>
    <w:rPr>
      <w:rFonts w:asciiTheme="majorHAnsi" w:eastAsiaTheme="majorEastAsia" w:hAnsiTheme="majorHAnsi" w:cstheme="majorBidi"/>
      <w:b/>
      <w:bCs/>
      <w:kern w:val="32"/>
      <w:sz w:val="32"/>
      <w:szCs w:val="32"/>
    </w:rPr>
  </w:style>
  <w:style w:type="character" w:customStyle="1" w:styleId="Ttulo2Car1">
    <w:name w:val="Título 2 Car1"/>
    <w:basedOn w:val="DefaultParagraphFont"/>
    <w:semiHidden/>
    <w:rsid w:val="000760AB"/>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0760AB"/>
    <w:pPr>
      <w:ind w:left="708"/>
    </w:pPr>
  </w:style>
  <w:style w:type="paragraph" w:styleId="CommentText">
    <w:name w:val="annotation text"/>
    <w:basedOn w:val="Normal"/>
    <w:link w:val="CommentTextChar"/>
    <w:rsid w:val="000760AB"/>
    <w:rPr>
      <w:sz w:val="20"/>
      <w:szCs w:val="20"/>
    </w:rPr>
  </w:style>
  <w:style w:type="character" w:customStyle="1" w:styleId="CommentTextChar">
    <w:name w:val="Comment Text Char"/>
    <w:basedOn w:val="DefaultParagraphFont"/>
    <w:link w:val="CommentText"/>
    <w:rsid w:val="000760AB"/>
  </w:style>
  <w:style w:type="paragraph" w:styleId="BalloonText">
    <w:name w:val="Balloon Text"/>
    <w:basedOn w:val="Normal"/>
    <w:link w:val="BalloonTextChar"/>
    <w:semiHidden/>
    <w:unhideWhenUsed/>
    <w:rsid w:val="000760AB"/>
    <w:rPr>
      <w:rFonts w:ascii="Segoe UI" w:hAnsi="Segoe UI" w:cs="Segoe UI"/>
      <w:sz w:val="18"/>
      <w:szCs w:val="18"/>
    </w:rPr>
  </w:style>
  <w:style w:type="character" w:customStyle="1" w:styleId="BalloonTextChar">
    <w:name w:val="Balloon Text Char"/>
    <w:basedOn w:val="DefaultParagraphFont"/>
    <w:link w:val="BalloonText"/>
    <w:semiHidden/>
    <w:rsid w:val="000760A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760AB"/>
    <w:rPr>
      <w:b/>
      <w:bCs/>
    </w:rPr>
  </w:style>
  <w:style w:type="character" w:customStyle="1" w:styleId="AsuntodelcomentarioCar1">
    <w:name w:val="Asunto del comentario Car1"/>
    <w:basedOn w:val="CommentTextChar"/>
    <w:semiHidden/>
    <w:rsid w:val="000760AB"/>
    <w:rPr>
      <w:b/>
      <w:bCs/>
    </w:rPr>
  </w:style>
  <w:style w:type="table" w:styleId="TableGrid">
    <w:name w:val="Table Grid"/>
    <w:basedOn w:val="TableNormal"/>
    <w:rsid w:val="00076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760AB"/>
    <w:pPr>
      <w:spacing w:after="120"/>
    </w:pPr>
  </w:style>
  <w:style w:type="character" w:customStyle="1" w:styleId="BodyTextChar">
    <w:name w:val="Body Text Char"/>
    <w:basedOn w:val="DefaultParagraphFont"/>
    <w:link w:val="BodyText"/>
    <w:rsid w:val="000760AB"/>
    <w:rPr>
      <w:sz w:val="24"/>
      <w:szCs w:val="24"/>
    </w:rPr>
  </w:style>
  <w:style w:type="paragraph" w:styleId="Revision">
    <w:name w:val="Revision"/>
    <w:hidden/>
    <w:uiPriority w:val="99"/>
    <w:semiHidden/>
    <w:rsid w:val="000760AB"/>
    <w:rPr>
      <w:sz w:val="24"/>
      <w:szCs w:val="24"/>
    </w:rPr>
  </w:style>
  <w:style w:type="paragraph" w:styleId="NormalWeb">
    <w:name w:val="Normal (Web)"/>
    <w:basedOn w:val="Normal"/>
    <w:rsid w:val="00076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LANTILLAS\R.D.%20BLAN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R.D. BLANCA</Template>
  <TotalTime>0</TotalTime>
  <Pages>16</Pages>
  <Words>6787</Words>
  <Characters>39775</Characters>
  <Application>Microsoft Office Word</Application>
  <DocSecurity>0</DocSecurity>
  <Lines>593</Lines>
  <Paragraphs>287</Paragraphs>
  <ScaleCrop>false</ScaleCrop>
  <HeadingPairs>
    <vt:vector size="2" baseType="variant">
      <vt:variant>
        <vt:lpstr>Título</vt:lpstr>
      </vt:variant>
      <vt:variant>
        <vt:i4>1</vt:i4>
      </vt:variant>
    </vt:vector>
  </HeadingPairs>
  <TitlesOfParts>
    <vt:vector size="1" baseType="lpstr">
      <vt:lpstr>Se propone al Consejo de Ministros la aprobación del siguiente proyecto de disposición:</vt:lpstr>
    </vt:vector>
  </TitlesOfParts>
  <Company/>
  <LinksUpToDate>false</LinksUpToDate>
  <CharactersWithSpaces>46275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propone al Consejo de Ministros la aprobación del siguiente proyecto de disposición:</dc:title>
  <dc:subject/>
  <dc:creator>mlasalgado</dc:creator>
  <cp:keywords>class='Internal'</cp:keywords>
  <dc:description/>
  <cp:lastModifiedBy>Ines Varvodic</cp:lastModifiedBy>
  <cp:revision>2</cp:revision>
  <cp:lastPrinted>2002-07-26T08:33:00Z</cp:lastPrinted>
  <dcterms:created xsi:type="dcterms:W3CDTF">2022-09-12T07:14:00Z</dcterms:created>
  <dcterms:modified xsi:type="dcterms:W3CDTF">2022-09-12T07:14:00Z</dcterms:modified>
</cp:coreProperties>
</file>