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3"/>
        <w:gridCol w:w="14"/>
      </w:tblGrid>
      <w:tr w:rsidR="006A01C1" w:rsidRPr="00B75A8A" w14:paraId="021E6F6D" w14:textId="77777777" w:rsidTr="006A01C1">
        <w:trPr>
          <w:gridAfter w:val="1"/>
          <w:wAfter w:w="14" w:type="dxa"/>
          <w:trHeight w:val="151"/>
          <w:jc w:val="center"/>
        </w:trPr>
        <w:tc>
          <w:tcPr>
            <w:tcW w:w="9053" w:type="dxa"/>
          </w:tcPr>
          <w:p w14:paraId="4E287BB3" w14:textId="77777777" w:rsidR="006A01C1" w:rsidRPr="00B75A8A" w:rsidRDefault="006A01C1" w:rsidP="00BA3E3D">
            <w:pPr>
              <w:pStyle w:val="Heading3"/>
              <w:jc w:val="center"/>
              <w:rPr>
                <w:rFonts w:asciiTheme="minorHAnsi" w:hAnsiTheme="minorHAnsi" w:cstheme="minorHAnsi"/>
                <w:sz w:val="22"/>
                <w:szCs w:val="22"/>
              </w:rPr>
            </w:pPr>
            <w:r>
              <w:rPr>
                <w:rFonts w:asciiTheme="minorHAnsi" w:hAnsiTheme="minorHAnsi"/>
                <w:sz w:val="22"/>
              </w:rPr>
              <w:t>ROYAUME DE BELGIQUE</w:t>
            </w:r>
          </w:p>
        </w:tc>
      </w:tr>
      <w:tr w:rsidR="006A01C1" w:rsidRPr="00B75A8A" w14:paraId="37E989A5" w14:textId="77777777" w:rsidTr="006A01C1">
        <w:trPr>
          <w:gridAfter w:val="1"/>
          <w:wAfter w:w="14" w:type="dxa"/>
          <w:jc w:val="center"/>
        </w:trPr>
        <w:tc>
          <w:tcPr>
            <w:tcW w:w="9053" w:type="dxa"/>
          </w:tcPr>
          <w:p w14:paraId="64A56390" w14:textId="77777777" w:rsidR="006A01C1" w:rsidRPr="00B75A8A" w:rsidRDefault="006A01C1" w:rsidP="00BA3E3D">
            <w:pPr>
              <w:tabs>
                <w:tab w:val="left" w:pos="2268"/>
              </w:tabs>
              <w:jc w:val="center"/>
              <w:rPr>
                <w:rFonts w:asciiTheme="minorHAnsi" w:hAnsiTheme="minorHAnsi" w:cstheme="minorHAnsi"/>
                <w:sz w:val="22"/>
                <w:szCs w:val="22"/>
              </w:rPr>
            </w:pPr>
            <w:r>
              <w:rPr>
                <w:rFonts w:asciiTheme="minorHAnsi" w:hAnsiTheme="minorHAnsi"/>
                <w:sz w:val="22"/>
              </w:rPr>
              <w:t>_________</w:t>
            </w:r>
          </w:p>
        </w:tc>
      </w:tr>
      <w:tr w:rsidR="006A01C1" w:rsidRPr="00B75A8A" w14:paraId="1241AC8C" w14:textId="77777777" w:rsidTr="006A01C1">
        <w:trPr>
          <w:gridAfter w:val="1"/>
          <w:wAfter w:w="14" w:type="dxa"/>
          <w:jc w:val="center"/>
        </w:trPr>
        <w:tc>
          <w:tcPr>
            <w:tcW w:w="9053" w:type="dxa"/>
          </w:tcPr>
          <w:p w14:paraId="155252DD" w14:textId="77777777" w:rsidR="006A01C1" w:rsidRPr="00B75A8A" w:rsidRDefault="006A01C1" w:rsidP="00BA3E3D">
            <w:pPr>
              <w:tabs>
                <w:tab w:val="left" w:pos="2268"/>
              </w:tabs>
              <w:jc w:val="center"/>
              <w:rPr>
                <w:rFonts w:asciiTheme="minorHAnsi" w:hAnsiTheme="minorHAnsi" w:cstheme="minorHAnsi"/>
                <w:sz w:val="22"/>
                <w:szCs w:val="22"/>
                <w:lang w:val="fr-BE"/>
              </w:rPr>
            </w:pPr>
          </w:p>
        </w:tc>
      </w:tr>
      <w:tr w:rsidR="006A01C1" w:rsidRPr="00B75A8A" w14:paraId="1E70777D" w14:textId="77777777" w:rsidTr="006A01C1">
        <w:trPr>
          <w:gridAfter w:val="1"/>
          <w:wAfter w:w="14" w:type="dxa"/>
          <w:jc w:val="center"/>
        </w:trPr>
        <w:tc>
          <w:tcPr>
            <w:tcW w:w="9053" w:type="dxa"/>
          </w:tcPr>
          <w:p w14:paraId="7C853C8A" w14:textId="77777777" w:rsidR="006A01C1" w:rsidRPr="00B75A8A" w:rsidRDefault="006A01C1" w:rsidP="00BA3E3D">
            <w:pPr>
              <w:tabs>
                <w:tab w:val="left" w:pos="2268"/>
              </w:tabs>
              <w:jc w:val="center"/>
              <w:rPr>
                <w:rFonts w:asciiTheme="minorHAnsi" w:hAnsiTheme="minorHAnsi" w:cstheme="minorHAnsi"/>
                <w:b/>
                <w:bCs/>
                <w:sz w:val="22"/>
                <w:szCs w:val="22"/>
              </w:rPr>
            </w:pPr>
            <w:r>
              <w:rPr>
                <w:rFonts w:asciiTheme="minorHAnsi" w:hAnsiTheme="minorHAnsi"/>
                <w:b/>
                <w:sz w:val="22"/>
              </w:rPr>
              <w:t xml:space="preserve">SERVICE PUBLIC FÉDÉRAL SANTÉ PUBLIQUE, SÉCURITÉ DE LA CHAÎNE ALIMENTAIRE ET ENVIRONNEMENT </w:t>
            </w:r>
          </w:p>
        </w:tc>
      </w:tr>
      <w:tr w:rsidR="006A01C1" w:rsidRPr="00B75A8A" w14:paraId="5C2F406C" w14:textId="77777777" w:rsidTr="006A01C1">
        <w:trPr>
          <w:gridAfter w:val="1"/>
          <w:wAfter w:w="14" w:type="dxa"/>
          <w:jc w:val="center"/>
        </w:trPr>
        <w:tc>
          <w:tcPr>
            <w:tcW w:w="9053" w:type="dxa"/>
          </w:tcPr>
          <w:p w14:paraId="5BA4CBE7" w14:textId="77777777" w:rsidR="006A01C1" w:rsidRPr="00B75A8A" w:rsidRDefault="006A01C1" w:rsidP="00BA3E3D">
            <w:pPr>
              <w:tabs>
                <w:tab w:val="left" w:pos="2268"/>
              </w:tabs>
              <w:jc w:val="center"/>
              <w:rPr>
                <w:rFonts w:asciiTheme="minorHAnsi" w:hAnsiTheme="minorHAnsi" w:cstheme="minorHAnsi"/>
                <w:sz w:val="22"/>
                <w:szCs w:val="22"/>
              </w:rPr>
            </w:pPr>
            <w:r>
              <w:rPr>
                <w:rFonts w:asciiTheme="minorHAnsi" w:hAnsiTheme="minorHAnsi"/>
                <w:sz w:val="22"/>
              </w:rPr>
              <w:t>________________________</w:t>
            </w:r>
          </w:p>
        </w:tc>
      </w:tr>
      <w:tr w:rsidR="006A01C1" w:rsidRPr="00B75A8A" w14:paraId="488D2117" w14:textId="77777777" w:rsidTr="006A01C1">
        <w:trPr>
          <w:gridAfter w:val="1"/>
          <w:wAfter w:w="14" w:type="dxa"/>
          <w:jc w:val="center"/>
        </w:trPr>
        <w:tc>
          <w:tcPr>
            <w:tcW w:w="9053" w:type="dxa"/>
          </w:tcPr>
          <w:p w14:paraId="1BC75178" w14:textId="77777777" w:rsidR="006A01C1" w:rsidRPr="00B75A8A" w:rsidRDefault="006A01C1" w:rsidP="00BA3E3D">
            <w:pPr>
              <w:tabs>
                <w:tab w:val="left" w:pos="2268"/>
              </w:tabs>
              <w:jc w:val="center"/>
              <w:rPr>
                <w:rFonts w:asciiTheme="minorHAnsi" w:hAnsiTheme="minorHAnsi" w:cstheme="minorHAnsi"/>
                <w:sz w:val="22"/>
                <w:szCs w:val="22"/>
              </w:rPr>
            </w:pPr>
          </w:p>
        </w:tc>
      </w:tr>
      <w:tr w:rsidR="006A01C1" w:rsidRPr="00B75A8A" w14:paraId="223497AF" w14:textId="77777777" w:rsidTr="006A01C1">
        <w:trPr>
          <w:gridAfter w:val="1"/>
          <w:wAfter w:w="14" w:type="dxa"/>
          <w:jc w:val="center"/>
        </w:trPr>
        <w:tc>
          <w:tcPr>
            <w:tcW w:w="9053" w:type="dxa"/>
          </w:tcPr>
          <w:p w14:paraId="693B478B" w14:textId="77777777" w:rsidR="006A01C1" w:rsidRPr="00B75A8A" w:rsidRDefault="006A01C1" w:rsidP="00BA3E3D">
            <w:pPr>
              <w:tabs>
                <w:tab w:val="left" w:pos="2268"/>
              </w:tabs>
              <w:jc w:val="center"/>
              <w:rPr>
                <w:rFonts w:asciiTheme="minorHAnsi" w:hAnsiTheme="minorHAnsi" w:cstheme="minorHAnsi"/>
                <w:b/>
                <w:bCs/>
                <w:sz w:val="22"/>
                <w:szCs w:val="22"/>
              </w:rPr>
            </w:pPr>
            <w:r>
              <w:rPr>
                <w:rFonts w:asciiTheme="minorHAnsi" w:hAnsiTheme="minorHAnsi"/>
                <w:b/>
                <w:color w:val="000000"/>
                <w:sz w:val="22"/>
              </w:rPr>
              <w:t>Arrêté royal modifiant l’arrêté royal du 28 octobre 2016 relatif à la fabrication et à la mise sur le marché des cigarettes électroniques</w:t>
            </w:r>
          </w:p>
        </w:tc>
      </w:tr>
      <w:tr w:rsidR="006A01C1" w:rsidRPr="006A01C1" w14:paraId="192BD51E" w14:textId="77777777" w:rsidTr="006A01C1">
        <w:trPr>
          <w:gridAfter w:val="1"/>
          <w:wAfter w:w="14" w:type="dxa"/>
          <w:jc w:val="center"/>
        </w:trPr>
        <w:tc>
          <w:tcPr>
            <w:tcW w:w="9053" w:type="dxa"/>
          </w:tcPr>
          <w:p w14:paraId="56ABD589" w14:textId="77777777" w:rsidR="006A01C1" w:rsidRPr="006A01C1" w:rsidRDefault="006A01C1" w:rsidP="00BA3E3D">
            <w:pPr>
              <w:rPr>
                <w:rFonts w:asciiTheme="minorHAnsi" w:hAnsiTheme="minorHAnsi" w:cstheme="minorHAnsi"/>
                <w:b/>
                <w:sz w:val="22"/>
                <w:szCs w:val="22"/>
                <w:lang w:val="nl-BE"/>
              </w:rPr>
            </w:pPr>
          </w:p>
        </w:tc>
      </w:tr>
      <w:tr w:rsidR="006A01C1" w:rsidRPr="00B75A8A" w14:paraId="0C31B05B" w14:textId="77777777" w:rsidTr="006A01C1">
        <w:trPr>
          <w:gridAfter w:val="1"/>
          <w:wAfter w:w="14" w:type="dxa"/>
          <w:jc w:val="center"/>
        </w:trPr>
        <w:tc>
          <w:tcPr>
            <w:tcW w:w="9053" w:type="dxa"/>
          </w:tcPr>
          <w:p w14:paraId="419BAC67" w14:textId="77777777" w:rsidR="006A01C1" w:rsidRPr="00B75A8A" w:rsidRDefault="006A01C1" w:rsidP="00BA3E3D">
            <w:pPr>
              <w:jc w:val="center"/>
              <w:rPr>
                <w:rFonts w:asciiTheme="minorHAnsi" w:hAnsiTheme="minorHAnsi" w:cstheme="minorHAnsi"/>
                <w:b/>
                <w:sz w:val="22"/>
                <w:szCs w:val="22"/>
              </w:rPr>
            </w:pPr>
            <w:r>
              <w:rPr>
                <w:rFonts w:asciiTheme="minorHAnsi" w:hAnsiTheme="minorHAnsi"/>
                <w:b/>
                <w:sz w:val="22"/>
              </w:rPr>
              <w:t>PHILIPPE, roi des Belges,</w:t>
            </w:r>
          </w:p>
        </w:tc>
      </w:tr>
      <w:tr w:rsidR="006A01C1" w:rsidRPr="00B75A8A" w14:paraId="6F0AC032" w14:textId="77777777" w:rsidTr="006A01C1">
        <w:trPr>
          <w:gridAfter w:val="1"/>
          <w:wAfter w:w="14" w:type="dxa"/>
          <w:jc w:val="center"/>
        </w:trPr>
        <w:tc>
          <w:tcPr>
            <w:tcW w:w="9053" w:type="dxa"/>
          </w:tcPr>
          <w:p w14:paraId="69474ABA" w14:textId="77777777" w:rsidR="006A01C1" w:rsidRPr="00B75A8A" w:rsidRDefault="006A01C1" w:rsidP="00BA3E3D">
            <w:pPr>
              <w:jc w:val="center"/>
              <w:rPr>
                <w:rFonts w:asciiTheme="minorHAnsi" w:hAnsiTheme="minorHAnsi" w:cstheme="minorHAnsi"/>
                <w:bCs/>
                <w:sz w:val="22"/>
                <w:szCs w:val="22"/>
                <w:lang w:val="fr-BE"/>
              </w:rPr>
            </w:pPr>
          </w:p>
        </w:tc>
      </w:tr>
      <w:tr w:rsidR="006A01C1" w:rsidRPr="00B75A8A" w14:paraId="5B492FB4" w14:textId="77777777" w:rsidTr="006A01C1">
        <w:trPr>
          <w:gridAfter w:val="1"/>
          <w:wAfter w:w="14" w:type="dxa"/>
          <w:jc w:val="center"/>
        </w:trPr>
        <w:tc>
          <w:tcPr>
            <w:tcW w:w="9053" w:type="dxa"/>
          </w:tcPr>
          <w:p w14:paraId="0A7C3D52" w14:textId="77777777" w:rsidR="006A01C1" w:rsidRPr="00B75A8A" w:rsidRDefault="006A01C1" w:rsidP="00BA3E3D">
            <w:pPr>
              <w:pStyle w:val="Footer"/>
              <w:tabs>
                <w:tab w:val="clear" w:pos="4536"/>
                <w:tab w:val="clear" w:pos="9072"/>
                <w:tab w:val="left" w:pos="356"/>
                <w:tab w:val="left" w:pos="2268"/>
              </w:tabs>
              <w:jc w:val="center"/>
              <w:rPr>
                <w:rFonts w:asciiTheme="minorHAnsi" w:hAnsiTheme="minorHAnsi" w:cstheme="minorHAnsi"/>
                <w:sz w:val="22"/>
                <w:szCs w:val="22"/>
              </w:rPr>
            </w:pPr>
            <w:r>
              <w:rPr>
                <w:rFonts w:asciiTheme="minorHAnsi" w:hAnsiTheme="minorHAnsi"/>
                <w:sz w:val="22"/>
              </w:rPr>
              <w:t>À tous, présents et à venir, Salut.</w:t>
            </w:r>
          </w:p>
        </w:tc>
      </w:tr>
      <w:tr w:rsidR="006A01C1" w:rsidRPr="00C26B53" w14:paraId="2AE7EA7D" w14:textId="77777777" w:rsidTr="006A01C1">
        <w:trPr>
          <w:gridAfter w:val="1"/>
          <w:wAfter w:w="14" w:type="dxa"/>
          <w:jc w:val="center"/>
        </w:trPr>
        <w:tc>
          <w:tcPr>
            <w:tcW w:w="9053" w:type="dxa"/>
          </w:tcPr>
          <w:p w14:paraId="21B80015" w14:textId="77777777" w:rsidR="006A01C1" w:rsidRPr="00C26B53" w:rsidRDefault="006A01C1" w:rsidP="00BA3E3D">
            <w:pPr>
              <w:tabs>
                <w:tab w:val="left" w:pos="567"/>
                <w:tab w:val="left" w:pos="2268"/>
              </w:tabs>
              <w:rPr>
                <w:rFonts w:asciiTheme="minorHAnsi" w:hAnsiTheme="minorHAnsi" w:cstheme="minorHAnsi"/>
                <w:sz w:val="22"/>
                <w:szCs w:val="22"/>
                <w:lang w:val="nl-BE"/>
              </w:rPr>
            </w:pPr>
          </w:p>
        </w:tc>
      </w:tr>
      <w:tr w:rsidR="006A01C1" w:rsidRPr="00B75A8A" w14:paraId="231BE8B6" w14:textId="77777777" w:rsidTr="006A01C1">
        <w:trPr>
          <w:gridAfter w:val="1"/>
          <w:wAfter w:w="14" w:type="dxa"/>
          <w:trHeight w:val="824"/>
          <w:jc w:val="center"/>
        </w:trPr>
        <w:tc>
          <w:tcPr>
            <w:tcW w:w="9053" w:type="dxa"/>
          </w:tcPr>
          <w:p w14:paraId="1E1B947B" w14:textId="77777777" w:rsidR="006A01C1" w:rsidRPr="00B75A8A"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Vu la loi du 24 janvier 1977 relative à la protection de la santé des consommateurs en ce qui concerne les denrées alimentaires et autres produits, l’article 6, paragraphe 1, sous a), remplacé par la loi du 22 mars 1989, l’article 10, paragraphe 1, remplacé par la loi du 9 février 1994;</w:t>
            </w:r>
          </w:p>
        </w:tc>
      </w:tr>
      <w:tr w:rsidR="006A01C1" w:rsidRPr="006A01C1" w14:paraId="2A999859" w14:textId="77777777" w:rsidTr="006A01C1">
        <w:trPr>
          <w:gridAfter w:val="1"/>
          <w:wAfter w:w="14" w:type="dxa"/>
          <w:trHeight w:val="260"/>
          <w:jc w:val="center"/>
        </w:trPr>
        <w:tc>
          <w:tcPr>
            <w:tcW w:w="9053" w:type="dxa"/>
          </w:tcPr>
          <w:p w14:paraId="00BB402C" w14:textId="77777777" w:rsidR="006A01C1" w:rsidRPr="006A01C1" w:rsidRDefault="006A01C1" w:rsidP="00BA3E3D">
            <w:pPr>
              <w:tabs>
                <w:tab w:val="left" w:pos="356"/>
                <w:tab w:val="left" w:pos="2268"/>
              </w:tabs>
              <w:jc w:val="both"/>
              <w:rPr>
                <w:rFonts w:asciiTheme="minorHAnsi" w:hAnsiTheme="minorHAnsi" w:cstheme="minorHAnsi"/>
                <w:sz w:val="22"/>
                <w:szCs w:val="22"/>
                <w:lang w:val="nl-BE"/>
              </w:rPr>
            </w:pPr>
          </w:p>
        </w:tc>
      </w:tr>
      <w:tr w:rsidR="006A01C1" w:rsidRPr="00B75A8A" w14:paraId="7F77ECB9" w14:textId="77777777" w:rsidTr="006A01C1">
        <w:trPr>
          <w:gridAfter w:val="1"/>
          <w:wAfter w:w="14" w:type="dxa"/>
          <w:trHeight w:val="746"/>
          <w:jc w:val="center"/>
        </w:trPr>
        <w:tc>
          <w:tcPr>
            <w:tcW w:w="9053" w:type="dxa"/>
          </w:tcPr>
          <w:p w14:paraId="6176694B" w14:textId="77777777" w:rsidR="006A01C1" w:rsidRPr="00B75A8A" w:rsidRDefault="006A01C1" w:rsidP="00BA3E3D">
            <w:pPr>
              <w:tabs>
                <w:tab w:val="left" w:pos="356"/>
                <w:tab w:val="left" w:pos="2268"/>
              </w:tabs>
              <w:jc w:val="both"/>
              <w:rPr>
                <w:rFonts w:asciiTheme="minorHAnsi" w:hAnsiTheme="minorHAnsi" w:cstheme="minorHAnsi"/>
                <w:bCs/>
                <w:color w:val="000000"/>
                <w:sz w:val="22"/>
                <w:szCs w:val="22"/>
              </w:rPr>
            </w:pPr>
            <w:r>
              <w:rPr>
                <w:rFonts w:asciiTheme="minorHAnsi" w:hAnsiTheme="minorHAnsi"/>
                <w:sz w:val="22"/>
              </w:rPr>
              <w:t>Vu</w:t>
            </w:r>
            <w:r>
              <w:rPr>
                <w:rFonts w:asciiTheme="minorHAnsi" w:hAnsiTheme="minorHAnsi"/>
                <w:b/>
                <w:color w:val="000000"/>
                <w:sz w:val="22"/>
              </w:rPr>
              <w:t xml:space="preserve"> </w:t>
            </w:r>
            <w:r>
              <w:rPr>
                <w:rFonts w:asciiTheme="minorHAnsi" w:hAnsiTheme="minorHAnsi"/>
                <w:color w:val="000000"/>
                <w:sz w:val="22"/>
              </w:rPr>
              <w:t>l’arrêté royal du 28 octobre 2016 relatif à la fabrication et à la mise sur le marché des cigarettes électroniques, tel que modifié par la loi du 17 mai 2017;</w:t>
            </w:r>
          </w:p>
          <w:p w14:paraId="16B25B38" w14:textId="77777777" w:rsidR="006A01C1" w:rsidRPr="00B75A8A" w:rsidRDefault="006A01C1" w:rsidP="00BA3E3D">
            <w:pPr>
              <w:tabs>
                <w:tab w:val="left" w:pos="356"/>
                <w:tab w:val="left" w:pos="2268"/>
              </w:tabs>
              <w:jc w:val="both"/>
              <w:rPr>
                <w:rFonts w:asciiTheme="minorHAnsi" w:hAnsiTheme="minorHAnsi" w:cstheme="minorHAnsi"/>
                <w:bCs/>
                <w:color w:val="000000"/>
                <w:sz w:val="22"/>
                <w:szCs w:val="22"/>
                <w:lang w:val="nl-BE"/>
              </w:rPr>
            </w:pPr>
          </w:p>
          <w:p w14:paraId="536243F7" w14:textId="77777777" w:rsidR="006A01C1" w:rsidRPr="009D2E87" w:rsidRDefault="006A01C1" w:rsidP="00BA3E3D">
            <w:pPr>
              <w:tabs>
                <w:tab w:val="left" w:pos="356"/>
                <w:tab w:val="left" w:pos="2268"/>
              </w:tabs>
              <w:jc w:val="both"/>
              <w:rPr>
                <w:rFonts w:asciiTheme="minorHAnsi" w:hAnsiTheme="minorHAnsi" w:cstheme="minorHAnsi"/>
                <w:color w:val="FF0000"/>
                <w:sz w:val="22"/>
                <w:szCs w:val="22"/>
                <w:lang w:val="nl-NL"/>
              </w:rPr>
            </w:pPr>
          </w:p>
          <w:p w14:paraId="7BD645A6" w14:textId="77777777" w:rsidR="006A01C1" w:rsidRDefault="006A01C1" w:rsidP="00BA3E3D">
            <w:pPr>
              <w:tabs>
                <w:tab w:val="left" w:pos="356"/>
                <w:tab w:val="left" w:pos="2268"/>
              </w:tabs>
              <w:jc w:val="both"/>
              <w:rPr>
                <w:rFonts w:asciiTheme="minorHAnsi" w:hAnsiTheme="minorHAnsi" w:cstheme="minorHAnsi"/>
                <w:bCs/>
                <w:color w:val="000000"/>
                <w:sz w:val="22"/>
                <w:szCs w:val="22"/>
              </w:rPr>
            </w:pPr>
            <w:r>
              <w:rPr>
                <w:rFonts w:asciiTheme="minorHAnsi" w:hAnsiTheme="minorHAnsi"/>
                <w:color w:val="000000"/>
                <w:sz w:val="22"/>
              </w:rPr>
              <w:t xml:space="preserve">Vu la communication à la Commission européenne, </w:t>
            </w:r>
            <w:r>
              <w:rPr>
                <w:rFonts w:asciiTheme="minorHAnsi" w:hAnsiTheme="minorHAnsi"/>
                <w:sz w:val="22"/>
              </w:rPr>
              <w:t xml:space="preserve">adressée le </w:t>
            </w:r>
            <w:r>
              <w:rPr>
                <w:rFonts w:asciiTheme="minorHAnsi" w:hAnsiTheme="minorHAnsi"/>
                <w:sz w:val="22"/>
                <w:highlight w:val="yellow"/>
              </w:rPr>
              <w:t>XXX</w:t>
            </w:r>
            <w:r>
              <w:rPr>
                <w:rFonts w:asciiTheme="minorHAnsi" w:hAnsiTheme="minorHAnsi"/>
                <w:sz w:val="22"/>
              </w:rPr>
              <w:t xml:space="preserve">, </w:t>
            </w:r>
            <w:r>
              <w:rPr>
                <w:rFonts w:asciiTheme="minorHAnsi" w:hAnsiTheme="minorHAnsi"/>
                <w:color w:val="000000"/>
                <w:sz w:val="22"/>
              </w:rPr>
              <w:t>en application de l’article 5, paragraphe 1, de la directive (UE) 2015/1535 du Parlement européen et du Conseil du 9 septembre 2015 prévoyant une procédure d'information dans le domaine des réglementations techniques et des règles relatives aux services de la société de l'information;</w:t>
            </w:r>
          </w:p>
          <w:p w14:paraId="663AF939" w14:textId="77777777" w:rsidR="006A01C1" w:rsidRPr="00B75A8A" w:rsidRDefault="006A01C1" w:rsidP="00BA3E3D">
            <w:pPr>
              <w:tabs>
                <w:tab w:val="left" w:pos="356"/>
                <w:tab w:val="left" w:pos="2268"/>
              </w:tabs>
              <w:jc w:val="both"/>
              <w:rPr>
                <w:rFonts w:asciiTheme="minorHAnsi" w:hAnsiTheme="minorHAnsi" w:cstheme="minorHAnsi"/>
                <w:bCs/>
                <w:color w:val="000000"/>
                <w:sz w:val="22"/>
                <w:szCs w:val="22"/>
                <w:lang w:val="nl-BE"/>
              </w:rPr>
            </w:pPr>
          </w:p>
        </w:tc>
      </w:tr>
      <w:tr w:rsidR="006A01C1" w:rsidRPr="009D2E87" w14:paraId="2033CEFD" w14:textId="77777777" w:rsidTr="006A01C1">
        <w:trPr>
          <w:gridAfter w:val="1"/>
          <w:wAfter w:w="14" w:type="dxa"/>
          <w:trHeight w:val="206"/>
          <w:jc w:val="center"/>
        </w:trPr>
        <w:tc>
          <w:tcPr>
            <w:tcW w:w="9053" w:type="dxa"/>
          </w:tcPr>
          <w:p w14:paraId="36C1806D" w14:textId="77777777" w:rsidR="006A01C1" w:rsidRDefault="006A01C1" w:rsidP="00BA3E3D">
            <w:pPr>
              <w:tabs>
                <w:tab w:val="left" w:pos="356"/>
                <w:tab w:val="left" w:pos="2268"/>
              </w:tabs>
              <w:jc w:val="both"/>
              <w:rPr>
                <w:rFonts w:asciiTheme="minorHAnsi" w:hAnsiTheme="minorHAnsi" w:cstheme="minorHAnsi"/>
                <w:b/>
                <w:bCs/>
                <w:sz w:val="22"/>
                <w:szCs w:val="22"/>
              </w:rPr>
            </w:pPr>
            <w:r>
              <w:rPr>
                <w:rFonts w:asciiTheme="minorHAnsi" w:hAnsiTheme="minorHAnsi"/>
                <w:sz w:val="22"/>
              </w:rPr>
              <w:t>Vu la notification de la Commission européenne le XXX, conformément à l’article 24, paragraphe 3, de la directive 2014/40/UE du Parlement européen et du Conseil du 3 avril 2014</w:t>
            </w:r>
            <w:r>
              <w:t xml:space="preserve"> </w:t>
            </w:r>
            <w:r>
              <w:rPr>
                <w:rFonts w:asciiTheme="minorHAnsi" w:hAnsiTheme="minorHAnsi"/>
                <w:sz w:val="22"/>
              </w:rPr>
              <w:t>concernant le rapprochement des dispositions législatives, réglementaires et administratives des États membres concernant la production, la présentation et la vente du tabac et des produits connexes</w:t>
            </w:r>
            <w:r>
              <w:t xml:space="preserve"> </w:t>
            </w:r>
            <w:r>
              <w:rPr>
                <w:rFonts w:asciiTheme="minorHAnsi" w:hAnsiTheme="minorHAnsi"/>
                <w:sz w:val="22"/>
              </w:rPr>
              <w:t>et abrogeant la directive 2001/37/CE;</w:t>
            </w:r>
          </w:p>
          <w:p w14:paraId="38689BF5" w14:textId="77777777" w:rsidR="006A01C1" w:rsidRPr="009D2E87" w:rsidRDefault="006A01C1" w:rsidP="00BA3E3D">
            <w:pPr>
              <w:tabs>
                <w:tab w:val="left" w:pos="356"/>
                <w:tab w:val="left" w:pos="2268"/>
              </w:tabs>
              <w:jc w:val="both"/>
              <w:rPr>
                <w:rFonts w:asciiTheme="minorHAnsi" w:hAnsiTheme="minorHAnsi" w:cstheme="minorHAnsi"/>
                <w:b/>
                <w:bCs/>
                <w:sz w:val="22"/>
                <w:szCs w:val="22"/>
                <w:lang w:val="nl-NL"/>
              </w:rPr>
            </w:pPr>
          </w:p>
        </w:tc>
      </w:tr>
      <w:tr w:rsidR="006A01C1" w:rsidRPr="00B75A8A" w14:paraId="3916B412" w14:textId="77777777" w:rsidTr="006A01C1">
        <w:trPr>
          <w:gridAfter w:val="1"/>
          <w:wAfter w:w="14" w:type="dxa"/>
          <w:jc w:val="center"/>
        </w:trPr>
        <w:tc>
          <w:tcPr>
            <w:tcW w:w="9053" w:type="dxa"/>
          </w:tcPr>
          <w:p w14:paraId="7E98703C" w14:textId="77777777" w:rsidR="006A01C1" w:rsidRPr="00B75A8A"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Vu l’avis de l’Inspecteur des Finances, donné le </w:t>
            </w:r>
            <w:r>
              <w:rPr>
                <w:rFonts w:asciiTheme="minorHAnsi" w:hAnsiTheme="minorHAnsi"/>
                <w:sz w:val="22"/>
                <w:highlight w:val="yellow"/>
              </w:rPr>
              <w:t>XXX</w:t>
            </w:r>
            <w:r>
              <w:rPr>
                <w:rFonts w:asciiTheme="minorHAnsi" w:hAnsiTheme="minorHAnsi"/>
                <w:sz w:val="22"/>
              </w:rPr>
              <w:t>;</w:t>
            </w:r>
          </w:p>
        </w:tc>
      </w:tr>
      <w:tr w:rsidR="006A01C1" w:rsidRPr="006A01C1" w14:paraId="1D60AC05" w14:textId="77777777" w:rsidTr="006A01C1">
        <w:trPr>
          <w:gridAfter w:val="1"/>
          <w:wAfter w:w="14" w:type="dxa"/>
          <w:jc w:val="center"/>
        </w:trPr>
        <w:tc>
          <w:tcPr>
            <w:tcW w:w="9053" w:type="dxa"/>
          </w:tcPr>
          <w:p w14:paraId="3706DD33" w14:textId="77777777" w:rsidR="006A01C1" w:rsidRPr="006A01C1" w:rsidRDefault="006A01C1" w:rsidP="00BA3E3D">
            <w:pPr>
              <w:tabs>
                <w:tab w:val="left" w:pos="356"/>
                <w:tab w:val="left" w:pos="2268"/>
              </w:tabs>
              <w:jc w:val="both"/>
              <w:rPr>
                <w:rFonts w:asciiTheme="minorHAnsi" w:hAnsiTheme="minorHAnsi" w:cstheme="minorHAnsi"/>
                <w:sz w:val="22"/>
                <w:szCs w:val="22"/>
                <w:lang w:val="nl-BE"/>
              </w:rPr>
            </w:pPr>
          </w:p>
        </w:tc>
      </w:tr>
      <w:tr w:rsidR="006A01C1" w:rsidRPr="00B75A8A" w14:paraId="03FAD2C3" w14:textId="77777777" w:rsidTr="006A01C1">
        <w:trPr>
          <w:gridAfter w:val="1"/>
          <w:wAfter w:w="14" w:type="dxa"/>
          <w:jc w:val="center"/>
        </w:trPr>
        <w:tc>
          <w:tcPr>
            <w:tcW w:w="9053" w:type="dxa"/>
          </w:tcPr>
          <w:p w14:paraId="20B40207" w14:textId="77777777" w:rsidR="006A01C1" w:rsidRDefault="006A01C1" w:rsidP="00BA3E3D">
            <w:pPr>
              <w:tabs>
                <w:tab w:val="left" w:pos="356"/>
                <w:tab w:val="left" w:pos="2268"/>
              </w:tabs>
              <w:jc w:val="both"/>
              <w:rPr>
                <w:rFonts w:asciiTheme="minorHAnsi" w:hAnsiTheme="minorHAnsi" w:cstheme="minorHAnsi"/>
                <w:color w:val="FF0000"/>
                <w:sz w:val="22"/>
                <w:szCs w:val="22"/>
              </w:rPr>
            </w:pPr>
            <w:r>
              <w:rPr>
                <w:rFonts w:asciiTheme="minorHAnsi" w:hAnsiTheme="minorHAnsi"/>
                <w:sz w:val="22"/>
              </w:rPr>
              <w:t xml:space="preserve">Vu l’accord conclu par le secrétaire d’État chargé du budget, émis le </w:t>
            </w:r>
            <w:r>
              <w:rPr>
                <w:rFonts w:asciiTheme="minorHAnsi" w:hAnsiTheme="minorHAnsi"/>
                <w:sz w:val="22"/>
                <w:highlight w:val="yellow"/>
              </w:rPr>
              <w:t>XXX</w:t>
            </w:r>
            <w:r>
              <w:rPr>
                <w:rFonts w:asciiTheme="minorHAnsi" w:hAnsiTheme="minorHAnsi"/>
                <w:sz w:val="22"/>
              </w:rPr>
              <w:t>;</w:t>
            </w:r>
          </w:p>
          <w:p w14:paraId="34BE8196" w14:textId="77777777" w:rsidR="006A01C1" w:rsidRDefault="006A01C1" w:rsidP="00BA3E3D">
            <w:pPr>
              <w:tabs>
                <w:tab w:val="left" w:pos="356"/>
                <w:tab w:val="left" w:pos="2268"/>
              </w:tabs>
              <w:jc w:val="both"/>
              <w:rPr>
                <w:rFonts w:asciiTheme="minorHAnsi" w:hAnsiTheme="minorHAnsi" w:cstheme="minorHAnsi"/>
                <w:color w:val="FF0000"/>
                <w:sz w:val="22"/>
                <w:szCs w:val="22"/>
                <w:lang w:val="nl-BE"/>
              </w:rPr>
            </w:pPr>
          </w:p>
          <w:p w14:paraId="0B7E366E" w14:textId="77777777" w:rsidR="006A01C1" w:rsidRPr="00B75A8A" w:rsidRDefault="006A01C1" w:rsidP="00BA3E3D">
            <w:pPr>
              <w:tabs>
                <w:tab w:val="left" w:pos="356"/>
                <w:tab w:val="left" w:pos="2268"/>
              </w:tabs>
              <w:jc w:val="both"/>
              <w:rPr>
                <w:rFonts w:asciiTheme="minorHAnsi" w:hAnsiTheme="minorHAnsi" w:cstheme="minorHAnsi"/>
                <w:sz w:val="22"/>
                <w:szCs w:val="22"/>
                <w:lang w:val="nl-BE"/>
              </w:rPr>
            </w:pPr>
          </w:p>
        </w:tc>
      </w:tr>
      <w:tr w:rsidR="006A01C1" w:rsidRPr="006A01C1" w14:paraId="2B82E80D" w14:textId="77777777" w:rsidTr="006A01C1">
        <w:trPr>
          <w:gridAfter w:val="1"/>
          <w:wAfter w:w="14" w:type="dxa"/>
          <w:jc w:val="center"/>
        </w:trPr>
        <w:tc>
          <w:tcPr>
            <w:tcW w:w="9053" w:type="dxa"/>
          </w:tcPr>
          <w:p w14:paraId="48742A2D" w14:textId="77777777" w:rsidR="006A01C1" w:rsidRPr="006A01C1" w:rsidRDefault="006A01C1" w:rsidP="00BA3E3D">
            <w:pPr>
              <w:tabs>
                <w:tab w:val="left" w:pos="356"/>
                <w:tab w:val="left" w:pos="2268"/>
              </w:tabs>
              <w:jc w:val="both"/>
              <w:rPr>
                <w:rFonts w:asciiTheme="minorHAnsi" w:hAnsiTheme="minorHAnsi" w:cstheme="minorHAnsi"/>
                <w:sz w:val="22"/>
                <w:szCs w:val="22"/>
                <w:lang w:val="nl-BE"/>
              </w:rPr>
            </w:pPr>
          </w:p>
        </w:tc>
      </w:tr>
      <w:tr w:rsidR="006A01C1" w:rsidRPr="00B75A8A" w14:paraId="6DB37ECF" w14:textId="77777777" w:rsidTr="006A01C1">
        <w:trPr>
          <w:gridAfter w:val="1"/>
          <w:wAfter w:w="14" w:type="dxa"/>
          <w:jc w:val="center"/>
        </w:trPr>
        <w:tc>
          <w:tcPr>
            <w:tcW w:w="9053" w:type="dxa"/>
          </w:tcPr>
          <w:p w14:paraId="580CFD2F" w14:textId="77777777" w:rsidR="006A01C1" w:rsidRPr="00F109D4"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 xml:space="preserve">Vu l’avis 72.095/1/V du Conseil d’État, publié le </w:t>
            </w:r>
            <w:r>
              <w:rPr>
                <w:rFonts w:asciiTheme="minorHAnsi" w:hAnsiTheme="minorHAnsi"/>
                <w:sz w:val="22"/>
                <w:highlight w:val="yellow"/>
              </w:rPr>
              <w:t>XXX</w:t>
            </w:r>
            <w:r>
              <w:rPr>
                <w:rFonts w:asciiTheme="minorHAnsi" w:hAnsiTheme="minorHAnsi"/>
                <w:sz w:val="22"/>
              </w:rPr>
              <w:t>, conformément à l’article 84, paragraphe 1, points 1 et 2, des lois sur le Conseil d’État, coordonné le 12 janvier 1973;</w:t>
            </w:r>
          </w:p>
          <w:p w14:paraId="0559D257" w14:textId="77777777" w:rsidR="006A01C1" w:rsidRDefault="006A01C1" w:rsidP="00BA3E3D">
            <w:pPr>
              <w:tabs>
                <w:tab w:val="left" w:pos="356"/>
                <w:tab w:val="left" w:pos="2268"/>
              </w:tabs>
              <w:jc w:val="both"/>
              <w:rPr>
                <w:rFonts w:asciiTheme="minorHAnsi" w:hAnsiTheme="minorHAnsi" w:cstheme="minorHAnsi"/>
                <w:sz w:val="22"/>
                <w:szCs w:val="22"/>
                <w:lang w:val="nl-NL"/>
              </w:rPr>
            </w:pPr>
          </w:p>
          <w:p w14:paraId="61E6F40C"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Considérant la prolifération des cigarettes électroniques jetables sur les marchés belge et européen;</w:t>
            </w:r>
          </w:p>
          <w:p w14:paraId="742D6326"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0C418D23"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Considérant que les cigarettes électroniques jetables ne sont pas commercialisées et promues en tant qu’aide au sevrage tabagique et n’ont pas leur place dans la politique belge de sevrage tabagique;</w:t>
            </w:r>
          </w:p>
          <w:p w14:paraId="49D03395"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5357B9FD"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 xml:space="preserve">Considérant que, outre les risques évidents pour la santé, les cigarettes électroniques jetables entraînent également une charge écologique importante; </w:t>
            </w:r>
          </w:p>
          <w:p w14:paraId="6786F719"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3FC27244"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lastRenderedPageBreak/>
              <w:t>Considérant que ces produits sont populaires parmi les jeunes sans intention de sevrage tabagique et qu’ils sont également principalement promus auprès d’eux;</w:t>
            </w:r>
          </w:p>
          <w:p w14:paraId="21A68208"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0BD732E5" w14:textId="77777777" w:rsidR="006A01C1"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Alors que pour les cigarettes électroniques jetables, un nombre proportionnellement plus élevé d’infractions réglementaires est constaté dans ce domaine.</w:t>
            </w:r>
          </w:p>
          <w:p w14:paraId="59C82154" w14:textId="77777777" w:rsidR="006A01C1" w:rsidRPr="00B75A8A" w:rsidRDefault="006A01C1" w:rsidP="00BA3E3D">
            <w:pPr>
              <w:tabs>
                <w:tab w:val="left" w:pos="356"/>
                <w:tab w:val="left" w:pos="2268"/>
              </w:tabs>
              <w:jc w:val="both"/>
              <w:rPr>
                <w:rFonts w:asciiTheme="minorHAnsi" w:hAnsiTheme="minorHAnsi" w:cstheme="minorHAnsi"/>
                <w:sz w:val="22"/>
                <w:szCs w:val="22"/>
                <w:lang w:val="nl-NL"/>
              </w:rPr>
            </w:pPr>
          </w:p>
        </w:tc>
      </w:tr>
      <w:tr w:rsidR="006A01C1" w:rsidRPr="00B75A8A" w14:paraId="2B6CF8ED" w14:textId="77777777" w:rsidTr="006A01C1">
        <w:trPr>
          <w:gridAfter w:val="1"/>
          <w:wAfter w:w="14" w:type="dxa"/>
          <w:jc w:val="center"/>
        </w:trPr>
        <w:tc>
          <w:tcPr>
            <w:tcW w:w="9053" w:type="dxa"/>
          </w:tcPr>
          <w:p w14:paraId="1A14CF9A" w14:textId="77777777" w:rsidR="006A01C1" w:rsidRPr="00B75A8A" w:rsidRDefault="006A01C1" w:rsidP="00BA3E3D">
            <w:pPr>
              <w:tabs>
                <w:tab w:val="left" w:pos="356"/>
                <w:tab w:val="left" w:pos="567"/>
                <w:tab w:val="left" w:pos="2268"/>
              </w:tabs>
              <w:jc w:val="both"/>
              <w:rPr>
                <w:rFonts w:asciiTheme="minorHAnsi" w:hAnsiTheme="minorHAnsi" w:cstheme="minorHAnsi"/>
                <w:sz w:val="22"/>
                <w:szCs w:val="22"/>
              </w:rPr>
            </w:pPr>
            <w:r>
              <w:rPr>
                <w:rFonts w:asciiTheme="minorHAnsi" w:hAnsiTheme="minorHAnsi"/>
                <w:sz w:val="22"/>
              </w:rPr>
              <w:lastRenderedPageBreak/>
              <w:t xml:space="preserve">Sur recommandation du ministre de la </w:t>
            </w:r>
            <w:proofErr w:type="gramStart"/>
            <w:r>
              <w:rPr>
                <w:rFonts w:asciiTheme="minorHAnsi" w:hAnsiTheme="minorHAnsi"/>
                <w:sz w:val="22"/>
              </w:rPr>
              <w:t>santé</w:t>
            </w:r>
            <w:proofErr w:type="gramEnd"/>
            <w:r>
              <w:rPr>
                <w:rFonts w:asciiTheme="minorHAnsi" w:hAnsiTheme="minorHAnsi"/>
                <w:sz w:val="22"/>
              </w:rPr>
              <w:t xml:space="preserve"> publique, </w:t>
            </w:r>
          </w:p>
        </w:tc>
      </w:tr>
      <w:tr w:rsidR="006A01C1" w:rsidRPr="006A01C1" w14:paraId="385AA1DC" w14:textId="77777777" w:rsidTr="006A01C1">
        <w:trPr>
          <w:gridAfter w:val="1"/>
          <w:wAfter w:w="14" w:type="dxa"/>
          <w:jc w:val="center"/>
        </w:trPr>
        <w:tc>
          <w:tcPr>
            <w:tcW w:w="9053" w:type="dxa"/>
          </w:tcPr>
          <w:p w14:paraId="0E96557F" w14:textId="77777777" w:rsidR="006A01C1" w:rsidRPr="006A01C1" w:rsidRDefault="006A01C1" w:rsidP="00BA3E3D">
            <w:pPr>
              <w:tabs>
                <w:tab w:val="left" w:pos="567"/>
                <w:tab w:val="left" w:pos="2268"/>
              </w:tabs>
              <w:jc w:val="both"/>
              <w:rPr>
                <w:rFonts w:asciiTheme="minorHAnsi" w:hAnsiTheme="minorHAnsi" w:cstheme="minorHAnsi"/>
                <w:sz w:val="22"/>
                <w:szCs w:val="22"/>
                <w:lang w:val="nl-BE"/>
              </w:rPr>
            </w:pPr>
          </w:p>
        </w:tc>
      </w:tr>
      <w:tr w:rsidR="006A01C1" w:rsidRPr="00B75A8A" w14:paraId="0BFD617E" w14:textId="77777777" w:rsidTr="006A01C1">
        <w:trPr>
          <w:gridAfter w:val="1"/>
          <w:wAfter w:w="14" w:type="dxa"/>
          <w:jc w:val="center"/>
        </w:trPr>
        <w:tc>
          <w:tcPr>
            <w:tcW w:w="9053" w:type="dxa"/>
          </w:tcPr>
          <w:p w14:paraId="08003BA8" w14:textId="77777777" w:rsidR="006A01C1" w:rsidRPr="00B75A8A" w:rsidRDefault="006A01C1" w:rsidP="00BA3E3D">
            <w:pPr>
              <w:tabs>
                <w:tab w:val="left" w:pos="356"/>
                <w:tab w:val="left" w:pos="567"/>
                <w:tab w:val="left" w:pos="2268"/>
              </w:tabs>
              <w:jc w:val="center"/>
              <w:rPr>
                <w:rFonts w:asciiTheme="minorHAnsi" w:hAnsiTheme="minorHAnsi" w:cstheme="minorHAnsi"/>
                <w:sz w:val="22"/>
                <w:szCs w:val="22"/>
              </w:rPr>
            </w:pPr>
            <w:r>
              <w:rPr>
                <w:rFonts w:asciiTheme="minorHAnsi" w:hAnsiTheme="minorHAnsi"/>
                <w:sz w:val="22"/>
              </w:rPr>
              <w:t>NOUS AVONS ARRÊTÉ ET ARRÊTONS:</w:t>
            </w:r>
          </w:p>
        </w:tc>
      </w:tr>
      <w:tr w:rsidR="006A01C1" w:rsidRPr="006A01C1" w14:paraId="016C39B5" w14:textId="77777777" w:rsidTr="006A01C1">
        <w:trPr>
          <w:gridAfter w:val="1"/>
          <w:wAfter w:w="14" w:type="dxa"/>
          <w:jc w:val="center"/>
        </w:trPr>
        <w:tc>
          <w:tcPr>
            <w:tcW w:w="9053" w:type="dxa"/>
          </w:tcPr>
          <w:p w14:paraId="1291E0DD" w14:textId="77777777" w:rsidR="006A01C1" w:rsidRPr="006A01C1" w:rsidRDefault="006A01C1" w:rsidP="00BA3E3D">
            <w:pPr>
              <w:tabs>
                <w:tab w:val="left" w:pos="567"/>
                <w:tab w:val="left" w:pos="2268"/>
              </w:tabs>
              <w:jc w:val="both"/>
              <w:rPr>
                <w:rFonts w:asciiTheme="minorHAnsi" w:hAnsiTheme="minorHAnsi" w:cstheme="minorHAnsi"/>
                <w:b/>
                <w:sz w:val="22"/>
                <w:szCs w:val="22"/>
                <w:lang w:val="nl-BE"/>
              </w:rPr>
            </w:pPr>
          </w:p>
        </w:tc>
      </w:tr>
      <w:tr w:rsidR="006A01C1" w:rsidRPr="00B75A8A" w14:paraId="4740547E" w14:textId="77777777" w:rsidTr="006A01C1">
        <w:trPr>
          <w:gridAfter w:val="1"/>
          <w:wAfter w:w="14" w:type="dxa"/>
          <w:trHeight w:val="322"/>
          <w:jc w:val="center"/>
        </w:trPr>
        <w:tc>
          <w:tcPr>
            <w:tcW w:w="9053" w:type="dxa"/>
          </w:tcPr>
          <w:p w14:paraId="2FEE89CE" w14:textId="77777777" w:rsidR="006A01C1" w:rsidRPr="00A167E6"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b/>
                <w:sz w:val="22"/>
              </w:rPr>
              <w:t>Article 1.</w:t>
            </w:r>
            <w:r>
              <w:rPr>
                <w:rFonts w:asciiTheme="minorHAnsi" w:hAnsiTheme="minorHAnsi"/>
              </w:rPr>
              <w:t xml:space="preserve"> Dans l’A</w:t>
            </w:r>
            <w:r>
              <w:rPr>
                <w:rFonts w:asciiTheme="minorHAnsi" w:hAnsiTheme="minorHAnsi"/>
                <w:sz w:val="22"/>
              </w:rPr>
              <w:t>rticle 4 de l’arrêté royal du 28 octobre 2016 relatif à la fabrication et à la mise sur le marché de cigarettes électroniques, les modifications suivantes sont apportées:</w:t>
            </w:r>
          </w:p>
          <w:p w14:paraId="6D296E63" w14:textId="77777777" w:rsidR="006A01C1" w:rsidRPr="00AF540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1) au paragraphe 1, la disposition visée au point 2 est supprimée;</w:t>
            </w:r>
          </w:p>
          <w:p w14:paraId="697CCD67" w14:textId="77777777" w:rsidR="006A01C1" w:rsidRPr="00AF540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 xml:space="preserve">2) un paragraphe 1/1 est inséré comme suit: </w:t>
            </w:r>
          </w:p>
          <w:p w14:paraId="73E0CD32" w14:textId="77777777" w:rsidR="006A01C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 xml:space="preserve">«La mise sur le marché de cigarettes électroniques sous la forme d’un produit jetable intégral est interdite. </w:t>
            </w:r>
          </w:p>
          <w:p w14:paraId="122CDCC5" w14:textId="77777777" w:rsidR="006A01C1" w:rsidRPr="00A167E6"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Un produit jetable intégral est un produit constitué d’une seule unité et entièrement mis au rebut après utilisation.»</w:t>
            </w:r>
          </w:p>
          <w:p w14:paraId="5E1E30BB" w14:textId="77777777" w:rsidR="006A01C1" w:rsidRPr="00B75A8A" w:rsidRDefault="006A01C1" w:rsidP="00BA3E3D">
            <w:pPr>
              <w:tabs>
                <w:tab w:val="left" w:pos="567"/>
                <w:tab w:val="left" w:pos="2268"/>
              </w:tabs>
              <w:jc w:val="both"/>
              <w:rPr>
                <w:rFonts w:asciiTheme="minorHAnsi" w:hAnsiTheme="minorHAnsi" w:cstheme="minorHAnsi"/>
                <w:sz w:val="22"/>
                <w:szCs w:val="22"/>
                <w:lang w:val="nl-BE"/>
              </w:rPr>
            </w:pPr>
          </w:p>
        </w:tc>
      </w:tr>
      <w:tr w:rsidR="006A01C1" w:rsidRPr="005D72B1" w14:paraId="65E4FC4F" w14:textId="77777777" w:rsidTr="006A01C1">
        <w:trPr>
          <w:gridAfter w:val="1"/>
          <w:wAfter w:w="14" w:type="dxa"/>
          <w:trHeight w:val="1114"/>
          <w:jc w:val="center"/>
        </w:trPr>
        <w:tc>
          <w:tcPr>
            <w:tcW w:w="9053" w:type="dxa"/>
          </w:tcPr>
          <w:p w14:paraId="09F64875" w14:textId="77777777" w:rsidR="006A01C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b/>
                <w:sz w:val="22"/>
              </w:rPr>
              <w:t xml:space="preserve">Article 2. </w:t>
            </w:r>
            <w:r>
              <w:rPr>
                <w:rFonts w:asciiTheme="minorHAnsi" w:hAnsiTheme="minorHAnsi"/>
                <w:sz w:val="22"/>
              </w:rPr>
              <w:t>Le présent décret entre en vigueur trois mois après sa publication au Journal officiel belge, à l’exception des détaillants pour lesquels le présent décret entre en vigueur six mois après sa publication au Journal officiel belge.</w:t>
            </w:r>
          </w:p>
          <w:p w14:paraId="48466C72" w14:textId="77777777" w:rsidR="006A01C1" w:rsidRPr="00E96D0F"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Les procédures de notification encore en cours pour les cigarettes électroniques sous la forme d’un produit jetable intégral seront supprimées à compter de la publication du présent arrêté au Journal officiel belge.</w:t>
            </w:r>
          </w:p>
          <w:p w14:paraId="50BB373E" w14:textId="77777777" w:rsidR="006A01C1" w:rsidRPr="00E07199" w:rsidRDefault="006A01C1" w:rsidP="00BA3E3D">
            <w:pPr>
              <w:tabs>
                <w:tab w:val="left" w:pos="567"/>
                <w:tab w:val="left" w:pos="2268"/>
              </w:tabs>
              <w:jc w:val="both"/>
              <w:rPr>
                <w:rFonts w:asciiTheme="minorHAnsi" w:hAnsiTheme="minorHAnsi" w:cstheme="minorHAnsi"/>
                <w:bCs/>
                <w:color w:val="FF0000"/>
                <w:sz w:val="22"/>
                <w:szCs w:val="22"/>
              </w:rPr>
            </w:pPr>
            <w:r>
              <w:rPr>
                <w:rFonts w:asciiTheme="minorHAnsi" w:hAnsiTheme="minorHAnsi"/>
                <w:sz w:val="22"/>
              </w:rPr>
              <w:t xml:space="preserve">  Pour les fabricants ou importateurs qui avaient déjà soumis un dossier de notification pour leur produit, mais dont la facture n’avait pas encore été payée au moment de la publication, la redevance sera annulée</w:t>
            </w:r>
            <w:r>
              <w:rPr>
                <w:rFonts w:asciiTheme="minorHAnsi" w:hAnsiTheme="minorHAnsi"/>
                <w:color w:val="FF0000"/>
                <w:sz w:val="22"/>
              </w:rPr>
              <w:t>.</w:t>
            </w:r>
          </w:p>
          <w:p w14:paraId="39431998" w14:textId="77777777" w:rsidR="006A01C1" w:rsidRPr="00E07199" w:rsidRDefault="006A01C1" w:rsidP="00BA3E3D">
            <w:pPr>
              <w:tabs>
                <w:tab w:val="left" w:pos="567"/>
                <w:tab w:val="left" w:pos="2268"/>
              </w:tabs>
              <w:jc w:val="both"/>
              <w:rPr>
                <w:rFonts w:asciiTheme="minorHAnsi" w:hAnsiTheme="minorHAnsi" w:cstheme="minorHAnsi"/>
                <w:bCs/>
                <w:color w:val="FF0000"/>
                <w:sz w:val="22"/>
                <w:szCs w:val="22"/>
              </w:rPr>
            </w:pPr>
            <w:r>
              <w:rPr>
                <w:rFonts w:asciiTheme="minorHAnsi" w:hAnsiTheme="minorHAnsi"/>
                <w:color w:val="FF0000"/>
                <w:sz w:val="22"/>
              </w:rPr>
              <w:t xml:space="preserve">  </w:t>
            </w:r>
          </w:p>
          <w:p w14:paraId="5E39AE6A" w14:textId="77777777" w:rsidR="006A01C1" w:rsidRPr="005D72B1" w:rsidRDefault="006A01C1" w:rsidP="00BA3E3D">
            <w:pPr>
              <w:tabs>
                <w:tab w:val="left" w:pos="567"/>
                <w:tab w:val="left" w:pos="2268"/>
              </w:tabs>
              <w:jc w:val="both"/>
              <w:rPr>
                <w:rFonts w:ascii="Garamond" w:hAnsi="Garamond"/>
                <w:bCs/>
                <w:sz w:val="22"/>
                <w:szCs w:val="22"/>
                <w:lang w:val="nl-BE"/>
              </w:rPr>
            </w:pPr>
          </w:p>
        </w:tc>
      </w:tr>
      <w:tr w:rsidR="006A01C1" w:rsidRPr="004F527A" w14:paraId="7CC695CD" w14:textId="77777777" w:rsidTr="006A01C1">
        <w:trPr>
          <w:trHeight w:val="322"/>
          <w:jc w:val="center"/>
        </w:trPr>
        <w:tc>
          <w:tcPr>
            <w:tcW w:w="9067" w:type="dxa"/>
            <w:gridSpan w:val="2"/>
          </w:tcPr>
          <w:p w14:paraId="3EA1F410" w14:textId="77777777" w:rsidR="006A01C1" w:rsidRDefault="006A01C1" w:rsidP="00BA3E3D">
            <w:pPr>
              <w:tabs>
                <w:tab w:val="left" w:pos="567"/>
                <w:tab w:val="left" w:pos="2268"/>
              </w:tabs>
              <w:jc w:val="both"/>
              <w:rPr>
                <w:rFonts w:asciiTheme="minorHAnsi" w:hAnsiTheme="minorHAnsi" w:cstheme="minorHAnsi"/>
                <w:b/>
                <w:sz w:val="22"/>
                <w:szCs w:val="22"/>
              </w:rPr>
            </w:pPr>
            <w:r>
              <w:rPr>
                <w:rFonts w:asciiTheme="minorHAnsi" w:hAnsiTheme="minorHAnsi"/>
                <w:b/>
                <w:sz w:val="22"/>
              </w:rPr>
              <w:t xml:space="preserve">Article 3. </w:t>
            </w:r>
            <w:r>
              <w:rPr>
                <w:rFonts w:asciiTheme="minorHAnsi" w:hAnsiTheme="minorHAnsi"/>
                <w:sz w:val="22"/>
              </w:rPr>
              <w:t>Le ministre de la Santé publique est responsable de la mise en œuvre du présent arrêté</w:t>
            </w:r>
            <w:r>
              <w:rPr>
                <w:rFonts w:asciiTheme="minorHAnsi" w:hAnsiTheme="minorHAnsi"/>
              </w:rPr>
              <w:t>.</w:t>
            </w:r>
          </w:p>
          <w:p w14:paraId="661CDFE7" w14:textId="77777777" w:rsidR="006A01C1" w:rsidRPr="004F527A" w:rsidRDefault="006A01C1" w:rsidP="00BA3E3D">
            <w:pPr>
              <w:tabs>
                <w:tab w:val="left" w:pos="567"/>
                <w:tab w:val="left" w:pos="2268"/>
              </w:tabs>
              <w:jc w:val="both"/>
              <w:rPr>
                <w:rFonts w:ascii="Garamond" w:hAnsi="Garamond"/>
                <w:b/>
                <w:sz w:val="22"/>
                <w:szCs w:val="22"/>
              </w:rPr>
            </w:pPr>
            <w:r>
              <w:rPr>
                <w:rFonts w:asciiTheme="minorHAnsi" w:hAnsiTheme="minorHAnsi"/>
                <w:sz w:val="22"/>
              </w:rPr>
              <w:t xml:space="preserve"> </w:t>
            </w:r>
          </w:p>
        </w:tc>
      </w:tr>
      <w:tr w:rsidR="006A01C1" w:rsidRPr="006A01C1" w14:paraId="38557BCD" w14:textId="77777777" w:rsidTr="006A01C1">
        <w:trPr>
          <w:trHeight w:val="322"/>
          <w:jc w:val="center"/>
        </w:trPr>
        <w:tc>
          <w:tcPr>
            <w:tcW w:w="9067" w:type="dxa"/>
            <w:gridSpan w:val="2"/>
          </w:tcPr>
          <w:p w14:paraId="696DE776" w14:textId="77777777" w:rsidR="006A01C1" w:rsidRPr="006A01C1" w:rsidRDefault="006A01C1" w:rsidP="00BA3E3D">
            <w:pPr>
              <w:tabs>
                <w:tab w:val="left" w:pos="567"/>
                <w:tab w:val="left" w:pos="2268"/>
              </w:tabs>
              <w:jc w:val="both"/>
              <w:rPr>
                <w:rFonts w:asciiTheme="minorHAnsi" w:hAnsiTheme="minorHAnsi" w:cstheme="minorHAnsi"/>
                <w:sz w:val="22"/>
                <w:szCs w:val="22"/>
                <w:lang w:val="nl-BE"/>
              </w:rPr>
            </w:pPr>
          </w:p>
        </w:tc>
      </w:tr>
      <w:tr w:rsidR="006A01C1" w:rsidRPr="00B75A8A" w14:paraId="0A18B32F" w14:textId="77777777" w:rsidTr="006A01C1">
        <w:trPr>
          <w:trHeight w:val="322"/>
          <w:jc w:val="center"/>
        </w:trPr>
        <w:tc>
          <w:tcPr>
            <w:tcW w:w="9067" w:type="dxa"/>
            <w:gridSpan w:val="2"/>
          </w:tcPr>
          <w:p w14:paraId="427B2A75" w14:textId="77777777" w:rsidR="006A01C1" w:rsidRPr="00B75A8A" w:rsidRDefault="006A01C1" w:rsidP="00BA3E3D">
            <w:pPr>
              <w:tabs>
                <w:tab w:val="left" w:pos="567"/>
                <w:tab w:val="left" w:pos="2268"/>
              </w:tabs>
              <w:rPr>
                <w:rFonts w:asciiTheme="minorHAnsi" w:hAnsiTheme="minorHAnsi" w:cstheme="minorHAnsi"/>
                <w:sz w:val="22"/>
                <w:szCs w:val="22"/>
              </w:rPr>
            </w:pPr>
            <w:r>
              <w:rPr>
                <w:rFonts w:asciiTheme="minorHAnsi" w:hAnsiTheme="minorHAnsi"/>
                <w:sz w:val="22"/>
              </w:rPr>
              <w:t xml:space="preserve">Vu à </w:t>
            </w:r>
          </w:p>
        </w:tc>
      </w:tr>
      <w:tr w:rsidR="006A01C1" w:rsidRPr="00B75A8A" w14:paraId="5E97B9EE" w14:textId="77777777" w:rsidTr="006A01C1">
        <w:trPr>
          <w:trHeight w:val="841"/>
          <w:jc w:val="center"/>
        </w:trPr>
        <w:tc>
          <w:tcPr>
            <w:tcW w:w="9067" w:type="dxa"/>
            <w:gridSpan w:val="2"/>
          </w:tcPr>
          <w:p w14:paraId="709EBC08"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14A07452" w14:textId="77777777" w:rsidR="006A01C1" w:rsidRDefault="006A01C1" w:rsidP="00BA3E3D">
            <w:pPr>
              <w:tabs>
                <w:tab w:val="left" w:pos="567"/>
                <w:tab w:val="left" w:pos="2268"/>
              </w:tabs>
              <w:jc w:val="both"/>
              <w:rPr>
                <w:rFonts w:asciiTheme="minorHAnsi" w:hAnsiTheme="minorHAnsi" w:cstheme="minorHAnsi"/>
                <w:sz w:val="22"/>
                <w:szCs w:val="22"/>
                <w:lang w:val="nl-NL"/>
              </w:rPr>
            </w:pPr>
          </w:p>
          <w:p w14:paraId="6A9B398A"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5FFB5579"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480AE3D7" w14:textId="77777777" w:rsidR="006A01C1" w:rsidRDefault="006A01C1" w:rsidP="00BA3E3D">
            <w:pPr>
              <w:tabs>
                <w:tab w:val="left" w:pos="567"/>
                <w:tab w:val="left" w:pos="2268"/>
              </w:tabs>
              <w:jc w:val="both"/>
              <w:rPr>
                <w:rFonts w:asciiTheme="minorHAnsi" w:hAnsiTheme="minorHAnsi" w:cstheme="minorHAnsi"/>
                <w:sz w:val="22"/>
                <w:szCs w:val="22"/>
                <w:lang w:val="nl-NL"/>
              </w:rPr>
            </w:pPr>
          </w:p>
          <w:p w14:paraId="64D3839F"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216D66C5"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7D0C5EA4"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tc>
      </w:tr>
      <w:tr w:rsidR="006A01C1" w:rsidRPr="00B75A8A" w14:paraId="7FE5C68E" w14:textId="77777777" w:rsidTr="006A01C1">
        <w:trPr>
          <w:trHeight w:val="493"/>
          <w:jc w:val="center"/>
        </w:trPr>
        <w:tc>
          <w:tcPr>
            <w:tcW w:w="9067" w:type="dxa"/>
            <w:gridSpan w:val="2"/>
          </w:tcPr>
          <w:p w14:paraId="7DC4BF24" w14:textId="77777777" w:rsidR="006A01C1" w:rsidRPr="00B75A8A" w:rsidRDefault="006A01C1" w:rsidP="00BA3E3D">
            <w:pPr>
              <w:tabs>
                <w:tab w:val="left" w:pos="567"/>
                <w:tab w:val="left" w:pos="2268"/>
              </w:tabs>
              <w:jc w:val="center"/>
              <w:rPr>
                <w:rFonts w:asciiTheme="minorHAnsi" w:hAnsiTheme="minorHAnsi" w:cstheme="minorHAnsi"/>
                <w:sz w:val="22"/>
              </w:rPr>
            </w:pPr>
            <w:r>
              <w:rPr>
                <w:rFonts w:asciiTheme="minorHAnsi" w:hAnsiTheme="minorHAnsi"/>
                <w:sz w:val="22"/>
              </w:rPr>
              <w:t>Par le Roi:</w:t>
            </w:r>
          </w:p>
        </w:tc>
      </w:tr>
      <w:tr w:rsidR="006A01C1" w:rsidRPr="00B75A8A" w14:paraId="538071FE" w14:textId="77777777" w:rsidTr="006A01C1">
        <w:trPr>
          <w:trHeight w:val="191"/>
          <w:jc w:val="center"/>
        </w:trPr>
        <w:tc>
          <w:tcPr>
            <w:tcW w:w="9067" w:type="dxa"/>
            <w:gridSpan w:val="2"/>
          </w:tcPr>
          <w:p w14:paraId="04BF410C" w14:textId="77777777" w:rsidR="006A01C1" w:rsidRDefault="006A01C1" w:rsidP="00BA3E3D">
            <w:pPr>
              <w:tabs>
                <w:tab w:val="left" w:pos="567"/>
                <w:tab w:val="left" w:pos="2268"/>
              </w:tabs>
              <w:jc w:val="center"/>
              <w:rPr>
                <w:rFonts w:asciiTheme="minorHAnsi" w:hAnsiTheme="minorHAnsi" w:cstheme="minorHAnsi"/>
                <w:sz w:val="22"/>
                <w:lang w:val="nl-BE"/>
              </w:rPr>
            </w:pPr>
          </w:p>
          <w:p w14:paraId="10871EE4" w14:textId="29C363EF" w:rsidR="006A01C1" w:rsidRDefault="006A01C1" w:rsidP="00BA3E3D">
            <w:pPr>
              <w:tabs>
                <w:tab w:val="left" w:pos="567"/>
                <w:tab w:val="left" w:pos="2268"/>
              </w:tabs>
              <w:jc w:val="center"/>
              <w:rPr>
                <w:rFonts w:asciiTheme="minorHAnsi" w:hAnsiTheme="minorHAnsi" w:cstheme="minorHAnsi"/>
                <w:sz w:val="22"/>
              </w:rPr>
            </w:pPr>
            <w:r>
              <w:rPr>
                <w:rFonts w:asciiTheme="minorHAnsi" w:hAnsiTheme="minorHAnsi"/>
                <w:sz w:val="22"/>
              </w:rPr>
              <w:t xml:space="preserve">La ministre de la </w:t>
            </w:r>
            <w:proofErr w:type="gramStart"/>
            <w:r>
              <w:rPr>
                <w:rFonts w:asciiTheme="minorHAnsi" w:hAnsiTheme="minorHAnsi"/>
                <w:sz w:val="22"/>
              </w:rPr>
              <w:t>santé</w:t>
            </w:r>
            <w:proofErr w:type="gramEnd"/>
            <w:r>
              <w:rPr>
                <w:rFonts w:asciiTheme="minorHAnsi" w:hAnsiTheme="minorHAnsi"/>
                <w:sz w:val="22"/>
              </w:rPr>
              <w:t xml:space="preserve"> publique,</w:t>
            </w:r>
          </w:p>
          <w:p w14:paraId="107771AC" w14:textId="77777777" w:rsidR="006A01C1" w:rsidRDefault="006A01C1" w:rsidP="00BA3E3D">
            <w:pPr>
              <w:tabs>
                <w:tab w:val="left" w:pos="567"/>
                <w:tab w:val="left" w:pos="2268"/>
              </w:tabs>
              <w:jc w:val="center"/>
              <w:rPr>
                <w:rFonts w:asciiTheme="minorHAnsi" w:hAnsiTheme="minorHAnsi" w:cstheme="minorHAnsi"/>
                <w:sz w:val="22"/>
                <w:lang w:val="nl-BE"/>
              </w:rPr>
            </w:pPr>
          </w:p>
          <w:p w14:paraId="18340A1B" w14:textId="77777777" w:rsidR="006A01C1" w:rsidRDefault="006A01C1" w:rsidP="00BA3E3D">
            <w:pPr>
              <w:tabs>
                <w:tab w:val="left" w:pos="567"/>
                <w:tab w:val="left" w:pos="2268"/>
              </w:tabs>
              <w:jc w:val="center"/>
              <w:rPr>
                <w:rFonts w:asciiTheme="minorHAnsi" w:hAnsiTheme="minorHAnsi" w:cstheme="minorHAnsi"/>
                <w:sz w:val="22"/>
                <w:lang w:val="nl-BE"/>
              </w:rPr>
            </w:pPr>
          </w:p>
          <w:p w14:paraId="4DD669ED" w14:textId="77777777" w:rsidR="006A01C1" w:rsidRDefault="006A01C1" w:rsidP="00BA3E3D">
            <w:pPr>
              <w:tabs>
                <w:tab w:val="left" w:pos="567"/>
                <w:tab w:val="left" w:pos="2268"/>
              </w:tabs>
              <w:jc w:val="center"/>
              <w:rPr>
                <w:rFonts w:asciiTheme="minorHAnsi" w:hAnsiTheme="minorHAnsi" w:cstheme="minorHAnsi"/>
                <w:sz w:val="22"/>
                <w:lang w:val="nl-BE"/>
              </w:rPr>
            </w:pPr>
          </w:p>
          <w:p w14:paraId="2CFF26CE" w14:textId="0621B849" w:rsidR="006A01C1" w:rsidRPr="00B75A8A" w:rsidRDefault="006A01C1" w:rsidP="00BA3E3D">
            <w:pPr>
              <w:tabs>
                <w:tab w:val="left" w:pos="567"/>
                <w:tab w:val="left" w:pos="2268"/>
              </w:tabs>
              <w:jc w:val="center"/>
              <w:rPr>
                <w:rFonts w:asciiTheme="minorHAnsi" w:hAnsiTheme="minorHAnsi" w:cstheme="minorHAnsi"/>
                <w:sz w:val="22"/>
              </w:rPr>
            </w:pPr>
            <w:r>
              <w:rPr>
                <w:rFonts w:asciiTheme="minorHAnsi" w:hAnsiTheme="minorHAnsi"/>
                <w:sz w:val="22"/>
              </w:rPr>
              <w:t>Frank VANDENBROUCKE</w:t>
            </w:r>
          </w:p>
        </w:tc>
      </w:tr>
    </w:tbl>
    <w:p w14:paraId="0559B430" w14:textId="77777777" w:rsidR="00715252" w:rsidRPr="006A01C1" w:rsidRDefault="00810C46">
      <w:pPr>
        <w:rPr>
          <w:lang w:val="nl-BE"/>
        </w:rPr>
      </w:pPr>
    </w:p>
    <w:sectPr w:rsidR="00715252" w:rsidRPr="006A0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C1"/>
    <w:rsid w:val="006A01C1"/>
    <w:rsid w:val="007F53A8"/>
    <w:rsid w:val="00810C46"/>
    <w:rsid w:val="00A414C0"/>
    <w:rsid w:val="00DA62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F310"/>
  <w15:chartTrackingRefBased/>
  <w15:docId w15:val="{D3DB17BE-80D8-43E1-8C50-36CB2894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1C1"/>
    <w:pPr>
      <w:spacing w:after="0" w:line="240" w:lineRule="auto"/>
    </w:pPr>
    <w:rPr>
      <w:rFonts w:ascii="Times New Roman" w:eastAsia="Times New Roman" w:hAnsi="Times New Roman" w:cs="Times New Roman"/>
      <w:sz w:val="20"/>
      <w:szCs w:val="20"/>
      <w:lang w:eastAsia="nl-NL"/>
    </w:rPr>
  </w:style>
  <w:style w:type="paragraph" w:styleId="Heading3">
    <w:name w:val="heading 3"/>
    <w:basedOn w:val="Normal"/>
    <w:next w:val="Normal"/>
    <w:link w:val="Heading3Char"/>
    <w:qFormat/>
    <w:rsid w:val="006A01C1"/>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A01C1"/>
    <w:rPr>
      <w:rFonts w:ascii="Times New Roman" w:eastAsia="Times New Roman" w:hAnsi="Times New Roman" w:cs="Times New Roman"/>
      <w:b/>
      <w:sz w:val="20"/>
      <w:szCs w:val="20"/>
      <w:lang w:val="fr-FR" w:eastAsia="nl-NL"/>
    </w:rPr>
  </w:style>
  <w:style w:type="paragraph" w:styleId="Footer">
    <w:name w:val="footer"/>
    <w:basedOn w:val="Normal"/>
    <w:link w:val="FooterChar"/>
    <w:uiPriority w:val="99"/>
    <w:rsid w:val="006A01C1"/>
    <w:pPr>
      <w:tabs>
        <w:tab w:val="center" w:pos="4536"/>
        <w:tab w:val="right" w:pos="9072"/>
      </w:tabs>
    </w:pPr>
  </w:style>
  <w:style w:type="character" w:customStyle="1" w:styleId="FooterChar">
    <w:name w:val="Footer Char"/>
    <w:basedOn w:val="DefaultParagraphFont"/>
    <w:link w:val="Footer"/>
    <w:uiPriority w:val="99"/>
    <w:rsid w:val="006A01C1"/>
    <w:rPr>
      <w:rFonts w:ascii="Times New Roman" w:eastAsia="Times New Roman" w:hAnsi="Times New Roman" w:cs="Times New Roman"/>
      <w:sz w:val="20"/>
      <w:szCs w:val="20"/>
      <w:lang w:val="fr-FR"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3546</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Lefèvre (SPF Santé Publique - FOD Volksgezondheid)</dc:creator>
  <cp:keywords/>
  <dc:description/>
  <cp:lastModifiedBy>Liana Brili</cp:lastModifiedBy>
  <cp:revision>3</cp:revision>
  <dcterms:created xsi:type="dcterms:W3CDTF">2022-12-09T16:25:00Z</dcterms:created>
  <dcterms:modified xsi:type="dcterms:W3CDTF">2022-12-19T09:16:00Z</dcterms:modified>
</cp:coreProperties>
</file>