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T Ö R V É N Y</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A DOHÁNYTERMÉKEK ÉS KAPCSOLÓDÓ TERMÉKEK HASZNÁLATÁNAK KORLÁTOZÁSÁRÓL SZÓLÓ TÖRVÉNY MÓDOSÍTÁSÁRÓL</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 cikk</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dohánytermékek és kapcsolódó termékek használatának korlátozásáról szóló törvény (a Szlovén Köztársaság Hivatalos Lapja, 9/17. és 29/17. sz.) 1. cikkében „</w:t>
      </w:r>
      <w:hyperlink r:id="rId4" w:tgtFrame="_blank" w:tooltip="to EUR-Lex" w:history="1">
        <w:r>
          <w:rPr>
            <w:rFonts w:ascii="Arial" w:hAnsi="Arial"/>
            <w:color w:val="0000EE"/>
            <w:sz w:val="21"/>
            <w:u w:val="single" w:color="0000EE"/>
          </w:rPr>
          <w:t>a 2014/40/EU európai parlamenti és tanácsi irányelv II. mellékletének</w:t>
        </w:r>
      </w:hyperlink>
      <w:r>
        <w:rPr>
          <w:rFonts w:ascii="Arial" w:hAnsi="Arial"/>
          <w:sz w:val="21"/>
        </w:rPr>
        <w:t xml:space="preserve"> a dohánytermékeken feltüntetendő képes figyelmeztetéseket tartalmazó képtár létrehozása tekintetében történő módosításáról szóló, 2014. október 10-i </w:t>
      </w:r>
      <w:hyperlink r:id="rId5" w:tgtFrame="_blank" w:tooltip="to EUR-Lex" w:history="1">
        <w:r>
          <w:rPr>
            <w:rFonts w:ascii="Arial" w:hAnsi="Arial"/>
            <w:color w:val="0000EE"/>
            <w:sz w:val="21"/>
            <w:u w:val="single" w:color="0000EE"/>
          </w:rPr>
          <w:t>2014/109/EU felhatalmazáson alapuló bizottsági irányelv</w:t>
        </w:r>
      </w:hyperlink>
      <w:r>
        <w:rPr>
          <w:rFonts w:ascii="Arial" w:hAnsi="Arial"/>
          <w:sz w:val="21"/>
        </w:rPr>
        <w:t xml:space="preserve"> (HL L 360., 2014.12.17., 22. o.)” szövegrész  helyébe „a </w:t>
      </w:r>
      <w:hyperlink r:id="rId6" w:tgtFrame="_blank" w:tooltip="to EUR-Lex" w:history="1">
        <w:r>
          <w:rPr>
            <w:rFonts w:ascii="Arial" w:hAnsi="Arial"/>
            <w:color w:val="0000EE"/>
            <w:sz w:val="21"/>
            <w:u w:val="single" w:color="0000EE"/>
          </w:rPr>
          <w:t>2014/40/EU európai parlamenti és tanácsi irányelvnek</w:t>
        </w:r>
      </w:hyperlink>
      <w:r>
        <w:rPr>
          <w:rFonts w:ascii="Arial" w:hAnsi="Arial"/>
          <w:sz w:val="21"/>
        </w:rPr>
        <w:t xml:space="preserve"> a hevített dohánytermékekre vonatkozó egyes mentességek visszavonása tekintetében történő módosításáról módosításáról szóló, 2022. június 29-i </w:t>
      </w:r>
      <w:hyperlink r:id="rId7" w:tgtFrame="_blank" w:tooltip="to EUR-Lex" w:history="1">
        <w:r>
          <w:rPr>
            <w:rFonts w:ascii="Arial" w:hAnsi="Arial"/>
            <w:color w:val="0000EE"/>
            <w:sz w:val="21"/>
            <w:u w:val="single" w:color="0000EE"/>
          </w:rPr>
          <w:t>(EU) 2022/2100 felhatalmazáson alapuló bizottsági irányelv</w:t>
        </w:r>
      </w:hyperlink>
      <w:r>
        <w:rPr>
          <w:rFonts w:ascii="Arial" w:hAnsi="Arial"/>
          <w:sz w:val="21"/>
        </w:rPr>
        <w:t xml:space="preserve"> (HL L 283., 2022.11.3., 4. o.)” szöveg lép.  </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 cikk</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3. cikk 12. pontja a következőképpen módosul:</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Az elektronikus cigaretta olyan termék, amely szopókán vagy a termék bármely alkotóelemén (ideértve a patronokat, a tartályokat), illetve a patron vagy tartály nélküli készüléken keresztül nikotintartalmú pára fogyasztását teszi lehetővé. Az elektronikus cigaretta lehet használat után eldobható, utántöltő flakon révén utántölthető, vagy egyszer használatos patronokkal újratölthető.”. Az elektronikus cigaretta akkor is elektronikus cigarettának tekintendő, ha nikotinmentes utántöltő flakonnal és tartállyal újratöltik, vagy nikotinmentes eldobható utántöltővel töltik újra nikotinmentes pára belélegzéséhez.”.</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12. pont után a szöveg a következő új, 12a. ponttal egészül ki:</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A nikotinmentes elektronikus cigaretta olyan eldobható termék, amely nikotinmentes folyadékot tartalmazó tartállyal rendelkezik, és amelyet olyan pára belélegzésére használnak a szopókán vagy a termék bármely alkotóelemén keresztül, amely nem tartalmaz nikotint.”.</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17. pontot el kell hagyni.</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19. pont után a szöveg a következő új, 19.a. ponttal egészül ki:</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Az új nikotintartalmú termék olyan termék, amely nem tartozik a nikotintartalmú, de dohányt nem tartalmazó termékek alábbi kategóriáinak egyikébe sem: elektronikus cigaretta, utántöltő flakon és törzskönyvezett nikotinpótló terápiás készítmény.”.</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22. pont után a szöveg a következő új, 22.a. ponttal egészül ki:</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„22.a. A hevített dohánytermék egy új dohánytermék-kategóriába tartozó termék, amelyet nikotin és más vegyi anyagok kibocsátása céljával hevítenek, mely kibocsátást a felhasználó(k) belélegzi(k), és amely termék a jellemzőitől függően füst nélküli dohányterméknek vagy dohányzásra szánt dohányterméknek minősül.”.</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23. pont után a szöveg a következő új, 23a. ponttal egészül ki:</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A nikotinmentes utántöltő flakon az elektronikus cigaretta utántöltésére szolgáló, nikotinmentes folyadékot tartalmazó tartály.”.</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25. pont a következőképpen módosul:</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w:t>
      </w:r>
      <w:r>
        <w:t xml:space="preserve">A </w:t>
      </w:r>
      <w:hyperlink r:id="rId8" w:tgtFrame="_blank" w:tooltip="to EUR-Lex" w:history="1">
        <w:r>
          <w:rPr>
            <w:rFonts w:ascii="Arial" w:hAnsi="Arial"/>
            <w:color w:val="0000EE"/>
            <w:sz w:val="21"/>
            <w:u w:val="single" w:color="0000EE"/>
          </w:rPr>
          <w:t>2014/40/EU irányelv</w:t>
        </w:r>
      </w:hyperlink>
      <w:r>
        <w:rPr>
          <w:rFonts w:ascii="Arial" w:hAnsi="Arial"/>
          <w:sz w:val="21"/>
        </w:rPr>
        <w:t xml:space="preserve"> szerinti kapcsolódó termékek az elektronikus cigaretták és utántöltő flakonok, valamint a dohányzási célú gyógynövénytermékek. E törvény szerint szintén a kapcsolódó termékek közé tartozik a nikotinmentes elektronikus cigaretta és a nikotinmentes utántöltő flakon, a hevített gyógynövénytermék, az új dohánytermék-kategóriába tartozó termék és az új nikotintartalmú termék. A törvény értelmében szintén a kapcsolódó termékek közé tartoznak az e szakasz első és utóbbi mondatában említett azon kapcsolódó termékek használatához szükséges tartozékok, illetve eszközök, amelyek nélkül a kapcsolódó termékek nem használhatók.”.</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40. pont a következőképpen módosul:</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A cigarettadohány olyan dohány, amelyet a fogyasztók vagy a kiskereskedelmi egységek cigarettakészítésre használhatnak.”.</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Az 50. pont után a szöveg a következő új, 50a. ponttal egészül ki:</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A hevített gyógynövénytermék olyan növény-, gyógynövény- vagy gyümölcsalapú termék, amely nem tartalmaz dohányt, és amelynek használata során a hevítésre sor kerül.”.</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3. cikk</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11. cikk (1) bekezdése a következőképpen módosul:</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Tilos a jellegzetes ízesítésű cigaretták, cigarettadohányok és hevített dohánytermékek forgalomba hozatala.”.</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4. cikk</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12. cikk (2) bekezdése a következőképpen módosul:</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Tilos az alkotóelemeikben – például a szűrőben, a papírban, a csomagolásban, a kapszulában, illetve az érintett dohánytermék illatát vagy az ízét vagy füstintenzitásának megváltoztatását lehetővé tevő minden technikai megoldásban – ízesítést tartalmazó cigaretták, </w:t>
      </w:r>
      <w:r>
        <w:rPr>
          <w:rFonts w:ascii="Arial" w:hAnsi="Arial"/>
          <w:sz w:val="21"/>
        </w:rPr>
        <w:lastRenderedPageBreak/>
        <w:t>cigarettadohányok és hevített dohánytermékek forgalomba hozatala. A szűrő, a papír és a kapszula nem tartalmazhat dohányt vagy nikotint.”.</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5. cikk</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13. cikk a (6) bekezdés után a következő új, (7) bekezdéssel egészül ki:</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A dohánytermékek csomagolási egységein és gyűjtőcsomagolásán szereplő, a fogyasztókhoz szóló képeknek meg kell felelniük az e törvény második fejezete 2. szakaszában foglalt előírásoknak (Címkézés és csomagolás).”.</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6. cikk</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14. cikk (1) bekezdésének bevezető mondata a következőképpen módosul: A dohányzásra szánt dohánytermékek – beleértve a hevített dohánytermékeket is, amennyiben azok dohányzásra szánt dohánytermékek – valamennyi csomagolási egységén és gyűjtőcsomagján fel kell tüntetni az alábbi általános figyelmeztetést:”.</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 bekezdés bevezető mondata a következőképpen módosul: A dohányzásra szánt dohánytermékek – beleértve a hevített dohánytermékeket is, amennyiben azok dohányzásra szánt dohánytermékek – valamennyi csomagolási egységén és gyűjtőcsomagján fel kell tüntetni az alábbi tájékoztatást:”.</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(3) bekezdés első mondata a következőképpen módosul: „A cigarettacsomagok, a dohányzásra szánt dohányterméknek minősülő hevített dohányterméket tartalmazó csomagok és a cigarettadohányt tartalmazó, téglatest alakú tasakok esetében az általános figyelmeztetést a csomagolási egység egyik oldalsó felületének alsó részén, a tájékoztatást pedig a másik oldalsó felület alsó részén kell feltüntetni.”.</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7. cikk</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15. cikk (1) bekezdésének első mondata a következőképpen módosul: „A dohányzásra szánt dohánytermékek – beleértve a hevített dohánytermékeket is, amennyiben azok dohányzásra szánt dohánytermékek – valamennyi csomagolási egységén és gyűjtőcsomagján kombinált egészségvédő figyelmeztetéseket kell feltüntetni.”.</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8. cikk</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22. cikk (9) bekezdése a következőképpen módosul:</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A rögzített adatokat a dohánytermékek kereskedelmében részt vevő gazdasági szereplő nem módosíthatja vagy törölheti.”.</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9. cikk</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25. cikk (2) bekezdésének első mondatában a „bekezdés” szó után a vesszőt és az „amennyiben az NLZOH úgy ítéli meg, hogy ez a megváltozott feltételek miatt szükséges” szövegrészt el kell hagyni.</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 bekezdés után a szöveg a következő új, (3) bekezdéssel egészül ki:</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Az NLZOH díjat számít fel a gyártóknak és az importőröknek az e cikk alapján benyújtott adatok fogadásáért, tárolásáért, kezeléséért és elemzéséért.”.</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jelenlegi (3) bekezdés számozása (4) bekezdésre változik, amely a következőképpen módosul:</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Az értesítés formáját és módját, valamint az e cikkben említett díjak összegét a miniszter határozza meg.”.</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10. cikk</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26. cikk (3) bekezdésének bevezető mondata a következőképpen módosul: „Az elektronikus cigarettáknak, a nikotinmentes elektronikus cigarettáknak, az utántöltő flakonoknak és a nikotinmentes utántöltő flakonoknak a következő feltételeknek kell megfelelniük:”.</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az 1. pont a következőképpen módosul:</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nikotintartalmú vagy nikotinmentes folyadékot kizárólag kifejezetten erre a célra szolgáló, legfeljebb 10 ml űrtartalmú utántöltő flakonokban, eldobható elektronikus cigarettákban, nikotinmentes elektronikus cigarettákban vagy nikotintartalmú vagy nikotinmentes egyszer használatos patronokban lehet forgalomba hozni, és a patronok, illetve a tartályok űrtartalma nem haladhatja meg a 2 ml-t;”;</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3. pont a következőképpen módosul:</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a nikotintartalmú vagy nikotinmentes folyadék nem tartalmazhat olyan adalékanyagokat, amelyek e törvény 12. cikkének (1) bekezdésében szerepelnek;”.</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4. pont a következőképpen módosul:</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a nikotintartalmú vagy nikotinmentes folyadék előállítása során kizárólag tiszta összetevők használhatók. A folyadék az e cikk (2) bekezdésének 2. pontjában említett összetevőktől eltérő anyagokat csak nyomokban tartalmazhat, és csak abban az esetben, ha a nyomokban való előfordulás technikailag elkerülhetetlen a gyártás során;”.</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 7. pont a következőképpen módosul:</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gyermekek nem használhatják őket, védeni kell őket a hamisítással, a töréssel és a szivárgással szemben, és rendelkezniük kell egy olyan mechanizmussal, amely biztosítja a szivárgás nélkül újratöltést;”.</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7. pont után a szöveg a következő, új 8. ponttal egészül ki:</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a nikotintartalmú vagy nikotinmentes folyadék nem tartalmazhat a dohány ízén vagy illatán kívül más ízesítést.”.</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Az (5) bekezdés bevezető mondata a következőképpen módosul: „Elektronikus cigaretták, nikotinmentes elektronikus cigaretták, utántöltő flakonok és nikotinmentes utántöltő flakonok csomagolása és gyűjtőcsomagolása:”.</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 pont a következőképpen módosul:</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az előző ponttól függetlenül nem bírnak az e törvény 17. cikkében említett elemekkel vagy jellemzőkkel, kivéve az (1) bekezdés első franciabekezdésében a nikotintartalomra, valamint a dohány ízére vagy illatára vonatkozó információkat, és a nikotinmentes elektronikus cigaretták és nikotint nem tartalmazó utántöltő flakonok kivételével, szerepel rajtuk az alábbi egészségvédő figyelmeztetés, amely megfelel az e törvény 16. cikkének (2) és (3) bekezdésében foglalt követelményeknek: »Ez a termék nikotint tartalmaz, amely erős függőséget okozó anyag. Fogyasztása nemdohányzók számára nem ajánlott.«.”.</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(8) bekezdés vége a következő szöveggel egészül ki: „Az NLZOH és a Szlovén Köztársaság Egészségügyi Felügyelete kérésre az Európai Bizottság és más uniós tagállamok rendelkezésére bocsátja az e cikk alapján kapott valamennyi információt, biztosítva az üzleti titkok és más bizalmas jellegű információk bizalmas kezelését.”.</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(14) bekezdés után a szöveg a következő új, (15) bekezdéssel egészül ki:</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Az (1) bekezdésben említett hivatalos értesítés benyújtására, annak a (2) bekezdésben említett tartalmára, a (4) bekezdésben említett adatok használati útmutatóval való kiegészítésére, a (6) bekezdésben említett adatok benyújtására, a piac alakulásának a (7) bekezdésben említett nyomon követésére, az interneten történő közzétételre, az adatok nyilvánosságra hozatalára és a (8) bekezdésben említett tájékoztatásra, az adatgyűjtési rendszer létrehozására és fenntartására, valamint a (9) bekezdésben említett összegyűjtött adatok továbbítására vonatkozó rendelkezések, a (10) bekezdésben említett intézkedések elfogadása és a hatóságok értesítése, a (11) bekezdésben említett kiegészítő adatok továbbítása, a (12) bekezdésben említett tájékoztatás, a (13) bekezdésben említett díjfelszámítási jog és az e cikk (14) bekezdésében említett részletesebb feltételek meghatározása a nikotinmentes elektronikus cigarettákra és a nikotinmentes utántöltő flakonokra is vonatkozik.”.</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11. cikk</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28. cikkben a cikk címe a következőképpen módosul: „(a dohányzási célú gyógynövénytermékek és hevített gyógynövénytermékek összetevőinek bejelentése)”.</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Az (1) bekezdés a következőképpen módosul:</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A dohányzási célú gyógynövénytermékek és a hevített gyógynövénytermékek gyártói és importőrei külön-külön minden egyes márka és típus vonatkozásában kötelesek benyújtani az NLZOH-hoz egy jegyzéket az e termékek előállításához felhasznált összes összetevőről és azok mennyiségéről. A hivatalos értesítést az új vagy módosított dohányzási célú gyógynövénytermék vagy hevített gyógynövénytermék tervezett forgalomba hozatala előtt hat hónappal elektronikus úton kell benyújtani. A dohányzási célú gyógynövénytermékek és hevített gyógynövénytermékek gyártói vagy importőrei értesítik az NLZOH-t, ha a termék összetétele oly módon változott, hogy az az e cikk szerint benyújtott adatokat befolyásolja.”.</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 bekezdés után a szöveg a következő új, (3) bekezdéssel egészül ki:</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Az NLZOH díjat számít fel a gyártóknak és az importőröknek az e cikk alapján benyújtott adatok fogadásáért, tárolásáért, kezeléséért, elemzéséért és közzétételéért.”.</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jelenlegi (3) bekezdés számozása (4) bekezdésre változik, amely a következőképpen módosul:</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A dohányzási célú gyógynövénytermékek és a hevített gyógynövénytermékek összetevőivel kapcsolatos jelentéstétel részletesebb feltételeit és az e cikkben említett díjak összegét a miniszter állapítja meg.”.</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12. cikk</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Az V. fejezet címe a következőképpen módosul: „V. REKLÁMOZÁS, PROMÓCIÓ, SZPONZORÁLÁS, ÉRTÉKESÍTÉS ÉS IMPORT”.</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13. cikk</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30. cikkben a cikk címe a következőképpen módosul: „(az értékesítés és beszerzés tilalma)”;</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(6) bekezdés után a szöveg a következő új, (7) és (8) bekezdéssel egészül ki:</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Magánszemély nem adhat el vagy hozhat forgalomba dohányt, dohánytermékeket vagy kapcsolódó termékeket.</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Magánszemély nem szerezhet be e cikket megsértve dohányt, dohánytermékeket vagy kapcsolódó termékeket.”.</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14. cikk</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30. cikk után a szöveg a következő új, 30a. cikkel egészül ki:</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„30.a cikk</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(Importtilalom)</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Tilos az e törvény 11. cikkének (1) bekezdésében, 12. cikkének (1), (2) és (3) bekezdésében, valamint 24. cikkében említett termékek importja.</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Magánszemély nem hozhat be dohányt, dohánytermékeket vagy kapcsolódó termékeket azon termékek kivételével, amelyek az uniós vámmentességi rendszert szabályozó rendelettel összhangban a szállítmányban vagy az utas személyes poggyászában mentesülnek a behozatali vámok megfizetése alól.”.</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15. cikk</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VII. fejezet címe a következőképpen módosul: „VII. DOHÁNYZÁSI TILALOM”.</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16. cikk</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39. cikk (3) bekezdésében a harmadik franciabekezdés végén a pontosvessző helyébe pont lép, és a negyedik franciabekezdést el kell hagyni.</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(4) bekezdést el kell hagyni.</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Az (5) bekezdés számozása (4) bekezdésre változik.</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17. cikk</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40. cikket el kell hagyni.</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18. cikk</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41. cikk szövege a következőképpen módosul:</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 törvény végrehajtását a Szlovén Köztársaság Egészségügyi Felügyelete, a Szlovén Köztársaság Munkaügyi Felügyelete, a Szlovén Köztársaság Piacfelügyelete, a Szlovén Köztársaság Adó- és Vámhivatala, valamint a rendőrség és az önkormányzati rendészet felügyeli.</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 Szlovén Köztársaság Egészségügyi Felügyelete felügyeli a következőket:</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a cigaretták e törvény 7. cikkében említett kátrány-, nikotin- és szén-monoxid-kibocsátása;</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 az e törvény 11. cikkében említett jellegzetes ízesítésű dohánytermékek forgalomba hozatalának tilalma;</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az e törvény 12. cikkében említett adalékanyagokat tartalmazó dohánytermékek forgalomba hozatalának tilalma;</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a gyártók és importőrök általi jelentéstétel és tájékoztatás a dohánytermékek és kapcsolódó termékek összetevőiről és kibocsátásairól e törvény 9. cikkével, 10. cikkével, 25. cikkével, 26. cikkének (1), (2) és (6) bekezdésével, valamint 28. cikkével összhangban;</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az e törvény 26. cikkének (9), (10) és (11) bekezdésében említett, az elektronikus cigaretták, nikotinmentes elektronikus cigaretták, utántöltő flakonok és nikotinmentes utántöltő flakonok gyártói, importőrei és forgalmazói által teljesítendő kötelezettségek, valamint az e törvény 26. cikkének (3) bekezdésében említett elektronikus cigaretták, nikotinmentes elektronikus cigaretták, utántöltő flakonok és nikotinmentes utántöltő flakonok által teljesítendő feltételek;</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az e törvény 39. cikkében említett nyilvános helyeken a dohányzás tilalma, illetve a rágódohánytól és a tüsszentésre szolgáló dohányterméktől eltérő dohány, dohánytermékek és kapcsolódó termékek használatának tilalma;</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azok a személyek, akik nem tartják be az e törvény 39. cikkében említett nyilvános helyeken a dohányzási tilalmat, illetve a rágódohánytól és a tüsszentésre szolgáló dohányterméktől eltérő dohány, dohánytermékek és kapcsolódó termékek használatának tilalmát.</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A Szlovén Köztársaság Egészségügyi Felügyelete saját megállapításai vagy az NLZOH megállapításai alapján, amelyek szerint dohányt, dohánytermékeket és kapcsolódó termékeket e törvény 7., 8., 11., 12. és 26. cikkét megsértve állítanak elő, értékesítenek vagy hoznak forgalomba, határozattal megtiltja e termékek előállítását és értékesítését, valamint elrendeli a gyártásból és értékesítésből való kivonásukat.</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A Szlovén Köztársaság Egészségügyi Felügyelete az NLZOH megállapításai alapján, amelyek szerint a dohány, a dohánytermékek és a kapcsolódó termékek egy bizonyos márkája és típusa esetében azok gyártói és importőrei nem tesznek eleget az e törvény 9., 10., 25., 26. és 28. cikkében említett, termékekkel kapcsolatos jelentéstételi vagy tájékoztatási kötelezettségnek, határozattal megtiltja e termékek értékesítését, és elrendeli az értékesítésből való kivonásukat.</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A Szlovén Köztársaság Egészségügyi Felügyeletének vagy a Szlovén Köztársaság Adó- és Vámhivatalának kérésére az NLZOH laboratóriumi vizsgálatot végezhet a dohány, a dohánytermékek és a kapcsolódó termékek tekintetében. A dohányt, dohánytermékeket és kapcsolódó termékeket forgalomba hozó jogi és természetes személyeknek ingyenesen az illetékes ellenőr (a továbbiakban: ellenőr) rendelkezésére kell bocsátaniuk az ilyen termék mintáját. Ha a laboratóriumi vizsgálat során megállapítást nyer, hogy az ellenőrzési eljárás során vett minta nem felel meg e törvény rendelkezéseinek, a laboratóriumi vizsgálat költségeit az a jogi vagy természetes személy viseli, akitől a mintát vették.</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A Szlovén Köztársaság Munkaügyi Felügyelete felügyeli a következőket:</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az e törvény 39. cikkében említett munkahelyeken a dohányzás tilalma, illetve a rágódohánytól és a tüsszentésre szolgáló dohányterméktől eltérő dohány, dohánytermékek és kapcsolódó termékek használatának tilalma;</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azok a személyek, akik nem tartják be az e törvény 39. cikkében említett munkahelyeken a dohányzási tilalmat, illetve a rágódohánytól és a tüsszentésre szolgáló dohányterméktől eltérő dohány, dohánytermékek és kapcsolódó termékek használatának tilalmát.</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(7) A Szlovén Köztársaság Piacfelügyelete felügyeli a vállalkozásokat, nevezetesen a következőket:</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az e törvény 13–20. cikkében említett, dohány és dohánytermékek által teljesítendő feltételek;</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az e törvény 24. cikkében említett, szájon át fogyasztott dohánytermékek forgalomba hozatalának tilalma;</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az e törvény 26. cikkének (4) és (5) bekezdésében említett, elektronikus cigaretták, nikotinmentes elektronikus cigaretták, utántöltő flakonok és nikotinmentes utántöltő flakonok által teljesítendő feltételek;</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az e törvény 27. cikkében említett, dohányzási célú gyógynövénytermékek által teljesítendő feltételek;</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az e törvény 29. cikkében említett, dohány, dohánytermékek és kapcsolódó termékek szponzorálásának és reklámozásának tilalma;</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az e törvény 30. és 31. cikkében említett értékesítési tilalom;</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a dohány, dohánytermékek és kapcsolódó termékek e törvény 32. cikkében említett engedély nélküli értékesítése, valamint az engedélynek az e törvény 34. cikkének (3) bekezdésében említett üzlethelyiségekben való láthatósága.</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A Szlovén Köztársaság Adó- és Vámhivatala felügyeli a következőket:</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az e törvény 22. és 23. cikkében meghatározott feltételek, amelyeket a dohánynak és dohánytermékeknek teljesíteniük kell;</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az e törvény 26. cikkének (3) bekezdésében említett, elektronikus cigaretták, nikotinmentes elektronikus cigaretták, utántöltő flakonok és nikotinmentes utántöltő flakonok által teljesítendő feltételek harmadik országokból történő behozatal esetén, a Szlovén Köztársaság Egészségügyi Felügyeletének támogatásával;</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azok a magánszemélyek, akik e törvény 30. cikkének (7) és (8) bekezdését megsértve értékesítenek, hoznak forgalomba vagy szereznek be dohányt, dohánytermékeket vagy kapcsolódó termékeket;</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az e törvény 30.a. cikkében említett importtilalom;</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a dohány, dohánytermékek és kapcsolódó termékek e törvény 32. cikkében említett engedély nélküli értékesítése.</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Ha a Szlovén Köztársaság Piacfelügyelete megállapítja, hogy dohányt és dohánytermékeket e törvény 13–20. cikkét megsértve állítanak elő, értékesítenek vagy hoznak forgalomba, vagy az e törvény 32. cikkében említett engedély nélkül értékesítenek, határozatot hoz, amelyben megtiltja azok előállítását, értékesítését vagy forgalomba hozatalát, és elrendeli a gyártásból vagy értékesítésből való kivonásukat.</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Ha a Szlovén Köztársaság Adó- és Vámhivatala megállapítja, hogy dohányt, dohánytermékeket és kapcsolódó termékeket e törvény 32. cikkében említett engedély nélkül értékesítenek, határozatot hoz, amelyben megtiltja azok értékesítését, és elrendeli a gyártásból vagy értékesítésből való kivonásukat.</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(11) A Szlovén Köztársaság Egészségügyi Felügyelete az e törvény 26. cikkének (12) bekezdésében említett értesítés alapján meghozza a megfelelő átmeneti intézkedéseket az emberi egészség védelme érdekében, amelyek magukban foglalják egy adott termék értékesítésének tilalmát vagy egy adott termék piacról történő kivonását.</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Ha az illetékes ellenőrző szerv megállapítja, hogy dohányt vagy kapcsolódó termékeket e törvény 26. és 27. cikkét megsértve vagy az e törvény 32. cikkében említett engedély nélkül állítanak elő, értékesítenek vagy hoznak forgalomba, határozatot hoz, amelyben megtiltja e termékek értékesítését, forgalomba hozatalát vagy előállítását, és elrendeli a gyártásból vagy értékesítésből való kivonásukat.</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Ha a Szlovén Köztársaság Piacfelügyelete megállapítja, hogy dohányt, dohánytermékeket vagy kapcsolódó termékeket e törvény 29. cikkét megsértve szponzorálnak vagy reklámoznak, az ilyen szponzorálást vagy reklámozást határozattal meg kell tiltani. A határozat végrehajtása érdekében elrendeli a reklámanyagoknak a vállalkozás költségére történő azonnali eltávolítását.</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Az illetékes ellenőr együttműködhet 18. életévét be nem töltött személlyel a dohány, dohánytermékek és kapcsolódó termékek e törvény 30. cikkének (1) bekezdésében említett, 18 év alatti személyek részére történő értékesítésére vonatkozó tilalom felügyelete során. A kiskorúak részvételéhez be kell szerezni szüleik vagy gondviselőik előzetes írásbeli hozzájárulását.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A rendőrség és az önkormányzati rendészet ellenőrzi a 18 év alatti személyek jelenlétében járművekben történő dohányzás e törvény 39. cikkének (1) bekezdése szerinti tilalmát.”.</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19. cikk</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42. cikk (1) bekezdése a következőképpen módosul:</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Jogi személy 4 000 EUR és 33 000 EUR közötti pénzbírsággal sújtandó bűncselekmény miatt:</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ha olyan cigarettát állít elő, értékesít vagy hoz forgalomba, amely az e törvény 7. cikkében meghatározottnál magasabb kátrány-, nikotin- és szén-monoxid-tartalommal rendelkezik;</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ha olyan dohánytermékeket értékesít vagy hoz forgalomba, amelyek esetében az e termékek összetevőivel és kibocsátásaival kapcsolatos jelentéstételi kötelezettség nem teljesült (9. és 10. cikk);</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ha jellegzetes ízesítésű (11. cikk) vagy az e törvény 12. cikkének (1) és (3) bekezdésében említett adalékanyagokat tartalmazó dohánytermékeket állít elő, hoz forgalomba vagy értékesít, vagy ha olyan dohánytermékeket állít elő, értékesít vagy hoz forgalomba, amelyek alkotóelemeik bármelyikében aromás anyagokat tartalmaznak (12. cikk (2) bekezdés);</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ha olyan dohánytermékeket és füst nélküli dohánytermékeket hoz forgalomba vagy értékesít, amelyek nem felelnek meg a címkézésre, csomagolásra, általános figyelmeztetésekre, tájékoztatásra és kombinált egészségvédő figyelmeztetésekre vonatkozó feltételeknek (13., 14., 15. és 16. cikk);</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ha olyan dohánytermékeket hoz forgalomba vagy értékesít, amelyek címkézése vagy gyűjtőcsomagja ellentétes e törvény 17. cikkének rendelkezéseivel;</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6. ha olyan cigarettacsomagot és cigarettát tartalmazó gyűjtőcsomagot hoz forgalomba vagy értékesít, amelynek megjelenése és tartalma ellentétes e törvény 18. cikkének rendelkezéseivel;</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ha olyan, cigarettadohányt tartalmazó csomagolási egységet vagy gyűjtőcsomagot hoz forgalomba vagy értékesít, amelyek megjelenése és tartalma ellentétes e törvény 19. cikkének rendelkezéseivel;</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ha olyan cigarettát hoz forgalomba vagy értékesít, amelynek megjelenése ellentétes e törvény 20. cikkének rendelkezéseivel;</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ha nem teszi könnyen hozzáférhetővé az egyedi azonosítót (22. cikk (4) bekezdés);</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ha nem rögzíti az összes csomagolási egység beérkezését, közbenső mozgását, valamint a birtokából kikerülő csomagolási egységek végleges mennyiségét oly módon, ami lehetővé teszi az összes csomagolási egység világos és egyértelmű azonosítását és nyomon követését (22. cikk (5) bekezdés);</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ha nem vezet nyilvántartást az összes befejezett ügyletről (22. cikk (6) bekezdés);</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ha nem biztosítja a dohánytermékek kereskedelmében részt vevő gazdasági szereplők számára, a gyártótól kezdve az utolsó gazdasági szereplőig az értékesítési helyen történő első értékesítés előtt – beleértve az importőröket, raktárakat és fuvarozótársaságokat – a dohánytermékek rögzítésére szolgáló berendezést, vagy ha a rendelkezésre bocsátott berendezés nem teszi lehetővé az összes csomagolási egység elektronikus leolvasását, valamint egyértelmű azonosítását és nyomon követését (22. cikk (7) bekezdés);</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ha megváltoztatja vagy törli a rögzített adatokat (22. cikk (9) bekezdés);</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ha dohánytermékeket azonosító jel vagy biztonsági elem nélkül hoz forgalomba vagy értékesít, ha az azonosító jel hiányos, vagy ha a biztonsági elem nem felel meg az előírt műszaki szabványoknak (22. cikk (1), (2) és (3) bekezdés, valamint 23. cikk);</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ha szájon át fogyasztott dohányterméket hoz forgalomba vagy értékesít (24. cikk);</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ha e törvény 25. cikkét megsértve értékesít vagy hoz forgalomba új dohánytermék-kategóriába tartozó terméket;</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ha e törvény 26. cikkének (3), (4), (5) és (10) bekezdését megsértve gyárt, értékesít vagy hoz forgalomba elektronikus cigarettát, nikotinmentes elektronikus cigarettát, utántöltő flakont vagy nikotinmentes utántöltő flakont;</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ha e törvény 26. cikkének (1), (2), (6) és (11) bekezdését megsértve gyárt, értékesít vagy hoz forgalomba elektronikus cigarettát, nikotinmentes elektronikus cigarettát, utántöltő flakont vagy nikotinmentes utántöltő flakont;</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ha e törvény 27. cikkét megsértve hoz forgalomba vagy értékesít dohányzási célú gyógynövényterméket;</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ha nem jelenti be a dohányzási célú gyógynövénytermékek és hevített gyógynövénytermékek összetevőit e törvény 28. cikkének megfelelően;</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ha adományoz, illetve eseményt, tevékenységet vagy magánszemélyt szponzorál, és közvetlenül vagy közvetve dohánytermékeket és kapcsolódó termékeket reklámoz és népszerűsít (29. cikk);</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 ha televízióban és nyilvános szereplésekkel összefüggésben dohányt, dohánytermékeket és kapcsolódó termékeket mutat be vagy használ (29. cikk (7) bekezdés);</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ha dohányt, dohánytermékeket vagy kapcsolódó termékeket értékesít 18 év alatti személyeknek, illetve ha nem tünteti fel jól látható helyen az értékesítési tilalmat, vagy ha dohányt, dohánytermékeket vagy kapcsolódó termékeket értékesít 18 év alatti személyeknek (30. cikk (1) és (2) bekezdés);</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ha e törvény 30. cikkének (3) bekezdését megsértve értékesít vagy hoz forgalomba dohányt, dohánytermékeket vagy kapcsolódó termékeket;</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ha dohányt, dohánytermékeket vagy kapcsolódó termékeket nem az eredeti gyártói csomagolásban értékesít vagy hoz forgalomba (30. cikk (4) bekezdés);</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ha dohányt, dohánytermékeket vagy kapcsolódó termékeket internet, távközlés vagy más fejlődő technológiák segítségével hoz forgalomba vagy értékesít határokon átnyúló távértékesítés keretében (30. cikk (5) bekezdés);</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ha 18 év alatti személyeknek szánt édességeket, ropogtatnivalókat, játékokat vagy más árucikkeket dohánytermék vagy kapcsolódó termék formájában gyárt, forgalmaz vagy értékesít határokon átnyúló távértékesítés keretében (30. cikk (6) bekezdés);</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ha e törvény 11. cikkének (1) bekezdésében, 12. cikkének (1), (2) és (3) bekezdésében, valamint 24. cikkében említett termékeket importál;</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ha az üzlethelyiségben nem tünteti fel jól látható módon a dohány, a dohánytermékek és kapcsolódó termékek értékesítésére vonatkozó engedélyt (34. cikk (3) bekezdés);</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ha nem biztosítja a dohányzási tilalom vagy a rágódohánytól és a tüsszentésre szolgáló dohányterméktől eltérő dohány, dohánytermékek és kapcsolódó termékek használatára vonatkozó tilalom betartását zárt nyilvános helyeken és munkahelyeken, valamint olyan helyeken, amelyek e törvény értelmében nem minősülnek zárt térnek, ha azok nevelési vagy oktatási tevékenységet végző létesítményekhez tartozó funkcionális tér részét képezik (39. cikk).”.</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(4), (5) és (6) bekezdés a következőképpen módosul:</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Az e cikk (1) bekezdésének 1., 3</w:t>
      </w:r>
      <w:hyperlink r:id="rId9" w:tgtFrame="_blank" w:tooltip="to EUR-Lex" w:history="1">
        <w:r>
          <w:rPr>
            <w:rFonts w:ascii="Arial" w:hAnsi="Arial"/>
            <w:color w:val="0000EE"/>
            <w:sz w:val="21"/>
            <w:u w:val="single" w:color="0000EE"/>
          </w:rPr>
          <w:t>–15., 17., 19.</w:t>
        </w:r>
      </w:hyperlink>
      <w:r>
        <w:rPr>
          <w:rFonts w:ascii="Arial" w:hAnsi="Arial"/>
          <w:sz w:val="21"/>
        </w:rPr>
        <w:t>, 25. és 28. pontjában említett szabálysértések esetében a fő szankció mellett el kell rendelni a szabálysértés tárgyát képező dohány, dohánytermékek vagy kapcsolódó termékek, valamint a szabálysértés elkövetéséhez használt tárgyak elkobzását. Járulékos szankciót kell kiróni akkor is, ha a dohány, dohánytermékek vagy kapcsolódó termékek nem az elkövető tulajdonát képezik, vagy nincsenek a jogi személy birtokában. A vagyontárgy elkobzásától el lehet tekinteni, ha az elkövető bizonyítja a dohány, dohánytermékek vagy kapcsolódó termékek legális eredetét, vagy ha a bűncselekményből származó vagyontárgyak elkobzására vonatkozó járulékos szankció kirovása egyértelműen aránytalan lenne a cselekmény súlyosságához és a bűncselekmény következményeihez képest.</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50 000 EUR összegű pénzbírsággal sújtandó az a jogi személy, egyéni vállalkozó vagy önálló tevékenységet folytató magánszemély, aki vagy amely dohányt, dohánytermékeket vagy kapcsolódó termékeket engedély nélkül értékesít (32. cikk).</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5 000 EUR összegű pénzbírsággal sújtandó a jogi személy felelős személye, az egyéni vállalkozó felelős személye vagy az önálló tevékenységet folytató magánszemély, aki dohányt, dohánytermékeket vagy kapcsolódó termékeket engedély nélkül értékesít (32. cikk).</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20. cikk</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43. cikk (1) bekezdése a következőképpen módosul:</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Magánszemély 125 EUR és 5 000 EUR közötti pénzbírsággal sújtandó bűncselekmény miatt:</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ha e törvény 30. cikkét megsértve szerez be dohányt, dohánytermékeket vagy kapcsolódó termékeket;</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ha e törvény 30.a. cikkének (1) vagy (2) bekezdését megsértve importál termékeket;</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ha dohányzik, vagy dohányt, dohánytermékeket vagy kapcsolódó termékeket használ olyan nyilvános helyen vagy munkahelyen, ahol ez tilos (39. cikk).</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(2) bekezdés után a szöveg a következő új, (3) és (4) bekezdéssel egészül ki:</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Magánszemély 3 000 és 5 000 EUR közötti pénzbírsággal sújtandó bűncselekmény miatt:</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ha e törvény 29. cikkének (3) bekezdését megsértve, reklámozás céljából ingyenesen kínál dohányt, dohánytermékeket és kapcsolódó termékeket nyilvános helyen vagy közterületen;</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ha e törvény 30. cikkének (7) bekezdését megsértve értékesít vagy hoz forgalomba dohányt, dohánytermékeket vagy kapcsolódó termékeket.</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Az e cikk első bekezdésének első és második franciabekezdésében említett bűncselekmények, valamint az előző bekezdés első és második franciabekezdésében említett bűncselekmények esetében a fő szankció mellett el kell rendelni a bűncselekmény tárgyát képező dohány, dohánytermékek vagy kapcsolódó termékek, valamint a bűncselekmény elkövetéséhez használt vagyontárgyak elkobzását. Járulékos szankciót kell kiróni akkor is, ha a dohány, dohánytermékek vagy kapcsolódó termékek nem az elkövető tulajdonát képezik. A vagyontárgy elkobzásától el lehet tekinteni, ha az elkövető bizonyítja a dohány, dohánytermékek vagy kapcsolódó termékek legális eredetét, vagy ha a bűncselekményből származó vagyontárgyak elkobzására vonatkozó járulékos szankció kirovása egyértelműen aránytalan lenne a cselekmény súlyosságához és a bűncselekmény következményeihez képest.”.</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21. cikk</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43. cikk után a szöveg a következő új, 43.a. cikkel egészül ki:</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„43.a cikk</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(Pénzbírság kiszabása gyorsított szabálysértési eljárásban)</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Az e törvényben említett bűncselekmények esetében az e törvényben meghatározott minimális bírságnál magasabb összegű pénzbírság is kiszabható gyorsított eljárás keretében.</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ÁTMENETI ÉS ZÁRÓ RENDELKEZÉSEK</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22. cikk</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(Az intézkedések összehangolása)</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Az ízesített elektronikus cigarettákat, nikotinmentes elektronikus cigarettákat, utántöltő flakonokat és nikotinmentes utántöltő flakonokat az e törvény hatálybalépésétől számított legfeljebb 12 hónapig lehet forgalomba hozni.</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23. cikk</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(Eljárások lezárása)</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Az e törvény hatálybalépése előtt kezdeményezett ellenőrzési és szabálysértési eljárásokat az eddig hatályos szabályozás szerint kell lezárni.</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24. cikk</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(Szabályozások)</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A miniszter e törvény hatálybalépésétől számított három hónapon belül kiadja a törvény 25. cikkének módosított (4) bekezdésében és a törvény 28. cikkének módosított (4) bekezdésében említett szabályozást.</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 miniszter e törvény hatálybalépésétől számított három hónapon belül összhangba hozza a törvény 26. cikkének (14) bekezdésében foglalt szabályozást a törvény 26. cikke (3) bekezdésének új, 8. pontjával és új (15) bekezdésével.</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25. cikk</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 hatályos szabályos érvényességének megszüntetése és alkalmazásának meghosszabbítása)</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A dohánytermékek és kapcsolódó termékek használatának korlátozásáról szóló törvény (a Szlovén Köztársaság Hivatalos Lapja, 9/17. és 29/17. sz.) 3. cikkének 17. pontjában, 39. cikke (3) bekezdésének negyedik franciabekezdésében és (4) bekezdésében, 40. cikkében, 41. cikke (2) bekezdésének 8. és 9. pontjában, (6) bekezdésének 3. és 4. pontjában, valamint (14) bekezdésében, 42. cikke (1) bekezdésének 30. pontjában, illetve 43. cikke (1) bekezdésének harmadik </w:t>
      </w:r>
      <w:r>
        <w:rPr>
          <w:rFonts w:ascii="Arial" w:hAnsi="Arial"/>
          <w:sz w:val="21"/>
        </w:rPr>
        <w:lastRenderedPageBreak/>
        <w:t>franciabekezdésében foglalt rendelkezéseket 2025. december 31-ig kell a dohányzóhelyiségekre alkalmazni.</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E szöveg hatálybalépésének napjától a dohányzóhelyiségek által teljesítendő feltételekre vonatkozó szabályzat (a Szlovén Köztársaság Hivatalos Lapja, 52/17. sz.), amelyet 2025. december 31-ig lehet alkalmazni, nem alkalmazandó.</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26. cikk</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(Hatálybalépés és alkalmazás)</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Ez a törvény a Szlovén Köztársaság Hivatalos Lapjában való kihirdetését követő tizenötödik napon lép hatályba, és a hatálybalépését követő harmincadik naptól alkalmazandó.</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 dohánytermékek és kapcsolódó termékek használatának korlátozásáról szóló törvény (a Szlovén Köztársaság Hivatalos Lapja, 9/17. és 29/17. sz.) e törvény hatálybalépéséig alkalmazandó.</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543-03/23-3/29. sz.</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Ljubljana, 2024. március 28.</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A Szlovén Köztársaság</w:t>
      </w:r>
      <w:r>
        <w:rPr>
          <w:rFonts w:ascii="Arial" w:hAnsi="Arial"/>
          <w:sz w:val="21"/>
        </w:rPr>
        <w:br/>
        <w:t>Nemzetgyűlése</w:t>
      </w:r>
      <w:r>
        <w:rPr>
          <w:rFonts w:ascii="Arial" w:hAnsi="Arial"/>
          <w:sz w:val="21"/>
        </w:rPr>
        <w:br/>
        <w:t>Danijel Krivec</w:t>
      </w:r>
      <w:r>
        <w:rPr>
          <w:rFonts w:ascii="Arial" w:hAnsi="Arial"/>
          <w:sz w:val="21"/>
        </w:rPr>
        <w:br/>
        <w:t>alelnök</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235A78"/>
    <w:rsid w:val="006303F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_del/2022/210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2014/40/oj" TargetMode="External"/><Relationship Id="rId11" Type="http://schemas.openxmlformats.org/officeDocument/2006/relationships/theme" Target="theme/theme1.xml"/><Relationship Id="rId5" Type="http://schemas.openxmlformats.org/officeDocument/2006/relationships/hyperlink" Target="http://data.europa.eu/eli/dir_del/2014/109/oj" TargetMode="External"/><Relationship Id="rId10" Type="http://schemas.openxmlformats.org/officeDocument/2006/relationships/fontTable" Target="fontTable.xml"/><Relationship Id="rId4" Type="http://schemas.openxmlformats.org/officeDocument/2006/relationships/hyperlink" Target="http://data.europa.eu/eli/dir/2014/40/anx_2/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4485</Words>
  <Characters>30371</Characters>
  <Application>Microsoft Office Word</Application>
  <DocSecurity>0</DocSecurity>
  <Lines>506</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2024-08-14T11:54:00Z</dcterms:created>
  <dcterms:modified xsi:type="dcterms:W3CDTF">2024-08-14T11:54:00Z</dcterms:modified>
</cp:coreProperties>
</file>