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USTAWA</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O ZMIANIE USTAWY O OGRANICZENIU STOSOWANIA WYROBÓW TYTONIOWYCH I POWIĄZANYCH WYROBÓW</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1 ustawy o ograniczeniu stosowania wyrobów tytoniowych i powiązanych wyrobów (Dziennik Urzędowy Republiki Słowenii, nr 9/17 i 29/17) słowa „</w:t>
      </w:r>
      <w:hyperlink r:id="rId4" w:tgtFrame="_blank" w:tooltip="to EUR-Lex" w:history="1">
        <w:r>
          <w:rPr>
            <w:rFonts w:ascii="Arial" w:hAnsi="Arial"/>
            <w:color w:val="0000EE"/>
            <w:sz w:val="21"/>
            <w:u w:val="single" w:color="0000EE"/>
          </w:rPr>
          <w:t>Dyrektywa delegowana Komisji 2014/109/UE</w:t>
        </w:r>
      </w:hyperlink>
      <w:r>
        <w:rPr>
          <w:rFonts w:ascii="Arial" w:hAnsi="Arial"/>
          <w:sz w:val="21"/>
        </w:rPr>
        <w:t xml:space="preserve"> z dnia 10 października 2014 r. zmieniająca </w:t>
      </w:r>
      <w:hyperlink r:id="rId5" w:tgtFrame="_blank" w:tooltip="to EUR-Lex" w:history="1">
        <w:r>
          <w:rPr>
            <w:rFonts w:ascii="Arial" w:hAnsi="Arial"/>
            <w:color w:val="0000EE"/>
            <w:sz w:val="21"/>
            <w:u w:val="single" w:color="0000EE"/>
          </w:rPr>
          <w:t>załącznik II do dyrektywy Parlamentu Europejskiego i Rady 2014/40/UE</w:t>
        </w:r>
      </w:hyperlink>
      <w:r>
        <w:rPr>
          <w:rFonts w:ascii="Arial" w:hAnsi="Arial"/>
          <w:sz w:val="21"/>
        </w:rPr>
        <w:t xml:space="preserve"> poprzez utworzenie biblioteki ostrzeżeń obrazkowych, które należy stosować na wyrobach tytoniowych (Dz.U. UE L 360 z 17. 12. 2014, s. 22)” zastępuje się słowami: „</w:t>
      </w:r>
      <w:hyperlink r:id="rId6" w:tgtFrame="_blank" w:tooltip="to EUR-Lex" w:history="1">
        <w:r>
          <w:rPr>
            <w:rFonts w:ascii="Arial" w:hAnsi="Arial"/>
            <w:color w:val="0000EE"/>
            <w:sz w:val="21"/>
            <w:u w:val="single" w:color="0000EE"/>
          </w:rPr>
          <w:t>Dyrektywa delegowana Komisji (UE) 2022/2100</w:t>
        </w:r>
      </w:hyperlink>
      <w:r>
        <w:rPr>
          <w:rFonts w:ascii="Arial" w:hAnsi="Arial"/>
          <w:sz w:val="21"/>
        </w:rPr>
        <w:t xml:space="preserve"> z dnia 29 czerwca 2022 r. zmieniająca </w:t>
      </w:r>
      <w:hyperlink r:id="rId7" w:tgtFrame="_blank" w:tooltip="to EUR-Lex" w:history="1">
        <w:r>
          <w:rPr>
            <w:rFonts w:ascii="Arial" w:hAnsi="Arial"/>
            <w:color w:val="0000EE"/>
            <w:sz w:val="21"/>
            <w:u w:val="single" w:color="0000EE"/>
          </w:rPr>
          <w:t>dyrektywę Parlamentu Europejskiego i Rady 2014/40/UE</w:t>
        </w:r>
      </w:hyperlink>
      <w:r>
        <w:rPr>
          <w:rFonts w:ascii="Arial" w:hAnsi="Arial"/>
          <w:sz w:val="21"/>
        </w:rPr>
        <w:t xml:space="preserve"> w odniesieniu do wycofania niektórych zwolnień w przypadku podgrzewanych wyrobów tytoniowych (Dz.U. UE L 283 z 3. 11. 2022, s.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3 pkt 12 otrzymuje brzmienie:</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Papieros elektroniczny to produkt, który może być używany do wdychania oparów zawierających nikotynę przez ustnik lub dowolny element tego produktu, w tym wkład, zbiornik i wyrób bez wkładu lub zbiornika. Papierosy elektroniczne mogą być jednorazowe lub wielokrotnego napełniania za pomocą pojemnika zapasowego i zbiornika lub mogą być ponownie napełnione wkładem jednorazowego użytku.”. Papieros elektroniczny jest również uznawany za papieros elektroniczny, jeżeli można go ponownie napełnić za pomocą beznikotynowego pojemnika zapasowego i pojemnika lub za pomocą beznikotynowego jednorazowego wkładu do wdychania oparów niezawierających nikotyny”.</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pkt 12 dodaje się pkt 12 lit. a) w brzmieniu:</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Beznikotynowy papieros elektroniczny jest produktem jednorazowego użytku zawierającym zbiornik z płynem niezawierającym nikotyny używanym do inhalacji oparów beznikotynowych przez ustnik lub dowolny element tego wyrobu.”.</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Skreśla się pkt 17.</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pkt 19 dodaje się pkt 19 lit. a) w brzmieniu:</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„19.a Nowatorski produkt nikotynowy to produkt, który nie należy do żadnej z następujących kategorii produktów zawierających nikotynę, ale niezawierających tytoniu: papierosy elektroniczne, pojemniki zapasowe i zarejestrowane produkty terapii zastępczej nikotyny.”. </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pkt 22 dodaje się pkt 22 lit. a) w brzmieniu:</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 xml:space="preserve">„22.a Podgrzewany wyrób tytoniowy jest nowatorskim wyrobem tytoniowym, który jest ogrzewany w celu wytworzenia emisji zawierających nikotynę i inne substancje chemiczne, które są następnie wdychane przez użytkownika(ów) i które, w zależności od właściwości, jest wyrobem tytoniowym bezdymnym lub wyrobem tytoniowym do palenia.”. </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pkt 23 dodaje się pkt 23 lit. a) w brzmieniu:</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„23.a Beznikotynowy pojemnik zapasowy jest pojemnikiem zawierającym płyn bez nikotyny, który może być użyty do ponownego napełniania papierosa elektronicznego.”.</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25 otrzymuje następujące brzmienie:</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Powiązane wyroby w rozumieniu </w:t>
      </w:r>
      <w:hyperlink r:id="rId8" w:tgtFrame="_blank" w:tooltip="to EUR-Lex" w:history="1">
        <w:r>
          <w:rPr>
            <w:rFonts w:ascii="Arial" w:hAnsi="Arial"/>
            <w:color w:val="0000EE"/>
            <w:sz w:val="21"/>
            <w:u w:val="single" w:color="0000EE"/>
          </w:rPr>
          <w:t>dyrektywy 2014/40/UE</w:t>
        </w:r>
      </w:hyperlink>
      <w:r>
        <w:rPr>
          <w:rFonts w:ascii="Arial" w:hAnsi="Arial"/>
          <w:sz w:val="21"/>
        </w:rPr>
        <w:t xml:space="preserve"> to papierosy elektroniczne i pojemniki zapasowe oraz wyroby ziołowe do palenia. Zgodnie z niniejsza ustawą, powiązane wyroby obejmują beznikotynowe papierosy elektroniczne i beznikotynowe pojemniki zapasowe, podgrzewane wyroby ziołowe, nowatorskie produkty tytoniowe, nowatorskie produkty nikotynowe. Do celów niniejszej ustawy powiązane wyroby obejmują również akcesoria lub urządzenia służące do korzystania z powiązanych wyrobów, o których mowa w zdaniu pierwszym i poprzednim niniejszego punktu, bez których nie można korzystać z powiązanych wyrobów.”.</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40 otrzymuje następujące brzmienie:</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Tytoń do samodzielnego skręcania papierosów to tytoń, który może być używany do wyrobu papierosów przez konsumentów lub punkty sprzedaży detalicznej.”.</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pkt 50 dodaje się nowy pkt 50 lit. a) w brzmieniu:</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Podgrzewany wyrób ziołowy jest wyrobem opartym na roślinach, ziołach lub owocach, który nie zawiera tytoniu, którego stosowanie obejmuje proces podgrzewania.”.</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11 ust. 1 otrzymuje brzmienie:</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Zakazuje się wprowadzania do obrotu papierosów, tytoniu do samodzielnego skręcania papierosów i podgrzewanych wyrobów tytoniowych o charakterystycznym smaku.”.</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12 ust. 2 otrzymuje brzmienie:</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Zakazuje się wprowadzania do obrotu papierosów, tytoniu do samodzielnego skręcania papierosów i podgrzewanych wyrobów tytoniowych zawierających substancje aromatyczne, takich jak filtry, papier, opakowania i kapsułki lub posiadających właściwości techniczne umożliwiające </w:t>
      </w:r>
      <w:r>
        <w:rPr>
          <w:rFonts w:ascii="Arial" w:hAnsi="Arial"/>
          <w:sz w:val="21"/>
        </w:rPr>
        <w:lastRenderedPageBreak/>
        <w:t>zmianę zapachu lub smaku wyrobu tytoniowego lub intensywności dymu. Filtry, papiery i kapsułki nie zawierają tytoniu ani nikotyny.”.</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13 po ustępie 6 dodaje się ust. 7 w brzmieniu:</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Wizerunki opakowań jednostkowych i wszelkich zewnętrznych opakowań wyrobów tytoniowych przeznaczonych dla konsumentów muszą być zgodne z przepisami sekcji 2. (Etykietowanie i pakowanie) rozdziału II niniejszej ustawy.”.</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14 ust. 1 zdanie wprowadzające otrzymuje brzmienie: Na każdym opakowaniu jednostkowym i zewnętrznym opakowaniu wyrobów tytoniowych do palenia, w tym podgrzewanych wyrobów tytoniowych w przypadku wyrobów tytoniowych do palenia, umieszcza się następujące ostrzeżenie ogólne:”.</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ustępie 2 zdanie wprowadzające otrzymuje brzmienie: Na każdym opakowaniu jednostkowym i zewnętrznym opakowaniu wyrobów tytoniowych do palenia, w tym podgrzewanych wyrobów tytoniowych w przypadku wyrobów tytoniowych do palenia, umieszcza się następujący komunikat informacyjny:”.</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ustępie 3 zdanie pierwsze otrzymuje brzmienie: „W przypadku opakowań jednostkowych zawierających papierosy, opakowań jednostkowych z podgrzewanymi wyrobami tytoniowymi w przypadku wyrobów tytoniowych do palenia oraz opakowań jednostkowych w kształcie kwadratu z tytoniem do samodzielnego skręcania papierosów ostrzeżenie ogólne umieszcza się w dolnej części jednej powierzchni bocznej opakowania, natomiast komunikat informacyjny umieszcza się w dolnej części drugiej powierzchni bocznej.”.</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15 ust. 1 zdanie pierwsze otrzymuje brzmienie: „Każde opakowanie jednostkowe i zewnętrzne opakowania wyrobów tytoniowych do palenia, w tym podgrzewanych wyrobów tytoniowych w przypadku wyrobów tytoniowych do palenia, opatrzone jest połączonymi ostrzeżeniami zdrowotnymi.”.</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22 ust. 9 otrzymuje brzmienie:</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Podmiot gospodarczy zaangażowany w handel wyrobami tytoniowymi nie zmienia ani nie usuwa zarejestrowanych danych.”.</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25 ust. 2 zdanie pierwsze skreśla się przecinek po słowie „ust.” oraz słowa „jeżeli NLZOH uzna to za konieczne ze względu na zmienione warunki”.</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ustępie 2 dodaje się nowy ust. 3 w brzmieniu:</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pobiera opłaty od producentów i importerów za otrzymywanie, przechowywanie, przetwarzanie i analizę danych przekazanych zgodnie z niniejszym artykułem.”.</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Istniejący ust. 3, który staje się ustępem 4, otrzymuje brzmienie:</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Minister określa formę i sposób powiadomienia oraz wysokość opłat, o których mowa w niniejszym artykule.”.</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26 ust. 3 zdanie wprowadzające zdania trzeciego otrzymuje brzmienie: „Papierosy elektroniczne, beznikotynowe papierosy elektroniczne, pojemniki zapasowe i pojemniki zapasowe niezawierające nikotyny spełniają następujące warunki:”;</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1 otrzymuje następujące brzmienie:</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płyn z nikotyną lub bez nikotyny wprowadza się do obrotu w specjalnych pojemnikach zapasowych o objętości nieprzekraczającej 10 ml. W jednorazowych papierosach elektronicznych lub w jednorazowych wkładach z nikotyną lub bez nikotyny objętość wkładu lub zbiornika nie przekracza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3 otrzymuje następujące brzmienie:</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płyn z nikotyną lub bez nikotyny nie zawiera dodatków, o których mowa w art. 12 ust. 1 niniejszej ustawy;”.</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4 otrzymuje następujące brzmienie:</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do produkcji płynu z nikotyną lub bez nikotyny stosuje się wyłącznie czyste składniki. Substancje inne niż te, o których mowa w ust. 2 pkt 2 niniejszego artykułu, są obecne w płynie jedynie w ilościach śladowych, jeżeli takie ilości śladowe są technicznie nieuniknione podczas produkcji;”.</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7 otrzymuje następujące brzmienie:</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„7. nie mogą być używane przez dzieci, są zabezpieczone przed manipulacją, pęknięciem i wyciekami oraz posiadają mechanizm zapewniający ponowne napełnianie bez wycieków;”.</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punkcie 7 dodaje się nowy punkt 8 w następującym brzmieniu:</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Płyn z nikotyną lub bez nikotyny nie zawiera żadnych środków aromatyzujących innych niż smak lub zapach tytoniu.”.</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ustępie 5 zdanie wprowadzające otrzymuje brzmienie: „Opakowania jednostkowe i zbiorcze papierosów elektronicznych, beznikotynowych papierosów elektronicznych, pojemników zapasowych i beznikotynowych pojemników zapasowych:”.</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2 otrzymuje następujące brzmienie:</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niezależnie od punktu poprzedzającego, nie zawierają one elementów ani cech, o których mowa w art. 17 niniejszej ustawy z wyjątkiem tych, o których mowa w ustępie 1 w odniesieniu do informacji o zawartości nikotyny oraz informacji dotyczących smaku lub zapachu tytoniu i, z wyjątkiem beznikotynowych papierosów elektronicznych i beznikotynowych pojemników zapasowych, zawierają następujące ostrzeżenie zdrowotne, spełniające wymogi określone w art. 16 ustęp 2 i 3 niniejszej ustawy: „Wyrób zawiera nikotynę, która jest substancją silnie uzależniającą. Nie zaleca się jego stosowania przez osoby niepalące.”.’.</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ust. 8 na końcu dodaje się słowa w brzmieniu: „NLZOH i Inspektorat Zdrowia Republiki Słowenii udostępniają Komisji Europejskiej i innym państwom członkowskim UE, na ich wniosek, wszelkie informacje otrzymane zgodnie z niniejszym artykułem, zapewniając jednocześnie poufne traktowanie tajemnic handlowych i innych informacji poufnych.”.</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14 dodaje się ust. 15 w brzmieniu:</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Przepisy dotyczące składania powiadomienia, o którym mowa w ust. 1, jego treści, o której mowa w ust. 2, dołączania instrukcji zawierającej informacje, o których mowa w ust. 4, przekazywania informacji, o których mowa w ust. 6, monitorowania zmian na rynku, o których mowa w ust. 7, publikacji w internecie, podawania do wiadomości publicznej i udzielania informacji, o których mowa w ust. 8, ustanowienia i utrzymywania systemu gromadzenia danych oraz przekazywania zgromadzonych danych, o których mowa w ust. 9, podjęcia środków i powiadamiania organów, o których mowa w ust. 10, dostarczania dodatkowych informacji, o których mowa w ust. 11, powiadomień, o których mowa w ust. 12, prawa do pobierania opłat, o którym mowa w ust. 13, oraz ustanowienia bardziej szczegółowych warunków, o którym mowa w ust. 14 mają również zastosowanie do beznikotynowych papierosów elektronicznych i beznikotynowych pojemników zapasowych.”.</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 28 tytuł artykułu otrzymuje brzmienie: „(zgłaszanie składników wyrobów ziołowych do palenia i podgrzewanych wyrobów ziołowych)”.</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Ustęp 1 otrzymuje następujące brzmienie:</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Producenci i importerzy wyrobów ziołowych do palenia i podgrzewanych wyrobów ziołowych przedkładają NLZOH wykaz wszystkich składników, wraz z ich ilością, użytych do wytworzenia tych wyrobów, oddzielnie dla każdej marki i dla każdego rodzaju. Urzędowe powiadomienie składa się drogą elektroniczną na sześć miesięcy przed planowanym wprowadzeniem do obrotu nowego lub zmodyfikowanego ziołowego wyrobu do palenia lub podgrzewanego wyrobu ziołowego. Producenci lub importerzy wyrobów ziołowych do palenia i podgrzewanych wyrobów ziołowych powiadamiają NLZOH o zmianie składu wyrobu wpływającej na informacje przekazywane zgodnie z niniejszym artykułem.”.</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ust. 2 ust. dodaje się ust. 3 w brzmieniu:</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pobiera opłaty od producentów i importerów za otrzymywanie, przechowywanie, przetwarzanie, analizowanie i publikowanie danych przekazanych zgodnie z niniejszym artykułem.”.</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Istniejący ust. 3, który staje się ustępem 4, otrzymuje brzmienie:</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Minister określa bardziej szczegółowe warunki zgłaszania składników wyrobów ziołowych do palenia i podgrzewanych wyrobów ziołowych oraz wysokość opłat, o których mowa w niniejszym artykule.”.</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Tytuł rozdziału V otrzymuje brzmienie: „V. REKLAMA, PROMOCJA, SPONSOROWANIE, SPRZEDAŻ I IMPORT”.</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 30 tytuł artykułu otrzymuje brzmienie: „(zakaz sprzedaży i nabywania)”.</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ustępie 6 dodaje się ust. 7 i 8 brzmieniu:</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Osoba fizyczna nie może sprzedawać ani wprowadzać do obrotu tytoniu, wyrobów tytoniowych ani powiązanych wyrobów.</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Osoba fizyczna nie może nabywać tytoniu, wyrobów tytoniowych lub powiązanych wyrobów z naruszeniem niniejszego artykułu.”.</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artykule 30 dodaje się nowy art. 30 lit. a) w brzmieniu:</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(Zakaz przywozu)</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Zakazuje się przywozu wyrobów, o których mowa w art. 11 ust. 1, art. 12 ust. 1, 2 i 3 oraz art. 24 niniejszej ustawy.</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Osoba fizyczna nie może dokonywać przywozu tytoniu, wyrobów tytoniowych lub powiązanych wyrobów z wyjątkiem wyrobów w przesyłce lub w bagażu osobistym pasażera zwolnionych z należności celnych przywozowych zgodnie z przepisami regulującymi system bezcłowy w UE.”.</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Tytuł rozdziału VII otrzymuje brzmienie: „VII. ZAKAZ PALENIA”.</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39 ust. 3 na końcu tiret trzeciego średnik zastępuje się kropką i skreśla się tiret czwarte.</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Skreśla się ust. 4.</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Ustęp 5 staje się ustępem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Skreśla się art. 40.</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Artykuł 41 otrzymuje brzmienie:</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Nadzór nad wykonaniem niniejszej ustawy sprawuje Inspektorat Zdrowia Republiki Słowenii, Inspekcja Pracy Republiki Słowenii, Inspekcja Rynku Republiki Słowenii, Administracja Finansowa Republiki Słowenii oraz policja i straż miejska.</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Inspektorat Zdrowia Republiki Słowenii nadzoruje:</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emisję substancji smolistych, nikotyny i tlenku węgla z papierosów, o których mowa w art. 7 niniejszej ustawy;</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zakaz wprowadzania do obrotu wyrobów tytoniowych o aromacie charakterystycznym, o którym mowa w art. 11 niniejszej ustawy;</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3. zakaz wprowadzania do obrotu wyrobów tytoniowych zawierających dodatki, o których mowa w art. 12 niniejszej ustawy;</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zgłaszanie i informowanie producentów i importerów o składnikach i emisjach wyrobów tytoniowych i powiązanych wyrobów zgodnie z art. 9, art. 10, art. 25, art. 26 ust. 1, 2 i 6 oraz art. 28 niniejszej ustawy;</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obowiązki producentów, importerów i dystrybutorów papierosów elektronicznych, beznikotynowych papierosów elektronicznych, pojemników ‎zapasowych lub beznikotynowych pojemników zapasowych, o których mowa w art. 26 ust. 9, 10 i 11 niniejszej ustawy oraz warunki, jakie mają spełniać papierosy elektroniczne, beznikotynowe papierosy elektroniczne, pojemniki zapasowe lub ‎beznikotynowe pojemniki zapasowe, o których mowa w art. 26 ust. 3 niniejszej ustawy;</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zakaz palenia lub używania tytoniu, wyrobów tytoniowych i powiązanych wyrobów innych niż tytoń do żucia i tabaka w miejscach publicznych, o których mowa w art. 39 niniejszej ustawy;</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osoby, które nie przestrzegają zakazu palenia lub używania tytoniu, wyrobów tytoniowych i powiązanych wyrobów innych niż tytoń do żucia i tabaka w miejscach publicznych, o których mowa w art. 39 niniejszej ustawy.</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Inspektorat Zdrowia Republiki Słowenii, na podstawie własnych ustaleń lub ustaleń NLZOH stwierdzających, że tytoń, wyroby tytoniowe i powiązane wyroby są produkowane, sprzedawane lub wprowadzane do obrotu z naruszeniem art. 7, 8, 11, 12 i 26 niniejszej ustawy zakazuje w drodze decyzji produkcji i sprzedaży takich wyrobów oraz nakazuje ich wycofanie z produkcji i sprzedaży.</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Inspektorat Zdrowia Republiki Słowenii, na podstawie ustaleń NLZOH stwierdzających, że producenci i importerzy, w odniesieniu do określonej marki i rodzaju tytoniu, wyrobów tytoniowych i powiązanych wyrobów, nie wypełniają obowiązku zgłaszania lub informowania o wyrobach, o których mowa w art. 9, 10, 25, 26 i 28 niniejszej ustawy, zakazuje w drodze decyzji sprzedaży tych wyrobów i nakazuje ich wycofanie ze sprzedaży.</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Na wniosek Inspektoratu Zdrowia Republiki Słowenii lub Administracji Finansowej Republiki Słowenii NLZOH może przeprowadzać badania laboratoryjne tytoniu, wyrobów tytoniowych i powiązanych wyrobów. Osoby prawne i fizyczne, które wprowadzają do obrotu tytoń, wyroby tytoniowe i powiązane wyroby, udostępniają bezpłatnie próbkę takiego wyrobu właściwemu inspektorowi (zwanemu dalej „inspektorem”). Jeżeli w drodze badań laboratoryjnych zostanie ustalone, że próbka pobrana w trakcie procedury kontrolnej nie jest zgodna z przepisami niniejszej ustawy, koszty badań laboratoryjnych ponosi osoba prawna lub fizyczna, od której pobrano próbkę.</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Inspekcja Pracy Republiki Słowenii nadzoruje:</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zakaz palenia lub używania tytoniu, wyrobów tytoniowych i powiązanych wyrobów innych niż tytoń do żucia i tabaka w miejscach pracy, o których mowa w art. 39 niniejszej ustawy;</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osoby, które nie przestrzegają zakazu palenia lub używania tytoniu, wyrobów tytoniowych i powiązanych wyrobów innych niż tytoń do żucia i tabaka w miejscach pracy, o których mowa w art. 39 niniejszej ustawy.</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Inspekcja Rynku Republiki Słowenii nadzoruje podmioty gospodarcze, a mianowicie:</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warunki, jakie ma spełniać tytoń i wyroby tytoniowe, o których mowa w art. 13-20 niniejszej ustawy;</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 zakaz wprowadzania do obrotu tytoniu do stosowania doustnego, o którym mowa w art. 24 niniejszej ustawy;</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warunki, jakie mają spełniać papierosy elektroniczne, beznikotynowe papierosy elektroniczne, pojemniki zapasowe i ‎beznikotynowe pojemniki zapasowe, o których mowa w art. 26 ust. 4 i 5 niniejszej ustawy;</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warunki, jakie mają spełniać wyroby ziołowe do palenia, o których mowa w art. 27 niniejszej ustawy;</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zakaz sponsorowania i reklamy wyrobów tytoniowych, wyrobów tytoniowych i powiązanych wyrobów, o których mowa w art. 29 niniejszej ustawy;</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zakaz sprzedaży, o którym mowa w art. 30 i 31 niniejszej ustawy;</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sprzedaż wyrobów tytoniowych, wyrobów tytoniowych i powiązanych wyrobów bez zezwolenia, o którym mowa w art. 32 niniejszej ustawy oraz widoczność zezwolenia w lokalu przedsiębiorcy, o którym mowa w art. 34 ust. 3 tej ustawy.</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Administracja finansowa Republiki Słowenii nadzoruje:</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warunki określone w art. 22 i 23 niniejszej ustawy, jakie mają być spełnione przez tytoń i wyroby tytoniowe;</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warunki, jakie mają być spełnione przez papierosy elektroniczne, beznikotynowe papierosy elektroniczne, pojemniki zapasowe i ‎beznikotynowe pojemniki zapasowe, o których mowa w art. 26 ust. 3 niniejszej ustawy w przypadku przywozu z państw trzecich, przy wsparciu ze strony Inspektoratu Zdrowia Republiki Słowenii;</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osoby fizyczne, które sprzedają, wprowadzają do obrotu lub nabywają tytoń, wyroby tytoniowe lub powiązane wyroby z naruszeniem art. 30 ust. 7 i 8 niniejszej ustawy;</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zakaz przywozu, o którym mowa w art. 30 lit. a) niniejszej ustawy;</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sprzedaż tytoniu, wyrobów tytoniowych i powiązanych wyrobów bez zezwolenia, o którym mowa w art. 32 niniejszej ustawy.</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Jeżeli Inspekcja Rynku Republiki Słowenii stwierdzi, że tytoń i wyroby tytoniowe są produkowane, sprzedawane lub wprowadzane do obrotu z naruszeniem art. 13-20 niniejszej ustawy lub są sprzedawane bez zezwolenia, o którym mowa w art. 32 niniejszej ustawy, zakazuje w drodze decyzji ich produkcji, sprzedaży lub wprowadzania do obrotu oraz nakazuje ich wycofanie z produkcji lub sprzedaży.</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Jeżeli Administracja Finansowa Republiki Słowenii stwierdzi, że tytoń, wyroby tytoniowe i powiązane wyroby są sprzedawane bez zezwolenia, o którym mowa w art. 32 niniejszej ustawy, zakazuje w drodze decyzji ich sprzedaży i nakazuje ich wycofanie z produkcji lub sprzedaży.</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Inspektorat Zdrowia Republiki Słowenii, na podstawie powiadomienia, o którym mowa w art. 26 ust. 12 niniejszej ustawy, przyjmuje odpowiednie tymczasowe środki ochrony zdrowia ludzkiego obejmujące zakaz sprzedaży określonego wyrobu lub wycofanie określonego wyrobu z obrotu.</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(12) Jeżeli właściwy organ kontrolny stwierdzi, że tytoń lub powiązane wyroby są produkowane, sprzedawane lub wprowadzane do obrotu z naruszeniem art. 26 i 27 niniejszej ustawy </w:t>
      </w:r>
      <w:r>
        <w:rPr>
          <w:rFonts w:ascii="Arial" w:hAnsi="Arial"/>
          <w:sz w:val="21"/>
        </w:rPr>
        <w:lastRenderedPageBreak/>
        <w:t>lub bez zezwolenia, o którym mowa w art. 32 niniejszej ustawy, zakazuje w drodze decyzji sprzedaży, wprowadzania do obrotu lub produkcji tych wyrobów i nakazuje ich wycofanie z produkcji lub sprzedaży.</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Jeżeli Inspekcja Rynku Republiki Słowenii stwierdzi, że tytoń, wyroby tytoniowe lub wyroby związane z tytoniem są sponsorowane lub reklamowane z naruszeniem art. 29 niniejszej ustawy, zakazuje w drodze decyzji takiego sponsorowania lub reklamy. W celu wykonania decyzji nakazuje natychmiastowe wycofanie materiałów reklamowych na koszt podmiotu gospodarczego.</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Właściwy inspektor może współpracować z osobą poniżej 18 roku życia przy sprawowaniu nadzoru nad zakazem sprzedaży wyrobów tytoniowych, wyrobów tytoniowych i powiązanych wyrobów osobom poniżej 18 roku życia, o których mowa w art. 30 ust. 1 niniejszej ustawy. Na udział małoletnich uzyskuje się uprzednią pisemną zgodę ich rodziców lub opiekunów.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Policja i służby miejskie kontrolują zakaz palenia we wszystkich pojazdach w obecności osób poniżej 18 roku życia, o których mowa w art. 39 ust. 1 niniejszej ustawy.”.</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42 ust. 1 otrzymuje brzmienie:</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Osoba prawna podlega karze grzywny w wysokości od 4 000 do 33 000 EUR za następujące przestępstwa:</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produkcja, sprzedaż lub wprowadzanie do obrotu papierosów zawierających większą zawartość substancji smolistych, nikotyny i tlenku węgla niż ilość określona w art. 7 niniejszej ustawy;</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sprzedaż lub wprowadzanie do obrotu wyrobów tytoniowych, w odniesieniu do których nie został spełniony obowiązek zgłaszania składników i emisji tych wyrobów (art. 9 i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produkcja, sprzedaż lub wprowadzanie do obrotu wyrobów tytoniowych o charakterystycznym aromacie (art. 11) lub z dodatkami, o których mowa w art. 12 ust. 1 i 3 niniejszej ustawy lub jeżeli produkcja, sprzedaż lub wprowadzanie do obrotu wyrobów tytoniowych zawierających substancje aromatyczne w którymkolwiek z elementów (art. 12 ust.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wprowadzanie do obrotu lub sprzedaż wyrobów tytoniowych i wyrobów tytoniowych bezdymnych, które nie spełniają warunków dotyczących etykietowania, pakowania, ostrzeżeń ogólnych, komunikatów informacyjnych i połączonych ostrzeżeń zdrowotnych (art. 13, 14, 15 i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wprowadzanie do obrotu lub sprzedaż wyrobów tytoniowych, których etykietowanie lub opakowanie zewnętrzne narusza przepisy art. 17 niniejszej ustawy;</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wprowadzanie do obrotu lub sprzedaż paczek papierosów i zewnętrznych opakowań papierosów, których wygląd i zawartość są sprzeczne z przepisami art. 18 niniejszej ustawy;</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wprowadzanie do obrotu lub sprzedaż opakowań jednostkowych tytoniu do samodzielnego skręcania papierosów oraz zewnętrznych opakowań tytoniu do samodzielnego skręcania papierosów, których wygląd i zawartość są sprzeczne z przepisami art. 19 niniejszej ustawy;</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wprowadzanie do obrotu lub sprzedaż papierosów, których wygląd jest sprzeczny z przepisami art. 20 niniejszej ustawy;</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9. niezapewnienie bezpośredniego dostępu do unikalnego identyfikatora (art. 22 ust.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nierejestrowanie przyjęcia wszystkich paczek oraz pośredniego przemieszczenia i ostatecznego wyjścia paczek z posiadania w sposób umożliwiający jasną i jednoznaczną identyfikację i śledzenie wszystkich paczek (art. 22 ust.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nieprowadzenie ewidencji wszystkich zrealizowanych transakcji (art. 22 ust.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nieudostępnianie urządzeń rejestrujących wyroby tytoniowe podmiotom gospodarczym uczestniczącym w obrocie wyrobami tytoniowymi od producenta do ostatniego podmiotu gospodarczego przed pierwszą sprzedażą w punkcie sprzedaży, w tym importerom, magazynom i firmom transportowym lub nieudostępnianie urządzeń umożliwiających elektroniczny odczyt wszystkich opakowań jednostkowych oraz ich jednoznaczną identyfikację i śledzenie (art. 22 ust.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zmiana lub usunięcie zapisanych danych (art. 22 ust.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wprowadzanie do obrotu lub sprzedaż wyrobów tytoniowych bez znaku identyfikacyjnego lub zabezpieczenia, z niekompletnym znakiem identyfikacyjnym lub z zabezpieczeniem niespełniającym wymaganych norm technicznych (art. 22 ust. 1, 2 i 3 oraz art.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wprowadzanie do obrotu lub sprzedaż tytoniu do stosowania doustnego (art.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sprzedaż lub wprowadzanie do obrotu nowatorskich wyrobów tytoniowych z naruszeniem art. 25 niniejszej ustawy;</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produkcja, sprzedaż lub wprowadzanie do obrotu papierosów elektronicznych, beznikotynowych papierosów elektronicznych, pojemników zapasowych lub beznikotynowych pojemników zapasowych z naruszeniem art. 26 ust. 3, 4, 5 i 10 niniejszej ustawy;</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produkcja, sprzedaż lub wprowadzanie do obrotu papierosów elektronicznych, beznikotynowych papierosów elektronicznych, pojemników zapasowych lub beznikotynowych pojemników zapasowych z naruszeniem art. 26 ust. 1, 2, 6 i 11 niniejszej ustawy;</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wprowadzanie do obrotu lub sprzedaż wyrobu ziołowego do palenia z naruszeniem art. 27 niniejszej ustawy;</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brak wyszczególnienia składników wyrobów ziołowych do palenia i podgrzewanych wyrobów ziołowych zgodnie z art. 28 niniejszej ustawy;</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wspieranie lub sponsorowanie wydarzenia, działalności lub osoby oraz bezpośrednie lub pośrednie reklamowanie i promowanie wyrobów tytoniowych i powiązanych wyrobów (art.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prezentowanie lub używanie tytoniu, wyrobów tytoniowych i powiązanych wyrobów w telewizji i podczas wystąpień publicznych (art. 29 ust.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sprzedaż tytoniu, wyrobów tytoniowych i powiązanych wyrobów osobom poniżej 18 roku życia lub nieumieszczenie informacji o zakazie sprzedaży w widocznym miejscu lub sprzedaż tytoniu, wyrobów tytoniowych lub powiązanych wyrobów osobie poniżej 18 roku życia (art. 30 ust. 1 i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sprzedaż lub wprowadzanie do obrotu tytoniu, wyrobów tytoniowych i powiązanych wyrobów z naruszeniem art. 30 ust. 3 niniejszej ustawy;</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sprzedaż lub wprowadzanie do obrotu tytoniu, wyrobów tytoniowych i powiązanych wyrobów poza oryginalnym opakowaniem producenta (art. 30 ust.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26. wprowadzanie do obrotu lub transgraniczna sprzedaż zdalna tytoniu, wyrobów tytoniowych lub powiązanych wyrobów przez Internetu, przy wykorzystaniu środków telekomunikacji lub innej nowej technologii (art. 30 ust.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produkcja, wprowadzanie do obrotu lub transgraniczna sprzedaż zdalna słodyczy, przekąsek, zabawek lub innych artykułów w postaci wyrobów tytoniowych lub powiązanych wyrobów przeznaczonych dla osób poniżej 18 roku życia (art. 30 ust.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przywóz wyrobów, o których mowa w art. 11 ust. 1, art. 12 ust. 1, 2 i 3 oraz art. 24 niniejszej ustawy;</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nieumieszczenie w widocznym miejscu w lokalu przedsiębiorstwa zezwolenia na sprzedaż tytoniu, wyrobów tytoniowych i powiązanych wyrobów (art. 34 ust.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niezapewnienie przestrzegania zakazu palenia tytoniu lub używania tytoniu, wyrobów tytoniowych i powiązanych wyrobów innych niż tytoń do żucia i tabaka w zamkniętych pomieszczeniach publicznych i pracowniczych oraz w pomieszczeniach, które nie są uważane za pomieszczenia zamknięte w rozumieniu niniejszej ustawy, jeżeli stanowią część powiązanych terenów funkcjonalnych budynków, w których prowadzona jest działalność edukacyjna lub szkoleniowa (art.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ustępie 4, 5 i 6 wprowadza się następujące zmiany:</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W odniesieniu do przestępstw, o których mowa w ustępie 1 pkt 1, 3 </w:t>
      </w:r>
      <w:hyperlink r:id="rId9" w:tgtFrame="_blank" w:tooltip="to EUR-Lex" w:history="1">
        <w:r>
          <w:rPr>
            <w:rFonts w:ascii="Arial" w:hAnsi="Arial"/>
            <w:color w:val="0000EE"/>
            <w:sz w:val="21"/>
            <w:u w:val="single" w:color="0000EE"/>
          </w:rPr>
          <w:t>do 15, 17, 19</w:t>
        </w:r>
      </w:hyperlink>
      <w:r>
        <w:rPr>
          <w:rFonts w:ascii="Arial" w:hAnsi="Arial"/>
          <w:sz w:val="21"/>
        </w:rPr>
        <w:t>, 25 i 28 niniejszego artykułu, oprócz głównej kary orzeka się konfiskatę tytoniu, wyrobów tytoniowych lub powiązanych wyrobów, będących przedmiotem przestępstwa oraz konfiskatę przedmiotów, przy użyciu których przestępstwo zostało popełnione. Nakłada się również karę dodatkową, jeżeli tytoń, wyroby tytoniowe lub powiązane wyroby nie stanowią własności sprawcy lub nie są w posiadaniu osoby prawnej. Konfiskata przedmiotu może zostać uchylona, jeżeli sprawca udowodni zgodne z prawem pochodzenie tytoniu, wyrobów tytoniowych lub powiązanych wyrobów lub jeżeli orzeczenie dodatkowej kary konfiskaty przedmiotów przestępstwa byłoby wyraźnie nieproporcjonalne do wagi czynu i skutków przestępstwa.</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Karę grzywny w wysokości 50 000 EUR nakłada się na podmiot prawny, jednoosobową działalność gospodarczą lub osobę fizyczną prowadzącą niezależną działalność, która dopuszcza się sprzedaży tytoniu, wyrobów tytoniowych lub powiązanych wyrobów bez zezwolenia (art. 32).</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Karę grzywny w wysokości 5 000 EUR nakłada się na osobę odpowiedzialną osoby prawnej, osobę odpowiedzialną jednoosobowej działalności gospodarczej lub osobę prowadzącą niezależną działalność, która dopuszcza się sprzedaży tytoniu, wyrobów tytoniowych lub powiązanych wyrobów bez zezwolenia (art. 32).</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W artykule 43 ust. 1 otrzymuje brzmienie:</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Osoba fizyczna podlega karze grzywny w wysokości od 125 do 5 000 EUR za następujące przestępstwa:</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nabycie tytoniu, wyrobów tytoniowych lub powiązanych wyrobów z naruszeniem art. 30 niniejszej ustawy;</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lastRenderedPageBreak/>
        <w:t>— przywóz produktów z naruszeniem art. 30.a ust. 1 lub 2 niniejszej ustawy;</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palenie lub używanie tytoniu, wyrobów tytoniowych lub powiązanych wyrobów w miejscach publicznych lub miejscach pracy, w których jest to zabronione (art.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ustępie 2 dodaje się nowy ust. 3 i 4 w brzmieniu:</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Osoba fizyczna podlega karze grzywny w wysokości od 3 000 EUR do 5 000 EUR za następujące przestępstwa:</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nieodpłatne oferowanie w celach reklamowych tytoniu, wyrobów tytoniowych i powiązanych wyrobów w miejscu publicznym lub w pomieszczeniach publicznych z naruszeniem art. 29 ust. 3 niniejszej ustawy;</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sprzedaż lub wprowadzanie do obrotu tytoniu, wyrobów tytoniowych lub powiązanych wyrobów z naruszeniem art. 30 ust. 7 niniejszej ustawy.</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W przypadku przestępstw, o których mowa w ustępie pierwszym, tiret pierwsze i drugie niniejszego artykułu oraz przestępstw, o których mowa w tiret pierwszym i drugim ustępu poprzedzającego, oprócz głównej kary orzeka się konfiskatę tytoniu, wyrobów tytoniowych lub powiązanych wyrobów będących przedmiotem przestępstwa oraz konfiskatę przedmiotów, przy pomocy których dopuszczono się przestępstwa. Karę dodatkową orzeka się również w przypadku, gdy tytoń, wyroby tytoniowe lub powiązane wyroby nie stanowią własności sprawcy lub nie są w jego posiadaniu. Konfiskata przedmiotu może zostać uchylona, jeżeli sprawca udowodni zgodne z prawem pochodzenie tytoniu, wyrobów tytoniowych lub powiązanych wyrobów lub jeżeli orzeczenie dodatkowej kary konfiskaty przedmiotów przestępstwa byłoby wyraźnie nieproporcjonalne do wagi czynu i skutków przestępstwa.’.</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artykule 43 dodaje się nowy art. 43 lit. a) w brzmieniu:</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(Nałożenie kary grzywny w trybie przyspieszonym)</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przestępstwa, o których mowa w niniejszej ustawie, kara grzywny może zostać nałożona w trybie przyspieszonym w wysokości wyższej niż minimalna grzywna przewidziana w niniejszej ustawie.</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PRZEPISY PRZEJŚCIOWE I KOŃCOWE</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(Harmonizacja działań)</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Papierosy elektroniczne, beznikotynowe papierosy elektroniczne, pojemniki zapasowe i ‎beznikotynowe pojemniki zapasowe zawierające środki aromatyzujące mogą być wprowadzane do obrotu przez okres nie dłuższy niż 12 miesięcy od wejścia w życie niniejszej ustawy.</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(Zakończenie procedur)</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Postępowanie kontrolne i postępowanie w sprawie wykroczenie wszczęte przed wejściem w życie niniejszej ustawy kończy się zgodnie z dotychczas obowiązującymi przepisami.</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(Przepisy)</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Minister wydaje rozporządzenia, o których mowa w znowelizowanym art. 25 ust. 4 ustawy oraz w zmienionym art. 28 ust. 4 ustawy w terminie trzech miesięcy od dnia wejścia w życie niniejszej ustawy.</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Minister dostosowuje przepisy, o których mowa w art. 26 ust. 14 ustawy, do nowego pkt 8 ust. 3 oraz nowego ust. 15 art. 26 ustawy w terminie trzech miesięcy od dnia wejścia w życie niniejszej ustawy.</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(Wygaśnięcie i przedłużenie obowiązywania obowiązujących przepisów)</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Przepisy art. 3 pkt 17 ust. 3 tiret czwarte oraz art. 39 ust. 4, art. 40 ust. 2 oraz pkt 8 i 9, ust. 6 pkt 3 i 4 oraz art. 41 ust. 14, art. 42 ust. 1 pkt 30 i art. 43 ust. 1 tiret trzecie ustawy o ograniczeniu stosowania wyrobów tytoniowych i powiązanych wyrobów (Dziennik Urzędowy Republiki Słowenii nr 9/17 i 29/17) stosują się do pomieszczeń palarni do dnia 31 grudnia 2025 r.</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Z dniem wejścia w życie niniejszej ustawy przestają obowiązywać przepisy dotyczące warunków, jakie musi spełniać palarnia (Dziennik Urzędowy Republiki Słowenii nr 52/17), który może być użytkowany do dnia 31 grudnia 2025 r.</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Artykuł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(Wejście w życie i stosowanie)</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Niniejsza ustawa wchodzi w życie piętnastego dnia po jej opublikowaniu w Dzienniku Urzędowym Republiki Słowenii i stosuje się od trzydziestego dnia po jej wejściu w życie.</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(2) Ustawa o ograniczeniu stosowania wyrobów tytoniowych i powiązanych wyrobów (Dziennik Urzędowy Republiki Słowenii nr 9/17 i 29/17) obowiązuje do dnia wejścia w życie niniejszej ustawy.</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Nr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Lublana, dnia 28 marca 2024 r.</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Zgromadzenie Narodowe Republiki Słowenii Danijel Krivec Wiceprzewodniczący</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6303F7"/>
    <w:rsid w:val="00A167A6"/>
    <w:rsid w:val="00A77B3E"/>
    <w:rsid w:val="00CA2A55"/>
    <w:rsid w:val="00D50ADE"/>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4620</Words>
  <Characters>28644</Characters>
  <Application>Microsoft Office Word</Application>
  <DocSecurity>0</DocSecurity>
  <Lines>485</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2024-08-14T11:55:00Z</dcterms:created>
  <dcterms:modified xsi:type="dcterms:W3CDTF">2024-08-14T11:55:00Z</dcterms:modified>
</cp:coreProperties>
</file>